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3" w:type="dxa"/>
        <w:jc w:val="center"/>
        <w:tblLayout w:type="fixed"/>
        <w:tblLook w:val="00A0" w:firstRow="1" w:lastRow="0" w:firstColumn="1" w:lastColumn="0" w:noHBand="0" w:noVBand="0"/>
      </w:tblPr>
      <w:tblGrid>
        <w:gridCol w:w="3227"/>
        <w:gridCol w:w="3614"/>
        <w:gridCol w:w="3932"/>
      </w:tblGrid>
      <w:tr w:rsidR="0039412B" w:rsidRPr="007942C1" w14:paraId="56F7E87C" w14:textId="77777777" w:rsidTr="00921365">
        <w:trPr>
          <w:jc w:val="center"/>
        </w:trPr>
        <w:tc>
          <w:tcPr>
            <w:tcW w:w="10773" w:type="dxa"/>
            <w:gridSpan w:val="3"/>
          </w:tcPr>
          <w:p w14:paraId="6FFCF961" w14:textId="77777777" w:rsidR="0039412B" w:rsidRPr="007942C1" w:rsidRDefault="00FF2C4A" w:rsidP="000E5050">
            <w:pPr>
              <w:rPr>
                <w:sz w:val="20"/>
              </w:rPr>
            </w:pPr>
            <w:bookmarkStart w:id="0" w:name="_Toc227657235"/>
            <w:bookmarkStart w:id="1" w:name="_Toc227663978"/>
            <w:bookmarkStart w:id="2" w:name="_Toc227664079"/>
            <w:bookmarkStart w:id="3" w:name="_Toc227664190"/>
            <w:bookmarkStart w:id="4" w:name="_Toc227667200"/>
            <w:bookmarkStart w:id="5" w:name="_GoBack"/>
            <w:bookmarkEnd w:id="5"/>
            <w:r>
              <w:rPr>
                <w:noProof/>
              </w:rPr>
              <w:drawing>
                <wp:anchor distT="0" distB="0" distL="114300" distR="114300" simplePos="0" relativeHeight="251657216" behindDoc="1" locked="0" layoutInCell="1" allowOverlap="1" wp14:anchorId="6F32FB81" wp14:editId="11E778D4">
                  <wp:simplePos x="0" y="0"/>
                  <wp:positionH relativeFrom="column">
                    <wp:posOffset>-44450</wp:posOffset>
                  </wp:positionH>
                  <wp:positionV relativeFrom="paragraph">
                    <wp:posOffset>5080</wp:posOffset>
                  </wp:positionV>
                  <wp:extent cx="1707515" cy="1732915"/>
                  <wp:effectExtent l="19050" t="0" r="6985" b="0"/>
                  <wp:wrapNone/>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707515" cy="1732915"/>
                          </a:xfrm>
                          <a:prstGeom prst="rect">
                            <a:avLst/>
                          </a:prstGeom>
                          <a:solidFill>
                            <a:srgbClr val="FFFFFF"/>
                          </a:solidFill>
                        </pic:spPr>
                      </pic:pic>
                    </a:graphicData>
                  </a:graphic>
                </wp:anchor>
              </w:drawing>
            </w:r>
          </w:p>
        </w:tc>
      </w:tr>
      <w:tr w:rsidR="0039412B" w:rsidRPr="007942C1" w14:paraId="775260FB" w14:textId="77777777" w:rsidTr="00E116FA">
        <w:trPr>
          <w:jc w:val="center"/>
        </w:trPr>
        <w:tc>
          <w:tcPr>
            <w:tcW w:w="3227" w:type="dxa"/>
            <w:vAlign w:val="center"/>
          </w:tcPr>
          <w:p w14:paraId="7F9ECCC3" w14:textId="77777777" w:rsidR="0039412B" w:rsidRPr="007942C1" w:rsidRDefault="0039412B" w:rsidP="000B3556">
            <w:pPr>
              <w:rPr>
                <w:rFonts w:cs="Calibri"/>
                <w:noProof/>
                <w:sz w:val="60"/>
                <w:szCs w:val="60"/>
              </w:rPr>
            </w:pPr>
          </w:p>
        </w:tc>
        <w:tc>
          <w:tcPr>
            <w:tcW w:w="3614" w:type="dxa"/>
            <w:vAlign w:val="center"/>
          </w:tcPr>
          <w:p w14:paraId="0A224E61" w14:textId="77777777" w:rsidR="0039412B" w:rsidRPr="007942C1" w:rsidRDefault="0039412B" w:rsidP="000B3556">
            <w:pPr>
              <w:rPr>
                <w:rFonts w:cs="Calibri"/>
                <w:spacing w:val="138"/>
                <w:sz w:val="60"/>
                <w:szCs w:val="60"/>
              </w:rPr>
            </w:pPr>
          </w:p>
        </w:tc>
        <w:tc>
          <w:tcPr>
            <w:tcW w:w="3932" w:type="dxa"/>
            <w:vAlign w:val="center"/>
          </w:tcPr>
          <w:p w14:paraId="61258453" w14:textId="77777777" w:rsidR="0039412B" w:rsidRPr="007942C1" w:rsidRDefault="0039412B" w:rsidP="000B3556">
            <w:pPr>
              <w:rPr>
                <w:rFonts w:cs="Calibri"/>
                <w:spacing w:val="138"/>
                <w:sz w:val="60"/>
                <w:szCs w:val="60"/>
              </w:rPr>
            </w:pPr>
          </w:p>
        </w:tc>
      </w:tr>
      <w:tr w:rsidR="0039412B" w:rsidRPr="007942C1" w14:paraId="35D96847" w14:textId="77777777" w:rsidTr="00E116FA">
        <w:trPr>
          <w:jc w:val="center"/>
        </w:trPr>
        <w:tc>
          <w:tcPr>
            <w:tcW w:w="3227" w:type="dxa"/>
            <w:vAlign w:val="center"/>
          </w:tcPr>
          <w:p w14:paraId="2E5F6E8D" w14:textId="77777777" w:rsidR="0039412B" w:rsidRPr="007942C1" w:rsidRDefault="0039412B" w:rsidP="000B3556">
            <w:pPr>
              <w:rPr>
                <w:rFonts w:cs="Calibri"/>
                <w:noProof/>
                <w:sz w:val="60"/>
                <w:szCs w:val="60"/>
              </w:rPr>
            </w:pPr>
          </w:p>
        </w:tc>
        <w:tc>
          <w:tcPr>
            <w:tcW w:w="3614" w:type="dxa"/>
            <w:vAlign w:val="center"/>
          </w:tcPr>
          <w:p w14:paraId="1E20EA52" w14:textId="77777777" w:rsidR="0039412B" w:rsidRPr="007942C1" w:rsidRDefault="0039412B" w:rsidP="000B3556">
            <w:pPr>
              <w:rPr>
                <w:rFonts w:cs="Calibri"/>
                <w:spacing w:val="138"/>
                <w:sz w:val="60"/>
                <w:szCs w:val="60"/>
              </w:rPr>
            </w:pPr>
          </w:p>
        </w:tc>
        <w:tc>
          <w:tcPr>
            <w:tcW w:w="3932" w:type="dxa"/>
            <w:vAlign w:val="center"/>
          </w:tcPr>
          <w:p w14:paraId="6FCA101F" w14:textId="77777777" w:rsidR="0039412B" w:rsidRPr="007942C1" w:rsidRDefault="0039412B" w:rsidP="000B3556">
            <w:pPr>
              <w:rPr>
                <w:rFonts w:cs="Calibri"/>
                <w:spacing w:val="138"/>
                <w:sz w:val="60"/>
                <w:szCs w:val="60"/>
              </w:rPr>
            </w:pPr>
          </w:p>
        </w:tc>
      </w:tr>
      <w:tr w:rsidR="0039412B" w:rsidRPr="007942C1" w14:paraId="1C3E14DB" w14:textId="77777777" w:rsidTr="00E116FA">
        <w:trPr>
          <w:jc w:val="center"/>
        </w:trPr>
        <w:tc>
          <w:tcPr>
            <w:tcW w:w="3227" w:type="dxa"/>
            <w:vAlign w:val="center"/>
          </w:tcPr>
          <w:p w14:paraId="70823EBC" w14:textId="77777777" w:rsidR="0039412B" w:rsidRPr="007942C1" w:rsidRDefault="0039412B" w:rsidP="000B13F5">
            <w:pPr>
              <w:rPr>
                <w:rFonts w:cs="Calibri"/>
                <w:noProof/>
                <w:sz w:val="60"/>
                <w:szCs w:val="60"/>
              </w:rPr>
            </w:pPr>
          </w:p>
        </w:tc>
        <w:tc>
          <w:tcPr>
            <w:tcW w:w="3614" w:type="dxa"/>
            <w:vAlign w:val="center"/>
          </w:tcPr>
          <w:p w14:paraId="4FADB56C" w14:textId="77777777" w:rsidR="0039412B" w:rsidRPr="007942C1" w:rsidRDefault="0039412B" w:rsidP="000B13F5">
            <w:pPr>
              <w:rPr>
                <w:rFonts w:cs="Calibri"/>
                <w:spacing w:val="138"/>
                <w:sz w:val="60"/>
                <w:szCs w:val="60"/>
              </w:rPr>
            </w:pPr>
          </w:p>
        </w:tc>
        <w:tc>
          <w:tcPr>
            <w:tcW w:w="3932" w:type="dxa"/>
            <w:vAlign w:val="center"/>
          </w:tcPr>
          <w:p w14:paraId="5615C547" w14:textId="77777777" w:rsidR="0039412B" w:rsidRPr="007942C1" w:rsidRDefault="0039412B" w:rsidP="000B13F5">
            <w:pPr>
              <w:rPr>
                <w:rFonts w:cs="Calibri"/>
                <w:spacing w:val="138"/>
                <w:sz w:val="60"/>
                <w:szCs w:val="60"/>
              </w:rPr>
            </w:pPr>
          </w:p>
        </w:tc>
      </w:tr>
      <w:tr w:rsidR="0039412B" w:rsidRPr="007942C1" w14:paraId="22474296" w14:textId="77777777" w:rsidTr="00921365">
        <w:trPr>
          <w:jc w:val="center"/>
        </w:trPr>
        <w:tc>
          <w:tcPr>
            <w:tcW w:w="3227" w:type="dxa"/>
            <w:vAlign w:val="center"/>
          </w:tcPr>
          <w:p w14:paraId="14B2C3CB" w14:textId="77777777" w:rsidR="0039412B" w:rsidRPr="007942C1" w:rsidRDefault="0039412B" w:rsidP="00921365">
            <w:pPr>
              <w:rPr>
                <w:rFonts w:cs="Calibri"/>
                <w:noProof/>
                <w:sz w:val="60"/>
                <w:szCs w:val="60"/>
              </w:rPr>
            </w:pPr>
          </w:p>
        </w:tc>
        <w:tc>
          <w:tcPr>
            <w:tcW w:w="3614" w:type="dxa"/>
            <w:vAlign w:val="center"/>
          </w:tcPr>
          <w:p w14:paraId="290DF8FF" w14:textId="77777777" w:rsidR="0039412B" w:rsidRPr="007942C1" w:rsidRDefault="0039412B" w:rsidP="00921365">
            <w:pPr>
              <w:rPr>
                <w:rFonts w:cs="Calibri"/>
                <w:spacing w:val="138"/>
                <w:sz w:val="60"/>
                <w:szCs w:val="60"/>
              </w:rPr>
            </w:pPr>
          </w:p>
        </w:tc>
        <w:tc>
          <w:tcPr>
            <w:tcW w:w="3932" w:type="dxa"/>
            <w:vAlign w:val="center"/>
          </w:tcPr>
          <w:p w14:paraId="18161599" w14:textId="77777777" w:rsidR="0039412B" w:rsidRPr="007942C1" w:rsidRDefault="0039412B" w:rsidP="00921365">
            <w:pPr>
              <w:rPr>
                <w:rFonts w:cs="Calibri"/>
                <w:spacing w:val="138"/>
                <w:sz w:val="60"/>
                <w:szCs w:val="60"/>
              </w:rPr>
            </w:pPr>
          </w:p>
        </w:tc>
      </w:tr>
      <w:tr w:rsidR="0039412B" w:rsidRPr="007942C1" w14:paraId="27DB299B" w14:textId="77777777" w:rsidTr="00E116FA">
        <w:trPr>
          <w:jc w:val="center"/>
        </w:trPr>
        <w:tc>
          <w:tcPr>
            <w:tcW w:w="3227" w:type="dxa"/>
            <w:vAlign w:val="center"/>
          </w:tcPr>
          <w:p w14:paraId="22D22A38" w14:textId="77777777" w:rsidR="0039412B" w:rsidRPr="007942C1" w:rsidRDefault="0039412B" w:rsidP="000B3556">
            <w:pPr>
              <w:rPr>
                <w:rFonts w:cs="Calibri"/>
                <w:noProof/>
                <w:sz w:val="56"/>
                <w:szCs w:val="60"/>
              </w:rPr>
            </w:pPr>
          </w:p>
        </w:tc>
        <w:tc>
          <w:tcPr>
            <w:tcW w:w="3614" w:type="dxa"/>
            <w:vAlign w:val="center"/>
          </w:tcPr>
          <w:p w14:paraId="73AA62E2" w14:textId="77777777" w:rsidR="0039412B" w:rsidRPr="007942C1" w:rsidRDefault="0039412B" w:rsidP="000B3556">
            <w:pPr>
              <w:rPr>
                <w:rFonts w:cs="Calibri"/>
                <w:spacing w:val="138"/>
                <w:sz w:val="56"/>
                <w:szCs w:val="60"/>
              </w:rPr>
            </w:pPr>
          </w:p>
        </w:tc>
        <w:tc>
          <w:tcPr>
            <w:tcW w:w="3932" w:type="dxa"/>
            <w:vAlign w:val="center"/>
          </w:tcPr>
          <w:p w14:paraId="6AA06F4F" w14:textId="77777777" w:rsidR="0039412B" w:rsidRPr="007942C1" w:rsidRDefault="0039412B" w:rsidP="000B3556">
            <w:pPr>
              <w:rPr>
                <w:rFonts w:cs="Calibri"/>
                <w:spacing w:val="138"/>
                <w:sz w:val="56"/>
                <w:szCs w:val="60"/>
              </w:rPr>
            </w:pPr>
          </w:p>
        </w:tc>
      </w:tr>
      <w:tr w:rsidR="0039412B" w:rsidRPr="007942C1" w14:paraId="15FA17D1" w14:textId="77777777" w:rsidTr="008A305E">
        <w:trPr>
          <w:jc w:val="center"/>
        </w:trPr>
        <w:tc>
          <w:tcPr>
            <w:tcW w:w="3227" w:type="dxa"/>
            <w:vAlign w:val="center"/>
          </w:tcPr>
          <w:p w14:paraId="1DD7D51C" w14:textId="77777777" w:rsidR="0039412B" w:rsidRPr="007942C1" w:rsidRDefault="0039412B" w:rsidP="008A305E">
            <w:pPr>
              <w:rPr>
                <w:rFonts w:cs="Calibri"/>
                <w:noProof/>
                <w:sz w:val="56"/>
                <w:szCs w:val="60"/>
              </w:rPr>
            </w:pPr>
          </w:p>
        </w:tc>
        <w:tc>
          <w:tcPr>
            <w:tcW w:w="3614" w:type="dxa"/>
            <w:vAlign w:val="center"/>
          </w:tcPr>
          <w:p w14:paraId="7C1756AE" w14:textId="77777777" w:rsidR="0039412B" w:rsidRPr="007942C1" w:rsidRDefault="0039412B" w:rsidP="008A305E">
            <w:pPr>
              <w:rPr>
                <w:rFonts w:cs="Calibri"/>
                <w:spacing w:val="138"/>
                <w:sz w:val="56"/>
                <w:szCs w:val="60"/>
              </w:rPr>
            </w:pPr>
          </w:p>
        </w:tc>
        <w:tc>
          <w:tcPr>
            <w:tcW w:w="3932" w:type="dxa"/>
            <w:vAlign w:val="center"/>
          </w:tcPr>
          <w:p w14:paraId="2665444D" w14:textId="77777777" w:rsidR="0039412B" w:rsidRPr="007942C1" w:rsidRDefault="0039412B" w:rsidP="008A305E">
            <w:pPr>
              <w:rPr>
                <w:rFonts w:cs="Calibri"/>
                <w:spacing w:val="138"/>
                <w:sz w:val="56"/>
                <w:szCs w:val="60"/>
              </w:rPr>
            </w:pPr>
          </w:p>
        </w:tc>
      </w:tr>
      <w:tr w:rsidR="0039412B" w:rsidRPr="007942C1" w14:paraId="13166F83" w14:textId="77777777" w:rsidTr="00E116FA">
        <w:trPr>
          <w:jc w:val="center"/>
        </w:trPr>
        <w:tc>
          <w:tcPr>
            <w:tcW w:w="3227" w:type="dxa"/>
            <w:vAlign w:val="center"/>
          </w:tcPr>
          <w:p w14:paraId="3670583C" w14:textId="77777777" w:rsidR="0039412B" w:rsidRPr="007942C1" w:rsidRDefault="0039412B" w:rsidP="000B3556">
            <w:pPr>
              <w:rPr>
                <w:rFonts w:cs="Calibri"/>
                <w:noProof/>
                <w:sz w:val="56"/>
                <w:szCs w:val="60"/>
              </w:rPr>
            </w:pPr>
          </w:p>
        </w:tc>
        <w:tc>
          <w:tcPr>
            <w:tcW w:w="3614" w:type="dxa"/>
            <w:vAlign w:val="center"/>
          </w:tcPr>
          <w:p w14:paraId="0EF5CF31" w14:textId="77777777" w:rsidR="0039412B" w:rsidRPr="007942C1" w:rsidRDefault="0039412B" w:rsidP="000B3556">
            <w:pPr>
              <w:rPr>
                <w:rFonts w:cs="Calibri"/>
                <w:spacing w:val="138"/>
                <w:sz w:val="56"/>
                <w:szCs w:val="60"/>
              </w:rPr>
            </w:pPr>
          </w:p>
        </w:tc>
        <w:tc>
          <w:tcPr>
            <w:tcW w:w="3932" w:type="dxa"/>
            <w:vAlign w:val="center"/>
          </w:tcPr>
          <w:p w14:paraId="071A32AB" w14:textId="77777777" w:rsidR="0039412B" w:rsidRPr="007942C1" w:rsidRDefault="0039412B" w:rsidP="000B3556">
            <w:pPr>
              <w:rPr>
                <w:rFonts w:cs="Calibri"/>
                <w:spacing w:val="138"/>
                <w:sz w:val="56"/>
                <w:szCs w:val="60"/>
              </w:rPr>
            </w:pPr>
          </w:p>
        </w:tc>
      </w:tr>
      <w:tr w:rsidR="0039412B" w:rsidRPr="007942C1" w14:paraId="23A85B8F" w14:textId="77777777" w:rsidTr="00E116FA">
        <w:trPr>
          <w:jc w:val="center"/>
        </w:trPr>
        <w:tc>
          <w:tcPr>
            <w:tcW w:w="10773" w:type="dxa"/>
            <w:gridSpan w:val="3"/>
            <w:vAlign w:val="center"/>
          </w:tcPr>
          <w:p w14:paraId="5EC0C091" w14:textId="77777777" w:rsidR="0039412B" w:rsidRPr="007942C1" w:rsidRDefault="0039412B" w:rsidP="000B3556">
            <w:pPr>
              <w:jc w:val="center"/>
              <w:rPr>
                <w:rFonts w:cs="Calibri"/>
                <w:b/>
                <w:smallCaps/>
                <w:spacing w:val="94"/>
                <w:sz w:val="60"/>
                <w:szCs w:val="60"/>
              </w:rPr>
            </w:pPr>
            <w:r w:rsidRPr="007942C1">
              <w:rPr>
                <w:rFonts w:cs="Calibri"/>
                <w:b/>
                <w:smallCaps/>
                <w:spacing w:val="94"/>
                <w:sz w:val="78"/>
                <w:szCs w:val="60"/>
              </w:rPr>
              <w:t>Pacific Judicial Development Programme</w:t>
            </w:r>
          </w:p>
        </w:tc>
      </w:tr>
      <w:tr w:rsidR="0039412B" w:rsidRPr="007942C1" w14:paraId="18517F27" w14:textId="77777777" w:rsidTr="00E116FA">
        <w:trPr>
          <w:jc w:val="center"/>
        </w:trPr>
        <w:tc>
          <w:tcPr>
            <w:tcW w:w="3227" w:type="dxa"/>
            <w:vAlign w:val="center"/>
          </w:tcPr>
          <w:p w14:paraId="0CCD5179" w14:textId="77777777" w:rsidR="0039412B" w:rsidRPr="007942C1" w:rsidRDefault="0039412B" w:rsidP="000B13F5">
            <w:pPr>
              <w:rPr>
                <w:rFonts w:cs="Calibri"/>
                <w:noProof/>
                <w:sz w:val="76"/>
                <w:szCs w:val="60"/>
              </w:rPr>
            </w:pPr>
          </w:p>
        </w:tc>
        <w:tc>
          <w:tcPr>
            <w:tcW w:w="3614" w:type="dxa"/>
            <w:vAlign w:val="center"/>
          </w:tcPr>
          <w:p w14:paraId="3BBB3E3D" w14:textId="77777777" w:rsidR="0039412B" w:rsidRPr="007942C1" w:rsidRDefault="0039412B" w:rsidP="000B13F5">
            <w:pPr>
              <w:rPr>
                <w:rFonts w:cs="Calibri"/>
                <w:spacing w:val="138"/>
                <w:sz w:val="76"/>
                <w:szCs w:val="60"/>
              </w:rPr>
            </w:pPr>
          </w:p>
        </w:tc>
        <w:tc>
          <w:tcPr>
            <w:tcW w:w="3932" w:type="dxa"/>
            <w:vAlign w:val="center"/>
          </w:tcPr>
          <w:p w14:paraId="194F753E" w14:textId="77777777" w:rsidR="0039412B" w:rsidRPr="007942C1" w:rsidRDefault="0039412B" w:rsidP="000B13F5">
            <w:pPr>
              <w:rPr>
                <w:rFonts w:cs="Calibri"/>
                <w:spacing w:val="138"/>
                <w:sz w:val="76"/>
                <w:szCs w:val="60"/>
              </w:rPr>
            </w:pPr>
          </w:p>
        </w:tc>
      </w:tr>
      <w:tr w:rsidR="0039412B" w:rsidRPr="007942C1" w14:paraId="3237AC70" w14:textId="77777777" w:rsidTr="00E116FA">
        <w:trPr>
          <w:jc w:val="center"/>
        </w:trPr>
        <w:tc>
          <w:tcPr>
            <w:tcW w:w="3227" w:type="dxa"/>
            <w:vAlign w:val="center"/>
          </w:tcPr>
          <w:p w14:paraId="0987B46B" w14:textId="77777777" w:rsidR="0039412B" w:rsidRPr="007942C1" w:rsidRDefault="0039412B" w:rsidP="000B13F5">
            <w:pPr>
              <w:rPr>
                <w:rFonts w:cs="Calibri"/>
                <w:noProof/>
                <w:sz w:val="76"/>
                <w:szCs w:val="60"/>
              </w:rPr>
            </w:pPr>
          </w:p>
        </w:tc>
        <w:tc>
          <w:tcPr>
            <w:tcW w:w="3614" w:type="dxa"/>
            <w:vAlign w:val="center"/>
          </w:tcPr>
          <w:p w14:paraId="362117A8" w14:textId="77777777" w:rsidR="0039412B" w:rsidRPr="007942C1" w:rsidRDefault="0039412B" w:rsidP="000B13F5">
            <w:pPr>
              <w:rPr>
                <w:rFonts w:cs="Calibri"/>
                <w:spacing w:val="138"/>
                <w:sz w:val="76"/>
                <w:szCs w:val="60"/>
              </w:rPr>
            </w:pPr>
          </w:p>
        </w:tc>
        <w:tc>
          <w:tcPr>
            <w:tcW w:w="3932" w:type="dxa"/>
            <w:vAlign w:val="center"/>
          </w:tcPr>
          <w:p w14:paraId="2E955702" w14:textId="77777777" w:rsidR="0039412B" w:rsidRPr="007942C1" w:rsidRDefault="0039412B" w:rsidP="000B13F5">
            <w:pPr>
              <w:rPr>
                <w:rFonts w:cs="Calibri"/>
                <w:spacing w:val="138"/>
                <w:sz w:val="76"/>
                <w:szCs w:val="60"/>
              </w:rPr>
            </w:pPr>
          </w:p>
        </w:tc>
      </w:tr>
      <w:tr w:rsidR="0039412B" w:rsidRPr="007942C1" w14:paraId="542D6F05" w14:textId="77777777" w:rsidTr="00E116FA">
        <w:trPr>
          <w:jc w:val="center"/>
        </w:trPr>
        <w:tc>
          <w:tcPr>
            <w:tcW w:w="3227" w:type="dxa"/>
            <w:vAlign w:val="center"/>
          </w:tcPr>
          <w:p w14:paraId="1CDF0DD2" w14:textId="77777777" w:rsidR="0039412B" w:rsidRPr="007942C1" w:rsidRDefault="0039412B" w:rsidP="000B13F5">
            <w:pPr>
              <w:rPr>
                <w:rFonts w:cs="Calibri"/>
                <w:noProof/>
                <w:sz w:val="76"/>
                <w:szCs w:val="60"/>
              </w:rPr>
            </w:pPr>
          </w:p>
        </w:tc>
        <w:tc>
          <w:tcPr>
            <w:tcW w:w="3614" w:type="dxa"/>
            <w:vAlign w:val="center"/>
          </w:tcPr>
          <w:p w14:paraId="3421EF8E" w14:textId="77777777" w:rsidR="0039412B" w:rsidRPr="007942C1" w:rsidRDefault="0039412B" w:rsidP="000B13F5">
            <w:pPr>
              <w:rPr>
                <w:rFonts w:cs="Calibri"/>
                <w:spacing w:val="138"/>
                <w:sz w:val="76"/>
                <w:szCs w:val="60"/>
              </w:rPr>
            </w:pPr>
          </w:p>
        </w:tc>
        <w:tc>
          <w:tcPr>
            <w:tcW w:w="3932" w:type="dxa"/>
            <w:vAlign w:val="center"/>
          </w:tcPr>
          <w:p w14:paraId="14EFF241" w14:textId="77777777" w:rsidR="0039412B" w:rsidRPr="007942C1" w:rsidRDefault="0039412B" w:rsidP="000B13F5">
            <w:pPr>
              <w:rPr>
                <w:rFonts w:cs="Calibri"/>
                <w:spacing w:val="138"/>
                <w:sz w:val="76"/>
                <w:szCs w:val="60"/>
              </w:rPr>
            </w:pPr>
          </w:p>
        </w:tc>
      </w:tr>
      <w:tr w:rsidR="0039412B" w:rsidRPr="007942C1" w14:paraId="4C185685" w14:textId="77777777" w:rsidTr="006B43EB">
        <w:trPr>
          <w:trHeight w:val="2492"/>
          <w:jc w:val="center"/>
        </w:trPr>
        <w:tc>
          <w:tcPr>
            <w:tcW w:w="10773" w:type="dxa"/>
            <w:gridSpan w:val="3"/>
            <w:vAlign w:val="bottom"/>
          </w:tcPr>
          <w:p w14:paraId="6E08F0A0" w14:textId="77777777" w:rsidR="0039412B" w:rsidRPr="007942C1" w:rsidRDefault="0039412B" w:rsidP="006B43EB">
            <w:pPr>
              <w:ind w:left="318" w:right="317"/>
              <w:jc w:val="center"/>
              <w:rPr>
                <w:b/>
                <w:sz w:val="68"/>
                <w:szCs w:val="68"/>
              </w:rPr>
            </w:pPr>
            <w:r w:rsidRPr="007942C1">
              <w:rPr>
                <w:b/>
                <w:sz w:val="68"/>
                <w:szCs w:val="68"/>
              </w:rPr>
              <w:t>PJDP Phase 2:</w:t>
            </w:r>
          </w:p>
          <w:p w14:paraId="680413D9" w14:textId="77777777" w:rsidR="0039412B" w:rsidRPr="007942C1" w:rsidRDefault="0039412B" w:rsidP="006B43EB">
            <w:pPr>
              <w:ind w:left="318" w:right="317"/>
              <w:jc w:val="center"/>
              <w:rPr>
                <w:b/>
                <w:sz w:val="12"/>
                <w:szCs w:val="68"/>
              </w:rPr>
            </w:pPr>
            <w:r w:rsidRPr="007942C1">
              <w:rPr>
                <w:b/>
                <w:sz w:val="68"/>
                <w:szCs w:val="68"/>
              </w:rPr>
              <w:softHyphen/>
            </w:r>
          </w:p>
          <w:p w14:paraId="7F7A510E" w14:textId="77777777" w:rsidR="0039412B" w:rsidRPr="007942C1" w:rsidRDefault="00212E64" w:rsidP="009C262E">
            <w:pPr>
              <w:ind w:left="318" w:right="317"/>
              <w:jc w:val="center"/>
              <w:rPr>
                <w:b/>
                <w:sz w:val="68"/>
                <w:szCs w:val="68"/>
              </w:rPr>
            </w:pPr>
            <w:r>
              <w:rPr>
                <w:b/>
                <w:sz w:val="68"/>
                <w:szCs w:val="68"/>
              </w:rPr>
              <w:t>Fourth</w:t>
            </w:r>
            <w:r w:rsidR="0039412B" w:rsidRPr="007942C1">
              <w:rPr>
                <w:b/>
                <w:sz w:val="68"/>
                <w:szCs w:val="68"/>
              </w:rPr>
              <w:t xml:space="preserve"> Six-monthly Progress Report</w:t>
            </w:r>
          </w:p>
          <w:p w14:paraId="12849580" w14:textId="77777777" w:rsidR="0039412B" w:rsidRPr="007942C1" w:rsidRDefault="0039412B" w:rsidP="009C262E">
            <w:pPr>
              <w:ind w:left="318" w:right="317"/>
              <w:jc w:val="center"/>
              <w:rPr>
                <w:i/>
                <w:sz w:val="36"/>
                <w:szCs w:val="68"/>
              </w:rPr>
            </w:pPr>
          </w:p>
          <w:p w14:paraId="03681C75" w14:textId="08AEAF04" w:rsidR="0039412B" w:rsidRPr="007942C1" w:rsidRDefault="0039412B" w:rsidP="000947C6">
            <w:pPr>
              <w:ind w:left="318" w:right="317"/>
              <w:jc w:val="center"/>
              <w:rPr>
                <w:i/>
                <w:sz w:val="68"/>
                <w:szCs w:val="68"/>
              </w:rPr>
            </w:pPr>
            <w:r w:rsidRPr="007942C1">
              <w:rPr>
                <w:i/>
                <w:sz w:val="48"/>
                <w:szCs w:val="68"/>
              </w:rPr>
              <w:t xml:space="preserve">Milestone </w:t>
            </w:r>
            <w:r w:rsidR="00AE2068">
              <w:rPr>
                <w:i/>
                <w:sz w:val="48"/>
                <w:szCs w:val="68"/>
              </w:rPr>
              <w:t>Forty</w:t>
            </w:r>
            <w:r w:rsidR="00212E64">
              <w:rPr>
                <w:i/>
                <w:sz w:val="48"/>
                <w:szCs w:val="68"/>
              </w:rPr>
              <w:t>-</w:t>
            </w:r>
            <w:r w:rsidR="000947C6">
              <w:rPr>
                <w:i/>
                <w:sz w:val="48"/>
                <w:szCs w:val="68"/>
              </w:rPr>
              <w:t>t</w:t>
            </w:r>
            <w:r w:rsidR="00212E64">
              <w:rPr>
                <w:i/>
                <w:sz w:val="48"/>
                <w:szCs w:val="68"/>
              </w:rPr>
              <w:t>wo</w:t>
            </w:r>
          </w:p>
        </w:tc>
      </w:tr>
      <w:tr w:rsidR="0039412B" w:rsidRPr="007942C1" w14:paraId="0E932AA5" w14:textId="77777777" w:rsidTr="00E116FA">
        <w:trPr>
          <w:jc w:val="center"/>
        </w:trPr>
        <w:tc>
          <w:tcPr>
            <w:tcW w:w="3227" w:type="dxa"/>
            <w:vAlign w:val="center"/>
          </w:tcPr>
          <w:p w14:paraId="5CBC17FD" w14:textId="77777777" w:rsidR="0039412B" w:rsidRPr="007942C1" w:rsidRDefault="0039412B" w:rsidP="000B3556">
            <w:pPr>
              <w:rPr>
                <w:rFonts w:cs="Calibri"/>
                <w:noProof/>
                <w:sz w:val="32"/>
                <w:szCs w:val="60"/>
              </w:rPr>
            </w:pPr>
          </w:p>
        </w:tc>
        <w:tc>
          <w:tcPr>
            <w:tcW w:w="3614" w:type="dxa"/>
            <w:vAlign w:val="center"/>
          </w:tcPr>
          <w:p w14:paraId="36F11F6D" w14:textId="77777777" w:rsidR="0039412B" w:rsidRPr="007942C1" w:rsidRDefault="0039412B" w:rsidP="000B3556">
            <w:pPr>
              <w:rPr>
                <w:rFonts w:cs="Calibri"/>
                <w:spacing w:val="138"/>
                <w:sz w:val="32"/>
                <w:szCs w:val="60"/>
              </w:rPr>
            </w:pPr>
          </w:p>
        </w:tc>
        <w:tc>
          <w:tcPr>
            <w:tcW w:w="3932" w:type="dxa"/>
            <w:vAlign w:val="center"/>
          </w:tcPr>
          <w:p w14:paraId="5B4F5C42" w14:textId="77777777" w:rsidR="0039412B" w:rsidRPr="007942C1" w:rsidRDefault="0039412B" w:rsidP="000B3556">
            <w:pPr>
              <w:rPr>
                <w:rFonts w:cs="Calibri"/>
                <w:spacing w:val="138"/>
                <w:sz w:val="32"/>
                <w:szCs w:val="60"/>
              </w:rPr>
            </w:pPr>
          </w:p>
        </w:tc>
      </w:tr>
      <w:tr w:rsidR="0039412B" w:rsidRPr="007942C1" w14:paraId="72353BC4" w14:textId="77777777" w:rsidTr="00E116FA">
        <w:trPr>
          <w:trHeight w:val="564"/>
          <w:jc w:val="center"/>
        </w:trPr>
        <w:tc>
          <w:tcPr>
            <w:tcW w:w="10773" w:type="dxa"/>
            <w:gridSpan w:val="3"/>
            <w:vAlign w:val="center"/>
          </w:tcPr>
          <w:p w14:paraId="3ED7A72D" w14:textId="77777777" w:rsidR="0039412B" w:rsidRPr="007942C1" w:rsidRDefault="0039412B" w:rsidP="00212E64">
            <w:pPr>
              <w:jc w:val="center"/>
              <w:rPr>
                <w:rFonts w:cs="Calibri"/>
                <w:b/>
                <w:sz w:val="36"/>
                <w:szCs w:val="60"/>
              </w:rPr>
            </w:pPr>
            <w:r w:rsidRPr="007942C1">
              <w:rPr>
                <w:rFonts w:cs="Calibri"/>
                <w:b/>
                <w:sz w:val="36"/>
                <w:szCs w:val="56"/>
              </w:rPr>
              <w:t>1 January - 30 June, 201</w:t>
            </w:r>
            <w:r w:rsidR="00212E64">
              <w:rPr>
                <w:rFonts w:cs="Calibri"/>
                <w:b/>
                <w:sz w:val="36"/>
                <w:szCs w:val="56"/>
              </w:rPr>
              <w:t>4</w:t>
            </w:r>
          </w:p>
        </w:tc>
      </w:tr>
      <w:tr w:rsidR="0039412B" w:rsidRPr="007942C1" w14:paraId="27EE791E" w14:textId="77777777" w:rsidTr="008A305E">
        <w:trPr>
          <w:jc w:val="center"/>
        </w:trPr>
        <w:tc>
          <w:tcPr>
            <w:tcW w:w="3227" w:type="dxa"/>
            <w:vAlign w:val="center"/>
          </w:tcPr>
          <w:p w14:paraId="7F42C6E9" w14:textId="77777777" w:rsidR="0039412B" w:rsidRPr="007942C1" w:rsidRDefault="0039412B" w:rsidP="008A305E">
            <w:pPr>
              <w:rPr>
                <w:rFonts w:cs="Calibri"/>
                <w:noProof/>
                <w:sz w:val="52"/>
                <w:szCs w:val="60"/>
              </w:rPr>
            </w:pPr>
          </w:p>
        </w:tc>
        <w:tc>
          <w:tcPr>
            <w:tcW w:w="3614" w:type="dxa"/>
            <w:vAlign w:val="center"/>
          </w:tcPr>
          <w:p w14:paraId="3FD5CA76" w14:textId="77777777" w:rsidR="0039412B" w:rsidRPr="007942C1" w:rsidRDefault="0039412B" w:rsidP="008A305E">
            <w:pPr>
              <w:rPr>
                <w:rFonts w:cs="Calibri"/>
                <w:spacing w:val="138"/>
                <w:sz w:val="52"/>
                <w:szCs w:val="60"/>
              </w:rPr>
            </w:pPr>
          </w:p>
        </w:tc>
        <w:tc>
          <w:tcPr>
            <w:tcW w:w="3932" w:type="dxa"/>
            <w:vAlign w:val="center"/>
          </w:tcPr>
          <w:p w14:paraId="07C4E76A" w14:textId="77777777" w:rsidR="0039412B" w:rsidRPr="007942C1" w:rsidRDefault="0039412B" w:rsidP="008A305E">
            <w:pPr>
              <w:rPr>
                <w:rFonts w:cs="Calibri"/>
                <w:spacing w:val="138"/>
                <w:sz w:val="52"/>
                <w:szCs w:val="60"/>
              </w:rPr>
            </w:pPr>
          </w:p>
        </w:tc>
      </w:tr>
      <w:tr w:rsidR="0039412B" w:rsidRPr="007942C1" w14:paraId="3578C1B1" w14:textId="77777777" w:rsidTr="00E116FA">
        <w:trPr>
          <w:jc w:val="center"/>
        </w:trPr>
        <w:tc>
          <w:tcPr>
            <w:tcW w:w="3227" w:type="dxa"/>
            <w:vAlign w:val="center"/>
          </w:tcPr>
          <w:p w14:paraId="02A942CD" w14:textId="77777777" w:rsidR="0039412B" w:rsidRPr="007942C1" w:rsidRDefault="0039412B" w:rsidP="000B13F5">
            <w:pPr>
              <w:rPr>
                <w:rFonts w:cs="Calibri"/>
                <w:noProof/>
                <w:sz w:val="52"/>
                <w:szCs w:val="60"/>
              </w:rPr>
            </w:pPr>
          </w:p>
        </w:tc>
        <w:tc>
          <w:tcPr>
            <w:tcW w:w="3614" w:type="dxa"/>
            <w:vAlign w:val="center"/>
          </w:tcPr>
          <w:p w14:paraId="32747037" w14:textId="77777777" w:rsidR="0039412B" w:rsidRPr="007942C1" w:rsidRDefault="0039412B" w:rsidP="000B13F5">
            <w:pPr>
              <w:rPr>
                <w:rFonts w:cs="Calibri"/>
                <w:spacing w:val="138"/>
                <w:sz w:val="52"/>
                <w:szCs w:val="60"/>
              </w:rPr>
            </w:pPr>
          </w:p>
        </w:tc>
        <w:tc>
          <w:tcPr>
            <w:tcW w:w="3932" w:type="dxa"/>
            <w:vAlign w:val="center"/>
          </w:tcPr>
          <w:p w14:paraId="3801BB3C" w14:textId="77777777" w:rsidR="0039412B" w:rsidRPr="007942C1" w:rsidRDefault="0039412B" w:rsidP="000B13F5">
            <w:pPr>
              <w:rPr>
                <w:rFonts w:cs="Calibri"/>
                <w:spacing w:val="138"/>
                <w:sz w:val="52"/>
                <w:szCs w:val="60"/>
              </w:rPr>
            </w:pPr>
          </w:p>
        </w:tc>
      </w:tr>
      <w:tr w:rsidR="0039412B" w:rsidRPr="007942C1" w14:paraId="1845685E" w14:textId="77777777" w:rsidTr="00E116FA">
        <w:trPr>
          <w:jc w:val="center"/>
        </w:trPr>
        <w:tc>
          <w:tcPr>
            <w:tcW w:w="3227" w:type="dxa"/>
            <w:vAlign w:val="center"/>
          </w:tcPr>
          <w:p w14:paraId="74AB756B" w14:textId="77777777" w:rsidR="0039412B" w:rsidRPr="007942C1" w:rsidRDefault="0039412B" w:rsidP="000B3556">
            <w:pPr>
              <w:rPr>
                <w:rFonts w:cs="Calibri"/>
                <w:noProof/>
                <w:sz w:val="52"/>
                <w:szCs w:val="60"/>
              </w:rPr>
            </w:pPr>
          </w:p>
        </w:tc>
        <w:tc>
          <w:tcPr>
            <w:tcW w:w="3614" w:type="dxa"/>
            <w:vAlign w:val="center"/>
          </w:tcPr>
          <w:p w14:paraId="70C48D11" w14:textId="77777777" w:rsidR="0039412B" w:rsidRPr="007942C1" w:rsidRDefault="0039412B" w:rsidP="000B3556">
            <w:pPr>
              <w:rPr>
                <w:rFonts w:cs="Calibri"/>
                <w:spacing w:val="138"/>
                <w:sz w:val="52"/>
                <w:szCs w:val="60"/>
              </w:rPr>
            </w:pPr>
          </w:p>
        </w:tc>
        <w:tc>
          <w:tcPr>
            <w:tcW w:w="3932" w:type="dxa"/>
            <w:vAlign w:val="center"/>
          </w:tcPr>
          <w:p w14:paraId="3F64C77A" w14:textId="77777777" w:rsidR="0039412B" w:rsidRPr="007942C1" w:rsidRDefault="0039412B" w:rsidP="000B3556">
            <w:pPr>
              <w:rPr>
                <w:rFonts w:cs="Calibri"/>
                <w:spacing w:val="138"/>
                <w:sz w:val="52"/>
                <w:szCs w:val="60"/>
              </w:rPr>
            </w:pPr>
          </w:p>
        </w:tc>
      </w:tr>
      <w:tr w:rsidR="0039412B" w:rsidRPr="007942C1" w14:paraId="52EB0E10" w14:textId="77777777" w:rsidTr="00E116FA">
        <w:trPr>
          <w:jc w:val="center"/>
        </w:trPr>
        <w:tc>
          <w:tcPr>
            <w:tcW w:w="10773" w:type="dxa"/>
            <w:gridSpan w:val="3"/>
            <w:vAlign w:val="center"/>
          </w:tcPr>
          <w:p w14:paraId="39C197D8" w14:textId="77777777" w:rsidR="0039412B" w:rsidRPr="007942C1" w:rsidRDefault="0039412B" w:rsidP="006B43EB">
            <w:pPr>
              <w:jc w:val="center"/>
              <w:rPr>
                <w:rFonts w:cs="Calibri"/>
                <w:b/>
                <w:bCs/>
                <w:sz w:val="28"/>
                <w:szCs w:val="32"/>
              </w:rPr>
            </w:pPr>
            <w:r w:rsidRPr="007942C1">
              <w:rPr>
                <w:sz w:val="28"/>
                <w:szCs w:val="32"/>
              </w:rPr>
              <w:t xml:space="preserve">PJDP is implemented by the </w:t>
            </w:r>
            <w:r w:rsidRPr="007942C1">
              <w:rPr>
                <w:i/>
                <w:sz w:val="28"/>
                <w:szCs w:val="32"/>
              </w:rPr>
              <w:t>Federal Court of Australia</w:t>
            </w:r>
            <w:r w:rsidRPr="007942C1">
              <w:rPr>
                <w:sz w:val="28"/>
                <w:szCs w:val="32"/>
              </w:rPr>
              <w:t xml:space="preserve"> </w:t>
            </w:r>
            <w:r w:rsidRPr="007942C1">
              <w:rPr>
                <w:rFonts w:cs="Calibri"/>
                <w:sz w:val="28"/>
                <w:szCs w:val="32"/>
              </w:rPr>
              <w:t xml:space="preserve">with funding support from the </w:t>
            </w:r>
            <w:r w:rsidRPr="007942C1">
              <w:rPr>
                <w:rFonts w:cs="Calibri"/>
                <w:i/>
                <w:sz w:val="28"/>
                <w:szCs w:val="32"/>
              </w:rPr>
              <w:t>New Zealand Ministry of Foreign Affairs and Trade</w:t>
            </w:r>
          </w:p>
        </w:tc>
      </w:tr>
    </w:tbl>
    <w:p w14:paraId="1E87586D" w14:textId="77777777" w:rsidR="0039412B" w:rsidRPr="007942C1" w:rsidRDefault="0039412B" w:rsidP="000B3556">
      <w:pPr>
        <w:jc w:val="center"/>
        <w:rPr>
          <w:rFonts w:cs="Calibri"/>
          <w:sz w:val="2"/>
          <w:szCs w:val="32"/>
        </w:rPr>
        <w:sectPr w:rsidR="0039412B" w:rsidRPr="007942C1" w:rsidSect="0060320D">
          <w:footerReference w:type="default" r:id="rId10"/>
          <w:type w:val="continuous"/>
          <w:pgSz w:w="11907" w:h="16840" w:code="9"/>
          <w:pgMar w:top="679" w:right="1361" w:bottom="567" w:left="1418" w:header="180" w:footer="680" w:gutter="0"/>
          <w:pgNumType w:fmt="lowerRoman" w:start="1"/>
          <w:cols w:space="708"/>
          <w:docGrid w:linePitch="360"/>
        </w:sectPr>
      </w:pPr>
    </w:p>
    <w:p w14:paraId="4958148E" w14:textId="77777777" w:rsidR="0039412B" w:rsidRPr="007942C1" w:rsidRDefault="0039412B" w:rsidP="00FC0121">
      <w:pPr>
        <w:rPr>
          <w:sz w:val="7"/>
          <w:szCs w:val="23"/>
        </w:rPr>
      </w:pPr>
      <w:bookmarkStart w:id="6" w:name="_Toc279333647"/>
      <w:bookmarkEnd w:id="0"/>
      <w:bookmarkEnd w:id="1"/>
      <w:bookmarkEnd w:id="2"/>
      <w:bookmarkEnd w:id="3"/>
      <w:bookmarkEnd w:id="4"/>
    </w:p>
    <w:p w14:paraId="531965F3" w14:textId="77777777" w:rsidR="0039412B" w:rsidRPr="007942C1" w:rsidRDefault="0039412B" w:rsidP="00D71692">
      <w:pPr>
        <w:keepNext/>
        <w:spacing w:before="120"/>
        <w:ind w:left="709" w:hanging="709"/>
        <w:jc w:val="center"/>
        <w:outlineLvl w:val="0"/>
        <w:rPr>
          <w:b/>
          <w:bCs/>
          <w:smallCaps/>
          <w:kern w:val="32"/>
          <w:sz w:val="26"/>
          <w:szCs w:val="27"/>
          <w:lang w:eastAsia="en-US"/>
        </w:rPr>
      </w:pPr>
      <w:bookmarkStart w:id="7" w:name="_Toc315450178"/>
      <w:bookmarkStart w:id="8" w:name="_Toc315450231"/>
      <w:bookmarkStart w:id="9" w:name="_Toc315450286"/>
      <w:bookmarkStart w:id="10" w:name="_Toc318139971"/>
      <w:bookmarkStart w:id="11" w:name="_Toc318224951"/>
      <w:bookmarkStart w:id="12" w:name="_Toc318372772"/>
      <w:bookmarkStart w:id="13" w:name="_Toc323286153"/>
      <w:bookmarkStart w:id="14" w:name="_Toc323387511"/>
      <w:bookmarkStart w:id="15" w:name="_Toc328591426"/>
      <w:bookmarkStart w:id="16" w:name="_Toc328730640"/>
      <w:bookmarkStart w:id="17" w:name="_Toc328735168"/>
      <w:bookmarkStart w:id="18" w:name="_Toc359485072"/>
      <w:bookmarkStart w:id="19" w:name="_Toc359580697"/>
      <w:bookmarkStart w:id="20" w:name="_Toc359580894"/>
      <w:bookmarkStart w:id="21" w:name="_Toc359945985"/>
      <w:bookmarkStart w:id="22" w:name="_Toc359946441"/>
      <w:bookmarkStart w:id="23" w:name="_Toc359946909"/>
      <w:bookmarkStart w:id="24" w:name="_Toc359996709"/>
      <w:bookmarkStart w:id="25" w:name="_Toc360207419"/>
      <w:bookmarkStart w:id="26" w:name="_Toc360208729"/>
      <w:bookmarkStart w:id="27" w:name="_Toc360208861"/>
      <w:bookmarkStart w:id="28" w:name="_Toc391469714"/>
      <w:r w:rsidRPr="007942C1">
        <w:rPr>
          <w:b/>
          <w:bCs/>
          <w:smallCaps/>
          <w:kern w:val="32"/>
          <w:sz w:val="26"/>
          <w:szCs w:val="27"/>
          <w:lang w:eastAsia="en-US"/>
        </w:rPr>
        <w:t>Table of Contents</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1068F75E" w14:textId="77777777" w:rsidR="00FD0449" w:rsidRPr="00FD0449" w:rsidRDefault="003E5AB5" w:rsidP="00FD0449">
      <w:pPr>
        <w:pStyle w:val="TOC1"/>
        <w:rPr>
          <w:rFonts w:eastAsiaTheme="minorEastAsia" w:cstheme="minorBidi"/>
          <w:kern w:val="0"/>
          <w:lang w:eastAsia="ja-JP"/>
        </w:rPr>
      </w:pPr>
      <w:r w:rsidRPr="00FD0449">
        <w:fldChar w:fldCharType="begin"/>
      </w:r>
      <w:r w:rsidR="0039412B" w:rsidRPr="00FD0449">
        <w:instrText xml:space="preserve"> TOC \o "1-3" \h \z \u </w:instrText>
      </w:r>
      <w:r w:rsidRPr="00FD0449">
        <w:fldChar w:fldCharType="separate"/>
      </w:r>
    </w:p>
    <w:p w14:paraId="25E68DB1" w14:textId="77777777" w:rsidR="00FD0449" w:rsidRPr="00FD0449" w:rsidRDefault="00224AA1" w:rsidP="00FD0449">
      <w:pPr>
        <w:pStyle w:val="TOC1"/>
        <w:rPr>
          <w:rFonts w:eastAsiaTheme="minorEastAsia" w:cstheme="minorBidi"/>
          <w:kern w:val="0"/>
          <w:lang w:eastAsia="ja-JP"/>
        </w:rPr>
      </w:pPr>
      <w:hyperlink w:anchor="_Toc391469715" w:history="1">
        <w:r w:rsidR="00FD0449" w:rsidRPr="00FD0449">
          <w:rPr>
            <w:rStyle w:val="Hyperlink"/>
          </w:rPr>
          <w:t>Abbreviations and Acronyms</w:t>
        </w:r>
        <w:r w:rsidR="00FD0449" w:rsidRPr="00FD0449">
          <w:rPr>
            <w:webHidden/>
          </w:rPr>
          <w:tab/>
        </w:r>
        <w:r w:rsidR="003E5AB5" w:rsidRPr="00FD0449">
          <w:rPr>
            <w:webHidden/>
          </w:rPr>
          <w:fldChar w:fldCharType="begin"/>
        </w:r>
        <w:r w:rsidR="00FD0449" w:rsidRPr="00FD0449">
          <w:rPr>
            <w:webHidden/>
          </w:rPr>
          <w:instrText xml:space="preserve"> PAGEREF _Toc391469715 \h </w:instrText>
        </w:r>
        <w:r w:rsidR="003E5AB5" w:rsidRPr="00FD0449">
          <w:rPr>
            <w:webHidden/>
          </w:rPr>
        </w:r>
        <w:r w:rsidR="003E5AB5" w:rsidRPr="00FD0449">
          <w:rPr>
            <w:webHidden/>
          </w:rPr>
          <w:fldChar w:fldCharType="separate"/>
        </w:r>
        <w:r w:rsidR="003D1E25">
          <w:rPr>
            <w:webHidden/>
          </w:rPr>
          <w:t>ii</w:t>
        </w:r>
        <w:r w:rsidR="003E5AB5" w:rsidRPr="00FD0449">
          <w:rPr>
            <w:webHidden/>
          </w:rPr>
          <w:fldChar w:fldCharType="end"/>
        </w:r>
      </w:hyperlink>
    </w:p>
    <w:p w14:paraId="18D69027" w14:textId="77777777" w:rsidR="00FD0449" w:rsidRPr="00FD0449" w:rsidRDefault="00224AA1" w:rsidP="00FD0449">
      <w:pPr>
        <w:pStyle w:val="TOC1"/>
        <w:rPr>
          <w:rFonts w:eastAsiaTheme="minorEastAsia" w:cstheme="minorBidi"/>
          <w:kern w:val="0"/>
          <w:lang w:eastAsia="ja-JP"/>
        </w:rPr>
      </w:pPr>
      <w:hyperlink w:anchor="_Toc391469716" w:history="1">
        <w:r w:rsidR="00FD0449" w:rsidRPr="00FD0449">
          <w:rPr>
            <w:rStyle w:val="Hyperlink"/>
          </w:rPr>
          <w:t>1.0</w:t>
        </w:r>
        <w:r w:rsidR="00FD0449" w:rsidRPr="00FD0449">
          <w:rPr>
            <w:rFonts w:eastAsiaTheme="minorEastAsia" w:cstheme="minorBidi"/>
            <w:kern w:val="0"/>
            <w:lang w:eastAsia="ja-JP"/>
          </w:rPr>
          <w:tab/>
        </w:r>
        <w:r w:rsidR="00FD0449" w:rsidRPr="00FD0449">
          <w:rPr>
            <w:rStyle w:val="Hyperlink"/>
          </w:rPr>
          <w:t>Introduction</w:t>
        </w:r>
        <w:r w:rsidR="00FD0449" w:rsidRPr="00FD0449">
          <w:rPr>
            <w:webHidden/>
          </w:rPr>
          <w:tab/>
        </w:r>
        <w:r w:rsidR="003E5AB5" w:rsidRPr="00FD0449">
          <w:rPr>
            <w:webHidden/>
          </w:rPr>
          <w:fldChar w:fldCharType="begin"/>
        </w:r>
        <w:r w:rsidR="00FD0449" w:rsidRPr="00FD0449">
          <w:rPr>
            <w:webHidden/>
          </w:rPr>
          <w:instrText xml:space="preserve"> PAGEREF _Toc391469716 \h </w:instrText>
        </w:r>
        <w:r w:rsidR="003E5AB5" w:rsidRPr="00FD0449">
          <w:rPr>
            <w:webHidden/>
          </w:rPr>
        </w:r>
        <w:r w:rsidR="003E5AB5" w:rsidRPr="00FD0449">
          <w:rPr>
            <w:webHidden/>
          </w:rPr>
          <w:fldChar w:fldCharType="separate"/>
        </w:r>
        <w:r w:rsidR="003D1E25">
          <w:rPr>
            <w:webHidden/>
          </w:rPr>
          <w:t>1</w:t>
        </w:r>
        <w:r w:rsidR="003E5AB5" w:rsidRPr="00FD0449">
          <w:rPr>
            <w:webHidden/>
          </w:rPr>
          <w:fldChar w:fldCharType="end"/>
        </w:r>
      </w:hyperlink>
    </w:p>
    <w:p w14:paraId="7A64DB44" w14:textId="77777777" w:rsidR="00FD0449" w:rsidRPr="00FD0449" w:rsidRDefault="00224AA1" w:rsidP="00FD0449">
      <w:pPr>
        <w:pStyle w:val="TOC1"/>
        <w:rPr>
          <w:rFonts w:eastAsiaTheme="minorEastAsia" w:cstheme="minorBidi"/>
          <w:kern w:val="0"/>
          <w:lang w:eastAsia="ja-JP"/>
        </w:rPr>
      </w:pPr>
      <w:hyperlink w:anchor="_Toc391469717" w:history="1">
        <w:r w:rsidR="00FD0449" w:rsidRPr="00FD0449">
          <w:rPr>
            <w:rStyle w:val="Hyperlink"/>
          </w:rPr>
          <w:t>2.0</w:t>
        </w:r>
        <w:r w:rsidR="00FD0449" w:rsidRPr="00FD0449">
          <w:rPr>
            <w:rFonts w:eastAsiaTheme="minorEastAsia" w:cstheme="minorBidi"/>
            <w:kern w:val="0"/>
            <w:lang w:eastAsia="ja-JP"/>
          </w:rPr>
          <w:tab/>
        </w:r>
        <w:r w:rsidR="00FD0449" w:rsidRPr="00FD0449">
          <w:rPr>
            <w:rStyle w:val="Hyperlink"/>
          </w:rPr>
          <w:t>Summary of Activities and Achievements: January - June 2014</w:t>
        </w:r>
        <w:r w:rsidR="00FD0449" w:rsidRPr="00FD0449">
          <w:rPr>
            <w:webHidden/>
          </w:rPr>
          <w:tab/>
        </w:r>
        <w:r w:rsidR="003E5AB5" w:rsidRPr="00FD0449">
          <w:rPr>
            <w:webHidden/>
          </w:rPr>
          <w:fldChar w:fldCharType="begin"/>
        </w:r>
        <w:r w:rsidR="00FD0449" w:rsidRPr="00FD0449">
          <w:rPr>
            <w:webHidden/>
          </w:rPr>
          <w:instrText xml:space="preserve"> PAGEREF _Toc391469717 \h </w:instrText>
        </w:r>
        <w:r w:rsidR="003E5AB5" w:rsidRPr="00FD0449">
          <w:rPr>
            <w:webHidden/>
          </w:rPr>
        </w:r>
        <w:r w:rsidR="003E5AB5" w:rsidRPr="00FD0449">
          <w:rPr>
            <w:webHidden/>
          </w:rPr>
          <w:fldChar w:fldCharType="separate"/>
        </w:r>
        <w:r w:rsidR="003D1E25">
          <w:rPr>
            <w:webHidden/>
          </w:rPr>
          <w:t>1</w:t>
        </w:r>
        <w:r w:rsidR="003E5AB5" w:rsidRPr="00FD0449">
          <w:rPr>
            <w:webHidden/>
          </w:rPr>
          <w:fldChar w:fldCharType="end"/>
        </w:r>
      </w:hyperlink>
    </w:p>
    <w:p w14:paraId="0A3CBB43" w14:textId="77777777" w:rsidR="00FD0449" w:rsidRPr="00FD0449" w:rsidRDefault="00224AA1" w:rsidP="00FD0449">
      <w:pPr>
        <w:pStyle w:val="TOC2"/>
        <w:rPr>
          <w:rFonts w:eastAsiaTheme="minorEastAsia" w:cstheme="minorBidi"/>
          <w:noProof/>
          <w:sz w:val="23"/>
          <w:szCs w:val="23"/>
          <w:lang w:eastAsia="ja-JP"/>
        </w:rPr>
      </w:pPr>
      <w:hyperlink w:anchor="_Toc391469718" w:history="1">
        <w:r w:rsidR="00FD0449" w:rsidRPr="00FD0449">
          <w:rPr>
            <w:rStyle w:val="Hyperlink"/>
            <w:noProof/>
            <w:sz w:val="23"/>
            <w:szCs w:val="23"/>
          </w:rPr>
          <w:t>2.1</w:t>
        </w:r>
        <w:r w:rsidR="00FD0449" w:rsidRPr="00FD0449">
          <w:rPr>
            <w:rFonts w:eastAsiaTheme="minorEastAsia" w:cstheme="minorBidi"/>
            <w:noProof/>
            <w:sz w:val="23"/>
            <w:szCs w:val="23"/>
            <w:lang w:eastAsia="ja-JP"/>
          </w:rPr>
          <w:tab/>
        </w:r>
        <w:r w:rsidR="00FD0449" w:rsidRPr="00FD0449">
          <w:rPr>
            <w:rStyle w:val="Hyperlink"/>
            <w:noProof/>
            <w:sz w:val="23"/>
            <w:szCs w:val="23"/>
          </w:rPr>
          <w:t>Component One: Access to Justice</w:t>
        </w:r>
        <w:r w:rsidR="00FD0449" w:rsidRPr="00FD0449">
          <w:rPr>
            <w:noProof/>
            <w:webHidden/>
            <w:sz w:val="23"/>
            <w:szCs w:val="23"/>
          </w:rPr>
          <w:tab/>
        </w:r>
        <w:r w:rsidR="003E5AB5" w:rsidRPr="00FD0449">
          <w:rPr>
            <w:noProof/>
            <w:webHidden/>
            <w:sz w:val="23"/>
            <w:szCs w:val="23"/>
          </w:rPr>
          <w:fldChar w:fldCharType="begin"/>
        </w:r>
        <w:r w:rsidR="00FD0449" w:rsidRPr="00FD0449">
          <w:rPr>
            <w:noProof/>
            <w:webHidden/>
            <w:sz w:val="23"/>
            <w:szCs w:val="23"/>
          </w:rPr>
          <w:instrText xml:space="preserve"> PAGEREF _Toc391469718 \h </w:instrText>
        </w:r>
        <w:r w:rsidR="003E5AB5" w:rsidRPr="00FD0449">
          <w:rPr>
            <w:noProof/>
            <w:webHidden/>
            <w:sz w:val="23"/>
            <w:szCs w:val="23"/>
          </w:rPr>
        </w:r>
        <w:r w:rsidR="003E5AB5" w:rsidRPr="00FD0449">
          <w:rPr>
            <w:noProof/>
            <w:webHidden/>
            <w:sz w:val="23"/>
            <w:szCs w:val="23"/>
          </w:rPr>
          <w:fldChar w:fldCharType="separate"/>
        </w:r>
        <w:r w:rsidR="003D1E25">
          <w:rPr>
            <w:noProof/>
            <w:webHidden/>
            <w:sz w:val="23"/>
            <w:szCs w:val="23"/>
          </w:rPr>
          <w:t>1</w:t>
        </w:r>
        <w:r w:rsidR="003E5AB5" w:rsidRPr="00FD0449">
          <w:rPr>
            <w:noProof/>
            <w:webHidden/>
            <w:sz w:val="23"/>
            <w:szCs w:val="23"/>
          </w:rPr>
          <w:fldChar w:fldCharType="end"/>
        </w:r>
      </w:hyperlink>
    </w:p>
    <w:p w14:paraId="56E8C10C" w14:textId="77777777" w:rsidR="00FD0449" w:rsidRPr="00FD0449" w:rsidRDefault="00224AA1" w:rsidP="00FD0449">
      <w:pPr>
        <w:pStyle w:val="TOC3"/>
        <w:tabs>
          <w:tab w:val="clear" w:pos="9120"/>
          <w:tab w:val="right" w:leader="dot" w:pos="8931"/>
        </w:tabs>
        <w:rPr>
          <w:rFonts w:eastAsiaTheme="minorEastAsia" w:cstheme="minorBidi"/>
          <w:noProof/>
          <w:sz w:val="23"/>
          <w:szCs w:val="23"/>
          <w:lang w:eastAsia="ja-JP"/>
        </w:rPr>
      </w:pPr>
      <w:hyperlink w:anchor="_Toc391469719" w:history="1">
        <w:r w:rsidR="00FD0449" w:rsidRPr="00FD0449">
          <w:rPr>
            <w:rStyle w:val="Hyperlink"/>
            <w:noProof/>
            <w:sz w:val="23"/>
            <w:szCs w:val="23"/>
          </w:rPr>
          <w:t>2.1.1</w:t>
        </w:r>
        <w:r w:rsidR="00FD0449" w:rsidRPr="00FD0449">
          <w:rPr>
            <w:rFonts w:eastAsiaTheme="minorEastAsia" w:cstheme="minorBidi"/>
            <w:noProof/>
            <w:sz w:val="23"/>
            <w:szCs w:val="23"/>
            <w:lang w:eastAsia="ja-JP"/>
          </w:rPr>
          <w:tab/>
        </w:r>
        <w:r w:rsidR="00FD0449" w:rsidRPr="00FD0449">
          <w:rPr>
            <w:rStyle w:val="Hyperlink"/>
            <w:noProof/>
            <w:sz w:val="23"/>
            <w:szCs w:val="23"/>
          </w:rPr>
          <w:t>Family Violence / Youth Justice Awareness Project</w:t>
        </w:r>
        <w:r w:rsidR="00FD0449" w:rsidRPr="00FD0449">
          <w:rPr>
            <w:noProof/>
            <w:webHidden/>
            <w:sz w:val="23"/>
            <w:szCs w:val="23"/>
          </w:rPr>
          <w:tab/>
        </w:r>
        <w:r w:rsidR="003E5AB5" w:rsidRPr="00FD0449">
          <w:rPr>
            <w:noProof/>
            <w:webHidden/>
            <w:sz w:val="23"/>
            <w:szCs w:val="23"/>
          </w:rPr>
          <w:fldChar w:fldCharType="begin"/>
        </w:r>
        <w:r w:rsidR="00FD0449" w:rsidRPr="00FD0449">
          <w:rPr>
            <w:noProof/>
            <w:webHidden/>
            <w:sz w:val="23"/>
            <w:szCs w:val="23"/>
          </w:rPr>
          <w:instrText xml:space="preserve"> PAGEREF _Toc391469719 \h </w:instrText>
        </w:r>
        <w:r w:rsidR="003E5AB5" w:rsidRPr="00FD0449">
          <w:rPr>
            <w:noProof/>
            <w:webHidden/>
            <w:sz w:val="23"/>
            <w:szCs w:val="23"/>
          </w:rPr>
        </w:r>
        <w:r w:rsidR="003E5AB5" w:rsidRPr="00FD0449">
          <w:rPr>
            <w:noProof/>
            <w:webHidden/>
            <w:sz w:val="23"/>
            <w:szCs w:val="23"/>
          </w:rPr>
          <w:fldChar w:fldCharType="separate"/>
        </w:r>
        <w:r w:rsidR="003D1E25">
          <w:rPr>
            <w:noProof/>
            <w:webHidden/>
            <w:sz w:val="23"/>
            <w:szCs w:val="23"/>
          </w:rPr>
          <w:t>1</w:t>
        </w:r>
        <w:r w:rsidR="003E5AB5" w:rsidRPr="00FD0449">
          <w:rPr>
            <w:noProof/>
            <w:webHidden/>
            <w:sz w:val="23"/>
            <w:szCs w:val="23"/>
          </w:rPr>
          <w:fldChar w:fldCharType="end"/>
        </w:r>
      </w:hyperlink>
    </w:p>
    <w:p w14:paraId="3A42BCAE" w14:textId="77777777" w:rsidR="00FD0449" w:rsidRPr="00FD0449" w:rsidRDefault="00224AA1" w:rsidP="00FD0449">
      <w:pPr>
        <w:pStyle w:val="TOC3"/>
        <w:tabs>
          <w:tab w:val="clear" w:pos="9120"/>
          <w:tab w:val="right" w:leader="dot" w:pos="8931"/>
        </w:tabs>
        <w:rPr>
          <w:rFonts w:eastAsiaTheme="minorEastAsia" w:cstheme="minorBidi"/>
          <w:noProof/>
          <w:sz w:val="23"/>
          <w:szCs w:val="23"/>
          <w:lang w:eastAsia="ja-JP"/>
        </w:rPr>
      </w:pPr>
      <w:hyperlink w:anchor="_Toc391469720" w:history="1">
        <w:r w:rsidR="00FD0449" w:rsidRPr="00FD0449">
          <w:rPr>
            <w:rStyle w:val="Hyperlink"/>
            <w:noProof/>
            <w:sz w:val="23"/>
            <w:szCs w:val="23"/>
          </w:rPr>
          <w:t>2.1.2</w:t>
        </w:r>
        <w:r w:rsidR="00FD0449" w:rsidRPr="00FD0449">
          <w:rPr>
            <w:rFonts w:eastAsiaTheme="minorEastAsia" w:cstheme="minorBidi"/>
            <w:noProof/>
            <w:sz w:val="23"/>
            <w:szCs w:val="23"/>
            <w:lang w:eastAsia="ja-JP"/>
          </w:rPr>
          <w:tab/>
        </w:r>
        <w:r w:rsidR="00FD0449" w:rsidRPr="00FD0449">
          <w:rPr>
            <w:rStyle w:val="Hyperlink"/>
            <w:noProof/>
            <w:sz w:val="23"/>
            <w:szCs w:val="23"/>
          </w:rPr>
          <w:t>Enabling Rights Project</w:t>
        </w:r>
        <w:r w:rsidR="00FD0449" w:rsidRPr="00FD0449">
          <w:rPr>
            <w:noProof/>
            <w:webHidden/>
            <w:sz w:val="23"/>
            <w:szCs w:val="23"/>
          </w:rPr>
          <w:tab/>
        </w:r>
        <w:r w:rsidR="003E5AB5" w:rsidRPr="00FD0449">
          <w:rPr>
            <w:noProof/>
            <w:webHidden/>
            <w:sz w:val="23"/>
            <w:szCs w:val="23"/>
          </w:rPr>
          <w:fldChar w:fldCharType="begin"/>
        </w:r>
        <w:r w:rsidR="00FD0449" w:rsidRPr="00FD0449">
          <w:rPr>
            <w:noProof/>
            <w:webHidden/>
            <w:sz w:val="23"/>
            <w:szCs w:val="23"/>
          </w:rPr>
          <w:instrText xml:space="preserve"> PAGEREF _Toc391469720 \h </w:instrText>
        </w:r>
        <w:r w:rsidR="003E5AB5" w:rsidRPr="00FD0449">
          <w:rPr>
            <w:noProof/>
            <w:webHidden/>
            <w:sz w:val="23"/>
            <w:szCs w:val="23"/>
          </w:rPr>
        </w:r>
        <w:r w:rsidR="003E5AB5" w:rsidRPr="00FD0449">
          <w:rPr>
            <w:noProof/>
            <w:webHidden/>
            <w:sz w:val="23"/>
            <w:szCs w:val="23"/>
          </w:rPr>
          <w:fldChar w:fldCharType="separate"/>
        </w:r>
        <w:r w:rsidR="003D1E25">
          <w:rPr>
            <w:noProof/>
            <w:webHidden/>
            <w:sz w:val="23"/>
            <w:szCs w:val="23"/>
          </w:rPr>
          <w:t>2</w:t>
        </w:r>
        <w:r w:rsidR="003E5AB5" w:rsidRPr="00FD0449">
          <w:rPr>
            <w:noProof/>
            <w:webHidden/>
            <w:sz w:val="23"/>
            <w:szCs w:val="23"/>
          </w:rPr>
          <w:fldChar w:fldCharType="end"/>
        </w:r>
      </w:hyperlink>
    </w:p>
    <w:p w14:paraId="2D4D3874" w14:textId="77777777" w:rsidR="00FD0449" w:rsidRPr="00FD0449" w:rsidRDefault="00224AA1" w:rsidP="00FD0449">
      <w:pPr>
        <w:pStyle w:val="TOC3"/>
        <w:tabs>
          <w:tab w:val="clear" w:pos="9120"/>
          <w:tab w:val="right" w:leader="dot" w:pos="8931"/>
        </w:tabs>
        <w:rPr>
          <w:rFonts w:eastAsiaTheme="minorEastAsia" w:cstheme="minorBidi"/>
          <w:noProof/>
          <w:sz w:val="23"/>
          <w:szCs w:val="23"/>
          <w:lang w:eastAsia="ja-JP"/>
        </w:rPr>
      </w:pPr>
      <w:hyperlink w:anchor="_Toc391469721" w:history="1">
        <w:r w:rsidR="00FD0449" w:rsidRPr="00FD0449">
          <w:rPr>
            <w:rStyle w:val="Hyperlink"/>
            <w:noProof/>
            <w:sz w:val="23"/>
            <w:szCs w:val="23"/>
          </w:rPr>
          <w:t>2.1.3</w:t>
        </w:r>
        <w:r w:rsidR="00FD0449" w:rsidRPr="00FD0449">
          <w:rPr>
            <w:rFonts w:eastAsiaTheme="minorEastAsia" w:cstheme="minorBidi"/>
            <w:noProof/>
            <w:sz w:val="23"/>
            <w:szCs w:val="23"/>
            <w:lang w:eastAsia="ja-JP"/>
          </w:rPr>
          <w:tab/>
        </w:r>
        <w:r w:rsidR="00FD0449" w:rsidRPr="00FD0449">
          <w:rPr>
            <w:rStyle w:val="Hyperlink"/>
            <w:noProof/>
            <w:sz w:val="23"/>
            <w:szCs w:val="23"/>
          </w:rPr>
          <w:t>Public Information Project</w:t>
        </w:r>
        <w:r w:rsidR="00FD0449" w:rsidRPr="00FD0449">
          <w:rPr>
            <w:noProof/>
            <w:webHidden/>
            <w:sz w:val="23"/>
            <w:szCs w:val="23"/>
          </w:rPr>
          <w:tab/>
        </w:r>
        <w:r w:rsidR="003E5AB5" w:rsidRPr="00FD0449">
          <w:rPr>
            <w:noProof/>
            <w:webHidden/>
            <w:sz w:val="23"/>
            <w:szCs w:val="23"/>
          </w:rPr>
          <w:fldChar w:fldCharType="begin"/>
        </w:r>
        <w:r w:rsidR="00FD0449" w:rsidRPr="00FD0449">
          <w:rPr>
            <w:noProof/>
            <w:webHidden/>
            <w:sz w:val="23"/>
            <w:szCs w:val="23"/>
          </w:rPr>
          <w:instrText xml:space="preserve"> PAGEREF _Toc391469721 \h </w:instrText>
        </w:r>
        <w:r w:rsidR="003E5AB5" w:rsidRPr="00FD0449">
          <w:rPr>
            <w:noProof/>
            <w:webHidden/>
            <w:sz w:val="23"/>
            <w:szCs w:val="23"/>
          </w:rPr>
        </w:r>
        <w:r w:rsidR="003E5AB5" w:rsidRPr="00FD0449">
          <w:rPr>
            <w:noProof/>
            <w:webHidden/>
            <w:sz w:val="23"/>
            <w:szCs w:val="23"/>
          </w:rPr>
          <w:fldChar w:fldCharType="separate"/>
        </w:r>
        <w:r w:rsidR="003D1E25">
          <w:rPr>
            <w:noProof/>
            <w:webHidden/>
            <w:sz w:val="23"/>
            <w:szCs w:val="23"/>
          </w:rPr>
          <w:t>2</w:t>
        </w:r>
        <w:r w:rsidR="003E5AB5" w:rsidRPr="00FD0449">
          <w:rPr>
            <w:noProof/>
            <w:webHidden/>
            <w:sz w:val="23"/>
            <w:szCs w:val="23"/>
          </w:rPr>
          <w:fldChar w:fldCharType="end"/>
        </w:r>
      </w:hyperlink>
    </w:p>
    <w:p w14:paraId="067B7A6F" w14:textId="77777777" w:rsidR="00FD0449" w:rsidRPr="00FD0449" w:rsidRDefault="00224AA1" w:rsidP="00FD0449">
      <w:pPr>
        <w:pStyle w:val="TOC2"/>
        <w:rPr>
          <w:rFonts w:eastAsiaTheme="minorEastAsia" w:cstheme="minorBidi"/>
          <w:noProof/>
          <w:sz w:val="23"/>
          <w:szCs w:val="23"/>
          <w:lang w:eastAsia="ja-JP"/>
        </w:rPr>
      </w:pPr>
      <w:hyperlink w:anchor="_Toc391469722" w:history="1">
        <w:r w:rsidR="00FD0449" w:rsidRPr="00FD0449">
          <w:rPr>
            <w:rStyle w:val="Hyperlink"/>
            <w:noProof/>
            <w:sz w:val="23"/>
            <w:szCs w:val="23"/>
          </w:rPr>
          <w:t>2.2</w:t>
        </w:r>
        <w:r w:rsidR="00FD0449" w:rsidRPr="00FD0449">
          <w:rPr>
            <w:rFonts w:eastAsiaTheme="minorEastAsia" w:cstheme="minorBidi"/>
            <w:noProof/>
            <w:sz w:val="23"/>
            <w:szCs w:val="23"/>
            <w:lang w:eastAsia="ja-JP"/>
          </w:rPr>
          <w:tab/>
        </w:r>
        <w:r w:rsidR="00FD0449" w:rsidRPr="00FD0449">
          <w:rPr>
            <w:rStyle w:val="Hyperlink"/>
            <w:noProof/>
            <w:sz w:val="23"/>
            <w:szCs w:val="23"/>
          </w:rPr>
          <w:t>Component Two: Governance and Leadership</w:t>
        </w:r>
        <w:r w:rsidR="00FD0449" w:rsidRPr="00FD0449">
          <w:rPr>
            <w:noProof/>
            <w:webHidden/>
            <w:sz w:val="23"/>
            <w:szCs w:val="23"/>
          </w:rPr>
          <w:tab/>
        </w:r>
        <w:r w:rsidR="003E5AB5" w:rsidRPr="00FD0449">
          <w:rPr>
            <w:noProof/>
            <w:webHidden/>
            <w:sz w:val="23"/>
            <w:szCs w:val="23"/>
          </w:rPr>
          <w:fldChar w:fldCharType="begin"/>
        </w:r>
        <w:r w:rsidR="00FD0449" w:rsidRPr="00FD0449">
          <w:rPr>
            <w:noProof/>
            <w:webHidden/>
            <w:sz w:val="23"/>
            <w:szCs w:val="23"/>
          </w:rPr>
          <w:instrText xml:space="preserve"> PAGEREF _Toc391469722 \h </w:instrText>
        </w:r>
        <w:r w:rsidR="003E5AB5" w:rsidRPr="00FD0449">
          <w:rPr>
            <w:noProof/>
            <w:webHidden/>
            <w:sz w:val="23"/>
            <w:szCs w:val="23"/>
          </w:rPr>
        </w:r>
        <w:r w:rsidR="003E5AB5" w:rsidRPr="00FD0449">
          <w:rPr>
            <w:noProof/>
            <w:webHidden/>
            <w:sz w:val="23"/>
            <w:szCs w:val="23"/>
          </w:rPr>
          <w:fldChar w:fldCharType="separate"/>
        </w:r>
        <w:r w:rsidR="003D1E25">
          <w:rPr>
            <w:noProof/>
            <w:webHidden/>
            <w:sz w:val="23"/>
            <w:szCs w:val="23"/>
          </w:rPr>
          <w:t>2</w:t>
        </w:r>
        <w:r w:rsidR="003E5AB5" w:rsidRPr="00FD0449">
          <w:rPr>
            <w:noProof/>
            <w:webHidden/>
            <w:sz w:val="23"/>
            <w:szCs w:val="23"/>
          </w:rPr>
          <w:fldChar w:fldCharType="end"/>
        </w:r>
      </w:hyperlink>
    </w:p>
    <w:p w14:paraId="4A14A1F5" w14:textId="77777777" w:rsidR="00FD0449" w:rsidRPr="00FD0449" w:rsidRDefault="00224AA1" w:rsidP="00FD0449">
      <w:pPr>
        <w:pStyle w:val="TOC3"/>
        <w:tabs>
          <w:tab w:val="clear" w:pos="9120"/>
          <w:tab w:val="right" w:leader="dot" w:pos="8931"/>
        </w:tabs>
        <w:rPr>
          <w:rFonts w:eastAsiaTheme="minorEastAsia" w:cstheme="minorBidi"/>
          <w:noProof/>
          <w:sz w:val="23"/>
          <w:szCs w:val="23"/>
          <w:lang w:eastAsia="ja-JP"/>
        </w:rPr>
      </w:pPr>
      <w:hyperlink w:anchor="_Toc391469723" w:history="1">
        <w:r w:rsidR="00FD0449" w:rsidRPr="00FD0449">
          <w:rPr>
            <w:rStyle w:val="Hyperlink"/>
            <w:noProof/>
            <w:sz w:val="23"/>
            <w:szCs w:val="23"/>
          </w:rPr>
          <w:t>2.2.1</w:t>
        </w:r>
        <w:r w:rsidR="00FD0449" w:rsidRPr="00FD0449">
          <w:rPr>
            <w:rFonts w:eastAsiaTheme="minorEastAsia" w:cstheme="minorBidi"/>
            <w:noProof/>
            <w:sz w:val="23"/>
            <w:szCs w:val="23"/>
            <w:lang w:eastAsia="ja-JP"/>
          </w:rPr>
          <w:tab/>
        </w:r>
        <w:r w:rsidR="00FD0449" w:rsidRPr="00FD0449">
          <w:rPr>
            <w:rStyle w:val="Hyperlink"/>
            <w:noProof/>
            <w:sz w:val="23"/>
            <w:szCs w:val="23"/>
          </w:rPr>
          <w:t>Codes of Judicial Conduct Project</w:t>
        </w:r>
        <w:r w:rsidR="00FD0449" w:rsidRPr="00FD0449">
          <w:rPr>
            <w:noProof/>
            <w:webHidden/>
            <w:sz w:val="23"/>
            <w:szCs w:val="23"/>
          </w:rPr>
          <w:tab/>
        </w:r>
        <w:r w:rsidR="003E5AB5" w:rsidRPr="00FD0449">
          <w:rPr>
            <w:noProof/>
            <w:webHidden/>
            <w:sz w:val="23"/>
            <w:szCs w:val="23"/>
          </w:rPr>
          <w:fldChar w:fldCharType="begin"/>
        </w:r>
        <w:r w:rsidR="00FD0449" w:rsidRPr="00FD0449">
          <w:rPr>
            <w:noProof/>
            <w:webHidden/>
            <w:sz w:val="23"/>
            <w:szCs w:val="23"/>
          </w:rPr>
          <w:instrText xml:space="preserve"> PAGEREF _Toc391469723 \h </w:instrText>
        </w:r>
        <w:r w:rsidR="003E5AB5" w:rsidRPr="00FD0449">
          <w:rPr>
            <w:noProof/>
            <w:webHidden/>
            <w:sz w:val="23"/>
            <w:szCs w:val="23"/>
          </w:rPr>
        </w:r>
        <w:r w:rsidR="003E5AB5" w:rsidRPr="00FD0449">
          <w:rPr>
            <w:noProof/>
            <w:webHidden/>
            <w:sz w:val="23"/>
            <w:szCs w:val="23"/>
          </w:rPr>
          <w:fldChar w:fldCharType="separate"/>
        </w:r>
        <w:r w:rsidR="003D1E25">
          <w:rPr>
            <w:noProof/>
            <w:webHidden/>
            <w:sz w:val="23"/>
            <w:szCs w:val="23"/>
          </w:rPr>
          <w:t>2</w:t>
        </w:r>
        <w:r w:rsidR="003E5AB5" w:rsidRPr="00FD0449">
          <w:rPr>
            <w:noProof/>
            <w:webHidden/>
            <w:sz w:val="23"/>
            <w:szCs w:val="23"/>
          </w:rPr>
          <w:fldChar w:fldCharType="end"/>
        </w:r>
      </w:hyperlink>
    </w:p>
    <w:p w14:paraId="1495FF3C" w14:textId="77777777" w:rsidR="00FD0449" w:rsidRPr="00FD0449" w:rsidRDefault="00224AA1" w:rsidP="00FD0449">
      <w:pPr>
        <w:pStyle w:val="TOC3"/>
        <w:tabs>
          <w:tab w:val="clear" w:pos="9120"/>
          <w:tab w:val="right" w:leader="dot" w:pos="8931"/>
        </w:tabs>
        <w:rPr>
          <w:rFonts w:eastAsiaTheme="minorEastAsia" w:cstheme="minorBidi"/>
          <w:noProof/>
          <w:sz w:val="23"/>
          <w:szCs w:val="23"/>
          <w:lang w:eastAsia="ja-JP"/>
        </w:rPr>
      </w:pPr>
      <w:hyperlink w:anchor="_Toc391469724" w:history="1">
        <w:r w:rsidR="00FD0449" w:rsidRPr="00FD0449">
          <w:rPr>
            <w:rStyle w:val="Hyperlink"/>
            <w:noProof/>
            <w:sz w:val="23"/>
            <w:szCs w:val="23"/>
          </w:rPr>
          <w:t>2.2.2</w:t>
        </w:r>
        <w:r w:rsidR="00FD0449" w:rsidRPr="00FD0449">
          <w:rPr>
            <w:rFonts w:eastAsiaTheme="minorEastAsia" w:cstheme="minorBidi"/>
            <w:noProof/>
            <w:sz w:val="23"/>
            <w:szCs w:val="23"/>
            <w:lang w:eastAsia="ja-JP"/>
          </w:rPr>
          <w:tab/>
        </w:r>
        <w:r w:rsidR="00FD0449" w:rsidRPr="00FD0449">
          <w:rPr>
            <w:rStyle w:val="Hyperlink"/>
            <w:noProof/>
            <w:sz w:val="23"/>
            <w:szCs w:val="23"/>
          </w:rPr>
          <w:t>Regional Governance and Leadership Meetings</w:t>
        </w:r>
        <w:r w:rsidR="00FD0449" w:rsidRPr="00FD0449">
          <w:rPr>
            <w:noProof/>
            <w:webHidden/>
            <w:sz w:val="23"/>
            <w:szCs w:val="23"/>
          </w:rPr>
          <w:tab/>
        </w:r>
        <w:r w:rsidR="003E5AB5" w:rsidRPr="00FD0449">
          <w:rPr>
            <w:noProof/>
            <w:webHidden/>
            <w:sz w:val="23"/>
            <w:szCs w:val="23"/>
          </w:rPr>
          <w:fldChar w:fldCharType="begin"/>
        </w:r>
        <w:r w:rsidR="00FD0449" w:rsidRPr="00FD0449">
          <w:rPr>
            <w:noProof/>
            <w:webHidden/>
            <w:sz w:val="23"/>
            <w:szCs w:val="23"/>
          </w:rPr>
          <w:instrText xml:space="preserve"> PAGEREF _Toc391469724 \h </w:instrText>
        </w:r>
        <w:r w:rsidR="003E5AB5" w:rsidRPr="00FD0449">
          <w:rPr>
            <w:noProof/>
            <w:webHidden/>
            <w:sz w:val="23"/>
            <w:szCs w:val="23"/>
          </w:rPr>
        </w:r>
        <w:r w:rsidR="003E5AB5" w:rsidRPr="00FD0449">
          <w:rPr>
            <w:noProof/>
            <w:webHidden/>
            <w:sz w:val="23"/>
            <w:szCs w:val="23"/>
          </w:rPr>
          <w:fldChar w:fldCharType="separate"/>
        </w:r>
        <w:r w:rsidR="003D1E25">
          <w:rPr>
            <w:noProof/>
            <w:webHidden/>
            <w:sz w:val="23"/>
            <w:szCs w:val="23"/>
          </w:rPr>
          <w:t>3</w:t>
        </w:r>
        <w:r w:rsidR="003E5AB5" w:rsidRPr="00FD0449">
          <w:rPr>
            <w:noProof/>
            <w:webHidden/>
            <w:sz w:val="23"/>
            <w:szCs w:val="23"/>
          </w:rPr>
          <w:fldChar w:fldCharType="end"/>
        </w:r>
      </w:hyperlink>
    </w:p>
    <w:p w14:paraId="596D625C" w14:textId="77777777" w:rsidR="00FD0449" w:rsidRPr="00FD0449" w:rsidRDefault="00224AA1" w:rsidP="00FD0449">
      <w:pPr>
        <w:pStyle w:val="TOC3"/>
        <w:tabs>
          <w:tab w:val="clear" w:pos="9120"/>
          <w:tab w:val="right" w:leader="dot" w:pos="8931"/>
        </w:tabs>
        <w:rPr>
          <w:rFonts w:eastAsiaTheme="minorEastAsia" w:cstheme="minorBidi"/>
          <w:noProof/>
          <w:sz w:val="23"/>
          <w:szCs w:val="23"/>
          <w:lang w:eastAsia="ja-JP"/>
        </w:rPr>
      </w:pPr>
      <w:hyperlink w:anchor="_Toc391469725" w:history="1">
        <w:r w:rsidR="00FD0449" w:rsidRPr="00FD0449">
          <w:rPr>
            <w:rStyle w:val="Hyperlink"/>
            <w:noProof/>
            <w:sz w:val="23"/>
            <w:szCs w:val="23"/>
          </w:rPr>
          <w:t>2.2.3</w:t>
        </w:r>
        <w:r w:rsidR="00FD0449" w:rsidRPr="00FD0449">
          <w:rPr>
            <w:rFonts w:eastAsiaTheme="minorEastAsia" w:cstheme="minorBidi"/>
            <w:noProof/>
            <w:sz w:val="23"/>
            <w:szCs w:val="23"/>
            <w:lang w:eastAsia="ja-JP"/>
          </w:rPr>
          <w:tab/>
        </w:r>
        <w:r w:rsidR="00FD0449" w:rsidRPr="00FD0449">
          <w:rPr>
            <w:rStyle w:val="Hyperlink"/>
            <w:noProof/>
            <w:sz w:val="23"/>
            <w:szCs w:val="23"/>
          </w:rPr>
          <w:t>Responsive Fund Mechanism</w:t>
        </w:r>
        <w:r w:rsidR="00FD0449" w:rsidRPr="00FD0449">
          <w:rPr>
            <w:noProof/>
            <w:webHidden/>
            <w:sz w:val="23"/>
            <w:szCs w:val="23"/>
          </w:rPr>
          <w:tab/>
        </w:r>
        <w:r w:rsidR="003E5AB5" w:rsidRPr="00FD0449">
          <w:rPr>
            <w:noProof/>
            <w:webHidden/>
            <w:sz w:val="23"/>
            <w:szCs w:val="23"/>
          </w:rPr>
          <w:fldChar w:fldCharType="begin"/>
        </w:r>
        <w:r w:rsidR="00FD0449" w:rsidRPr="00FD0449">
          <w:rPr>
            <w:noProof/>
            <w:webHidden/>
            <w:sz w:val="23"/>
            <w:szCs w:val="23"/>
          </w:rPr>
          <w:instrText xml:space="preserve"> PAGEREF _Toc391469725 \h </w:instrText>
        </w:r>
        <w:r w:rsidR="003E5AB5" w:rsidRPr="00FD0449">
          <w:rPr>
            <w:noProof/>
            <w:webHidden/>
            <w:sz w:val="23"/>
            <w:szCs w:val="23"/>
          </w:rPr>
        </w:r>
        <w:r w:rsidR="003E5AB5" w:rsidRPr="00FD0449">
          <w:rPr>
            <w:noProof/>
            <w:webHidden/>
            <w:sz w:val="23"/>
            <w:szCs w:val="23"/>
          </w:rPr>
          <w:fldChar w:fldCharType="separate"/>
        </w:r>
        <w:r w:rsidR="003D1E25">
          <w:rPr>
            <w:noProof/>
            <w:webHidden/>
            <w:sz w:val="23"/>
            <w:szCs w:val="23"/>
          </w:rPr>
          <w:t>3</w:t>
        </w:r>
        <w:r w:rsidR="003E5AB5" w:rsidRPr="00FD0449">
          <w:rPr>
            <w:noProof/>
            <w:webHidden/>
            <w:sz w:val="23"/>
            <w:szCs w:val="23"/>
          </w:rPr>
          <w:fldChar w:fldCharType="end"/>
        </w:r>
      </w:hyperlink>
    </w:p>
    <w:p w14:paraId="54633ACA" w14:textId="77777777" w:rsidR="00FD0449" w:rsidRPr="00FD0449" w:rsidRDefault="00224AA1" w:rsidP="00FD0449">
      <w:pPr>
        <w:pStyle w:val="TOC3"/>
        <w:tabs>
          <w:tab w:val="clear" w:pos="9120"/>
          <w:tab w:val="right" w:leader="dot" w:pos="8931"/>
        </w:tabs>
        <w:rPr>
          <w:rFonts w:eastAsiaTheme="minorEastAsia" w:cstheme="minorBidi"/>
          <w:noProof/>
          <w:sz w:val="23"/>
          <w:szCs w:val="23"/>
          <w:lang w:eastAsia="ja-JP"/>
        </w:rPr>
      </w:pPr>
      <w:hyperlink w:anchor="_Toc391469726" w:history="1">
        <w:r w:rsidR="00FD0449" w:rsidRPr="00FD0449">
          <w:rPr>
            <w:rStyle w:val="Hyperlink"/>
            <w:noProof/>
            <w:sz w:val="23"/>
            <w:szCs w:val="23"/>
          </w:rPr>
          <w:t>2.2.4</w:t>
        </w:r>
        <w:r w:rsidR="00FD0449" w:rsidRPr="00FD0449">
          <w:rPr>
            <w:rFonts w:eastAsiaTheme="minorEastAsia" w:cstheme="minorBidi"/>
            <w:noProof/>
            <w:sz w:val="23"/>
            <w:szCs w:val="23"/>
            <w:lang w:eastAsia="ja-JP"/>
          </w:rPr>
          <w:tab/>
        </w:r>
        <w:r w:rsidR="00FD0449" w:rsidRPr="00FD0449">
          <w:rPr>
            <w:rStyle w:val="Hyperlink"/>
            <w:noProof/>
            <w:sz w:val="23"/>
            <w:szCs w:val="23"/>
          </w:rPr>
          <w:t>National Judicial Development Committee Project</w:t>
        </w:r>
        <w:r w:rsidR="00FD0449" w:rsidRPr="00FD0449">
          <w:rPr>
            <w:noProof/>
            <w:webHidden/>
            <w:sz w:val="23"/>
            <w:szCs w:val="23"/>
          </w:rPr>
          <w:tab/>
        </w:r>
        <w:r w:rsidR="003E5AB5" w:rsidRPr="00FD0449">
          <w:rPr>
            <w:noProof/>
            <w:webHidden/>
            <w:sz w:val="23"/>
            <w:szCs w:val="23"/>
          </w:rPr>
          <w:fldChar w:fldCharType="begin"/>
        </w:r>
        <w:r w:rsidR="00FD0449" w:rsidRPr="00FD0449">
          <w:rPr>
            <w:noProof/>
            <w:webHidden/>
            <w:sz w:val="23"/>
            <w:szCs w:val="23"/>
          </w:rPr>
          <w:instrText xml:space="preserve"> PAGEREF _Toc391469726 \h </w:instrText>
        </w:r>
        <w:r w:rsidR="003E5AB5" w:rsidRPr="00FD0449">
          <w:rPr>
            <w:noProof/>
            <w:webHidden/>
            <w:sz w:val="23"/>
            <w:szCs w:val="23"/>
          </w:rPr>
        </w:r>
        <w:r w:rsidR="003E5AB5" w:rsidRPr="00FD0449">
          <w:rPr>
            <w:noProof/>
            <w:webHidden/>
            <w:sz w:val="23"/>
            <w:szCs w:val="23"/>
          </w:rPr>
          <w:fldChar w:fldCharType="separate"/>
        </w:r>
        <w:r w:rsidR="003D1E25">
          <w:rPr>
            <w:noProof/>
            <w:webHidden/>
            <w:sz w:val="23"/>
            <w:szCs w:val="23"/>
          </w:rPr>
          <w:t>3</w:t>
        </w:r>
        <w:r w:rsidR="003E5AB5" w:rsidRPr="00FD0449">
          <w:rPr>
            <w:noProof/>
            <w:webHidden/>
            <w:sz w:val="23"/>
            <w:szCs w:val="23"/>
          </w:rPr>
          <w:fldChar w:fldCharType="end"/>
        </w:r>
      </w:hyperlink>
    </w:p>
    <w:p w14:paraId="7DD32947" w14:textId="77777777" w:rsidR="00FD0449" w:rsidRPr="00FD0449" w:rsidRDefault="00224AA1" w:rsidP="00FD0449">
      <w:pPr>
        <w:pStyle w:val="TOC3"/>
        <w:tabs>
          <w:tab w:val="clear" w:pos="9120"/>
          <w:tab w:val="right" w:leader="dot" w:pos="8931"/>
        </w:tabs>
        <w:rPr>
          <w:rFonts w:eastAsiaTheme="minorEastAsia" w:cstheme="minorBidi"/>
          <w:noProof/>
          <w:sz w:val="23"/>
          <w:szCs w:val="23"/>
          <w:lang w:eastAsia="ja-JP"/>
        </w:rPr>
      </w:pPr>
      <w:hyperlink w:anchor="_Toc391469727" w:history="1">
        <w:r w:rsidR="00FD0449" w:rsidRPr="00FD0449">
          <w:rPr>
            <w:rStyle w:val="Hyperlink"/>
            <w:noProof/>
            <w:sz w:val="23"/>
            <w:szCs w:val="23"/>
          </w:rPr>
          <w:t>2.2.5</w:t>
        </w:r>
        <w:r w:rsidR="00FD0449" w:rsidRPr="00FD0449">
          <w:rPr>
            <w:rFonts w:eastAsiaTheme="minorEastAsia" w:cstheme="minorBidi"/>
            <w:noProof/>
            <w:sz w:val="23"/>
            <w:szCs w:val="23"/>
            <w:lang w:eastAsia="ja-JP"/>
          </w:rPr>
          <w:tab/>
        </w:r>
        <w:r w:rsidR="00FD0449" w:rsidRPr="00FD0449">
          <w:rPr>
            <w:rStyle w:val="Hyperlink"/>
            <w:noProof/>
            <w:sz w:val="23"/>
            <w:szCs w:val="23"/>
          </w:rPr>
          <w:t>Project Management Toolkit</w:t>
        </w:r>
        <w:r w:rsidR="00FD0449" w:rsidRPr="00FD0449">
          <w:rPr>
            <w:noProof/>
            <w:webHidden/>
            <w:sz w:val="23"/>
            <w:szCs w:val="23"/>
          </w:rPr>
          <w:tab/>
        </w:r>
        <w:r w:rsidR="003E5AB5" w:rsidRPr="00FD0449">
          <w:rPr>
            <w:noProof/>
            <w:webHidden/>
            <w:sz w:val="23"/>
            <w:szCs w:val="23"/>
          </w:rPr>
          <w:fldChar w:fldCharType="begin"/>
        </w:r>
        <w:r w:rsidR="00FD0449" w:rsidRPr="00FD0449">
          <w:rPr>
            <w:noProof/>
            <w:webHidden/>
            <w:sz w:val="23"/>
            <w:szCs w:val="23"/>
          </w:rPr>
          <w:instrText xml:space="preserve"> PAGEREF _Toc391469727 \h </w:instrText>
        </w:r>
        <w:r w:rsidR="003E5AB5" w:rsidRPr="00FD0449">
          <w:rPr>
            <w:noProof/>
            <w:webHidden/>
            <w:sz w:val="23"/>
            <w:szCs w:val="23"/>
          </w:rPr>
        </w:r>
        <w:r w:rsidR="003E5AB5" w:rsidRPr="00FD0449">
          <w:rPr>
            <w:noProof/>
            <w:webHidden/>
            <w:sz w:val="23"/>
            <w:szCs w:val="23"/>
          </w:rPr>
          <w:fldChar w:fldCharType="separate"/>
        </w:r>
        <w:r w:rsidR="003D1E25">
          <w:rPr>
            <w:noProof/>
            <w:webHidden/>
            <w:sz w:val="23"/>
            <w:szCs w:val="23"/>
          </w:rPr>
          <w:t>4</w:t>
        </w:r>
        <w:r w:rsidR="003E5AB5" w:rsidRPr="00FD0449">
          <w:rPr>
            <w:noProof/>
            <w:webHidden/>
            <w:sz w:val="23"/>
            <w:szCs w:val="23"/>
          </w:rPr>
          <w:fldChar w:fldCharType="end"/>
        </w:r>
      </w:hyperlink>
    </w:p>
    <w:p w14:paraId="28E37717" w14:textId="77777777" w:rsidR="00FD0449" w:rsidRPr="00FD0449" w:rsidRDefault="00224AA1" w:rsidP="00FD0449">
      <w:pPr>
        <w:pStyle w:val="TOC2"/>
        <w:rPr>
          <w:rFonts w:eastAsiaTheme="minorEastAsia" w:cstheme="minorBidi"/>
          <w:noProof/>
          <w:sz w:val="23"/>
          <w:szCs w:val="23"/>
          <w:lang w:eastAsia="ja-JP"/>
        </w:rPr>
      </w:pPr>
      <w:hyperlink w:anchor="_Toc391469728" w:history="1">
        <w:r w:rsidR="00FD0449" w:rsidRPr="00FD0449">
          <w:rPr>
            <w:rStyle w:val="Hyperlink"/>
            <w:noProof/>
            <w:sz w:val="23"/>
            <w:szCs w:val="23"/>
          </w:rPr>
          <w:t>2.3</w:t>
        </w:r>
        <w:r w:rsidR="00FD0449" w:rsidRPr="00FD0449">
          <w:rPr>
            <w:rFonts w:eastAsiaTheme="minorEastAsia" w:cstheme="minorBidi"/>
            <w:noProof/>
            <w:sz w:val="23"/>
            <w:szCs w:val="23"/>
            <w:lang w:eastAsia="ja-JP"/>
          </w:rPr>
          <w:tab/>
        </w:r>
        <w:r w:rsidR="00FD0449" w:rsidRPr="00FD0449">
          <w:rPr>
            <w:rStyle w:val="Hyperlink"/>
            <w:noProof/>
            <w:sz w:val="23"/>
            <w:szCs w:val="23"/>
          </w:rPr>
          <w:t>Component Three: Systems and Processes</w:t>
        </w:r>
        <w:r w:rsidR="00FD0449" w:rsidRPr="00FD0449">
          <w:rPr>
            <w:noProof/>
            <w:webHidden/>
            <w:sz w:val="23"/>
            <w:szCs w:val="23"/>
          </w:rPr>
          <w:tab/>
        </w:r>
        <w:r w:rsidR="003E5AB5" w:rsidRPr="00FD0449">
          <w:rPr>
            <w:noProof/>
            <w:webHidden/>
            <w:sz w:val="23"/>
            <w:szCs w:val="23"/>
          </w:rPr>
          <w:fldChar w:fldCharType="begin"/>
        </w:r>
        <w:r w:rsidR="00FD0449" w:rsidRPr="00FD0449">
          <w:rPr>
            <w:noProof/>
            <w:webHidden/>
            <w:sz w:val="23"/>
            <w:szCs w:val="23"/>
          </w:rPr>
          <w:instrText xml:space="preserve"> PAGEREF _Toc391469728 \h </w:instrText>
        </w:r>
        <w:r w:rsidR="003E5AB5" w:rsidRPr="00FD0449">
          <w:rPr>
            <w:noProof/>
            <w:webHidden/>
            <w:sz w:val="23"/>
            <w:szCs w:val="23"/>
          </w:rPr>
        </w:r>
        <w:r w:rsidR="003E5AB5" w:rsidRPr="00FD0449">
          <w:rPr>
            <w:noProof/>
            <w:webHidden/>
            <w:sz w:val="23"/>
            <w:szCs w:val="23"/>
          </w:rPr>
          <w:fldChar w:fldCharType="separate"/>
        </w:r>
        <w:r w:rsidR="003D1E25">
          <w:rPr>
            <w:noProof/>
            <w:webHidden/>
            <w:sz w:val="23"/>
            <w:szCs w:val="23"/>
          </w:rPr>
          <w:t>4</w:t>
        </w:r>
        <w:r w:rsidR="003E5AB5" w:rsidRPr="00FD0449">
          <w:rPr>
            <w:noProof/>
            <w:webHidden/>
            <w:sz w:val="23"/>
            <w:szCs w:val="23"/>
          </w:rPr>
          <w:fldChar w:fldCharType="end"/>
        </w:r>
      </w:hyperlink>
    </w:p>
    <w:p w14:paraId="395C6F38" w14:textId="77777777" w:rsidR="00FD0449" w:rsidRPr="00FD0449" w:rsidRDefault="00224AA1" w:rsidP="00FD0449">
      <w:pPr>
        <w:pStyle w:val="TOC3"/>
        <w:tabs>
          <w:tab w:val="clear" w:pos="9120"/>
          <w:tab w:val="right" w:leader="dot" w:pos="8931"/>
        </w:tabs>
        <w:rPr>
          <w:rFonts w:eastAsiaTheme="minorEastAsia" w:cstheme="minorBidi"/>
          <w:noProof/>
          <w:sz w:val="23"/>
          <w:szCs w:val="23"/>
          <w:lang w:eastAsia="ja-JP"/>
        </w:rPr>
      </w:pPr>
      <w:hyperlink w:anchor="_Toc391469729" w:history="1">
        <w:r w:rsidR="00FD0449" w:rsidRPr="00FD0449">
          <w:rPr>
            <w:rStyle w:val="Hyperlink"/>
            <w:noProof/>
            <w:sz w:val="23"/>
            <w:szCs w:val="23"/>
          </w:rPr>
          <w:t>2.3.1</w:t>
        </w:r>
        <w:r w:rsidR="00FD0449" w:rsidRPr="00FD0449">
          <w:rPr>
            <w:rFonts w:eastAsiaTheme="minorEastAsia" w:cstheme="minorBidi"/>
            <w:noProof/>
            <w:sz w:val="23"/>
            <w:szCs w:val="23"/>
            <w:lang w:eastAsia="ja-JP"/>
          </w:rPr>
          <w:tab/>
        </w:r>
        <w:r w:rsidR="00FD0449" w:rsidRPr="00FD0449">
          <w:rPr>
            <w:rStyle w:val="Hyperlink"/>
            <w:noProof/>
            <w:sz w:val="23"/>
            <w:szCs w:val="23"/>
          </w:rPr>
          <w:t>Judicial Administration Project</w:t>
        </w:r>
        <w:r w:rsidR="00FD0449" w:rsidRPr="00FD0449">
          <w:rPr>
            <w:noProof/>
            <w:webHidden/>
            <w:sz w:val="23"/>
            <w:szCs w:val="23"/>
          </w:rPr>
          <w:tab/>
        </w:r>
        <w:r w:rsidR="003E5AB5" w:rsidRPr="00FD0449">
          <w:rPr>
            <w:noProof/>
            <w:webHidden/>
            <w:sz w:val="23"/>
            <w:szCs w:val="23"/>
          </w:rPr>
          <w:fldChar w:fldCharType="begin"/>
        </w:r>
        <w:r w:rsidR="00FD0449" w:rsidRPr="00FD0449">
          <w:rPr>
            <w:noProof/>
            <w:webHidden/>
            <w:sz w:val="23"/>
            <w:szCs w:val="23"/>
          </w:rPr>
          <w:instrText xml:space="preserve"> PAGEREF _Toc391469729 \h </w:instrText>
        </w:r>
        <w:r w:rsidR="003E5AB5" w:rsidRPr="00FD0449">
          <w:rPr>
            <w:noProof/>
            <w:webHidden/>
            <w:sz w:val="23"/>
            <w:szCs w:val="23"/>
          </w:rPr>
        </w:r>
        <w:r w:rsidR="003E5AB5" w:rsidRPr="00FD0449">
          <w:rPr>
            <w:noProof/>
            <w:webHidden/>
            <w:sz w:val="23"/>
            <w:szCs w:val="23"/>
          </w:rPr>
          <w:fldChar w:fldCharType="separate"/>
        </w:r>
        <w:r w:rsidR="003D1E25">
          <w:rPr>
            <w:noProof/>
            <w:webHidden/>
            <w:sz w:val="23"/>
            <w:szCs w:val="23"/>
          </w:rPr>
          <w:t>4</w:t>
        </w:r>
        <w:r w:rsidR="003E5AB5" w:rsidRPr="00FD0449">
          <w:rPr>
            <w:noProof/>
            <w:webHidden/>
            <w:sz w:val="23"/>
            <w:szCs w:val="23"/>
          </w:rPr>
          <w:fldChar w:fldCharType="end"/>
        </w:r>
      </w:hyperlink>
    </w:p>
    <w:p w14:paraId="2A238439" w14:textId="77777777" w:rsidR="00FD0449" w:rsidRPr="00FD0449" w:rsidRDefault="00224AA1" w:rsidP="00FD0449">
      <w:pPr>
        <w:pStyle w:val="TOC3"/>
        <w:tabs>
          <w:tab w:val="clear" w:pos="9120"/>
          <w:tab w:val="right" w:leader="dot" w:pos="8931"/>
        </w:tabs>
        <w:rPr>
          <w:rFonts w:eastAsiaTheme="minorEastAsia" w:cstheme="minorBidi"/>
          <w:noProof/>
          <w:sz w:val="23"/>
          <w:szCs w:val="23"/>
          <w:lang w:eastAsia="ja-JP"/>
        </w:rPr>
      </w:pPr>
      <w:hyperlink w:anchor="_Toc391469730" w:history="1">
        <w:r w:rsidR="00FD0449" w:rsidRPr="00FD0449">
          <w:rPr>
            <w:rStyle w:val="Hyperlink"/>
            <w:noProof/>
            <w:sz w:val="23"/>
            <w:szCs w:val="23"/>
          </w:rPr>
          <w:t>2.3.2</w:t>
        </w:r>
        <w:r w:rsidR="00FD0449" w:rsidRPr="00FD0449">
          <w:rPr>
            <w:rFonts w:eastAsiaTheme="minorEastAsia" w:cstheme="minorBidi"/>
            <w:noProof/>
            <w:sz w:val="23"/>
            <w:szCs w:val="23"/>
            <w:lang w:eastAsia="ja-JP"/>
          </w:rPr>
          <w:tab/>
        </w:r>
        <w:r w:rsidR="00FD0449" w:rsidRPr="00FD0449">
          <w:rPr>
            <w:rStyle w:val="Hyperlink"/>
            <w:noProof/>
            <w:sz w:val="23"/>
            <w:szCs w:val="23"/>
          </w:rPr>
          <w:t>Court Annual Reporting Project</w:t>
        </w:r>
        <w:r w:rsidR="00FD0449" w:rsidRPr="00FD0449">
          <w:rPr>
            <w:noProof/>
            <w:webHidden/>
            <w:sz w:val="23"/>
            <w:szCs w:val="23"/>
          </w:rPr>
          <w:tab/>
        </w:r>
        <w:r w:rsidR="003E5AB5" w:rsidRPr="00FD0449">
          <w:rPr>
            <w:noProof/>
            <w:webHidden/>
            <w:sz w:val="23"/>
            <w:szCs w:val="23"/>
          </w:rPr>
          <w:fldChar w:fldCharType="begin"/>
        </w:r>
        <w:r w:rsidR="00FD0449" w:rsidRPr="00FD0449">
          <w:rPr>
            <w:noProof/>
            <w:webHidden/>
            <w:sz w:val="23"/>
            <w:szCs w:val="23"/>
          </w:rPr>
          <w:instrText xml:space="preserve"> PAGEREF _Toc391469730 \h </w:instrText>
        </w:r>
        <w:r w:rsidR="003E5AB5" w:rsidRPr="00FD0449">
          <w:rPr>
            <w:noProof/>
            <w:webHidden/>
            <w:sz w:val="23"/>
            <w:szCs w:val="23"/>
          </w:rPr>
        </w:r>
        <w:r w:rsidR="003E5AB5" w:rsidRPr="00FD0449">
          <w:rPr>
            <w:noProof/>
            <w:webHidden/>
            <w:sz w:val="23"/>
            <w:szCs w:val="23"/>
          </w:rPr>
          <w:fldChar w:fldCharType="separate"/>
        </w:r>
        <w:r w:rsidR="003D1E25">
          <w:rPr>
            <w:noProof/>
            <w:webHidden/>
            <w:sz w:val="23"/>
            <w:szCs w:val="23"/>
          </w:rPr>
          <w:t>5</w:t>
        </w:r>
        <w:r w:rsidR="003E5AB5" w:rsidRPr="00FD0449">
          <w:rPr>
            <w:noProof/>
            <w:webHidden/>
            <w:sz w:val="23"/>
            <w:szCs w:val="23"/>
          </w:rPr>
          <w:fldChar w:fldCharType="end"/>
        </w:r>
      </w:hyperlink>
    </w:p>
    <w:p w14:paraId="2F94401F" w14:textId="77777777" w:rsidR="00FD0449" w:rsidRPr="00FD0449" w:rsidRDefault="00224AA1" w:rsidP="00FD0449">
      <w:pPr>
        <w:pStyle w:val="TOC2"/>
        <w:rPr>
          <w:rFonts w:eastAsiaTheme="minorEastAsia" w:cstheme="minorBidi"/>
          <w:noProof/>
          <w:sz w:val="23"/>
          <w:szCs w:val="23"/>
          <w:lang w:eastAsia="ja-JP"/>
        </w:rPr>
      </w:pPr>
      <w:hyperlink w:anchor="_Toc391469731" w:history="1">
        <w:r w:rsidR="00FD0449" w:rsidRPr="00FD0449">
          <w:rPr>
            <w:rStyle w:val="Hyperlink"/>
            <w:noProof/>
            <w:sz w:val="23"/>
            <w:szCs w:val="23"/>
          </w:rPr>
          <w:t>2.4</w:t>
        </w:r>
        <w:r w:rsidR="00FD0449" w:rsidRPr="00FD0449">
          <w:rPr>
            <w:rFonts w:eastAsiaTheme="minorEastAsia" w:cstheme="minorBidi"/>
            <w:noProof/>
            <w:sz w:val="23"/>
            <w:szCs w:val="23"/>
            <w:lang w:eastAsia="ja-JP"/>
          </w:rPr>
          <w:tab/>
        </w:r>
        <w:r w:rsidR="00FD0449" w:rsidRPr="00FD0449">
          <w:rPr>
            <w:rStyle w:val="Hyperlink"/>
            <w:noProof/>
            <w:sz w:val="23"/>
            <w:szCs w:val="23"/>
          </w:rPr>
          <w:t>Component Four: Professional Development</w:t>
        </w:r>
        <w:r w:rsidR="00FD0449" w:rsidRPr="00FD0449">
          <w:rPr>
            <w:noProof/>
            <w:webHidden/>
            <w:sz w:val="23"/>
            <w:szCs w:val="23"/>
          </w:rPr>
          <w:tab/>
        </w:r>
        <w:r w:rsidR="003E5AB5" w:rsidRPr="00FD0449">
          <w:rPr>
            <w:noProof/>
            <w:webHidden/>
            <w:sz w:val="23"/>
            <w:szCs w:val="23"/>
          </w:rPr>
          <w:fldChar w:fldCharType="begin"/>
        </w:r>
        <w:r w:rsidR="00FD0449" w:rsidRPr="00FD0449">
          <w:rPr>
            <w:noProof/>
            <w:webHidden/>
            <w:sz w:val="23"/>
            <w:szCs w:val="23"/>
          </w:rPr>
          <w:instrText xml:space="preserve"> PAGEREF _Toc391469731 \h </w:instrText>
        </w:r>
        <w:r w:rsidR="003E5AB5" w:rsidRPr="00FD0449">
          <w:rPr>
            <w:noProof/>
            <w:webHidden/>
            <w:sz w:val="23"/>
            <w:szCs w:val="23"/>
          </w:rPr>
        </w:r>
        <w:r w:rsidR="003E5AB5" w:rsidRPr="00FD0449">
          <w:rPr>
            <w:noProof/>
            <w:webHidden/>
            <w:sz w:val="23"/>
            <w:szCs w:val="23"/>
          </w:rPr>
          <w:fldChar w:fldCharType="separate"/>
        </w:r>
        <w:r w:rsidR="003D1E25">
          <w:rPr>
            <w:noProof/>
            <w:webHidden/>
            <w:sz w:val="23"/>
            <w:szCs w:val="23"/>
          </w:rPr>
          <w:t>5</w:t>
        </w:r>
        <w:r w:rsidR="003E5AB5" w:rsidRPr="00FD0449">
          <w:rPr>
            <w:noProof/>
            <w:webHidden/>
            <w:sz w:val="23"/>
            <w:szCs w:val="23"/>
          </w:rPr>
          <w:fldChar w:fldCharType="end"/>
        </w:r>
      </w:hyperlink>
    </w:p>
    <w:p w14:paraId="656CAEB1" w14:textId="77777777" w:rsidR="00FD0449" w:rsidRPr="00FD0449" w:rsidRDefault="00224AA1" w:rsidP="00FD0449">
      <w:pPr>
        <w:pStyle w:val="TOC3"/>
        <w:tabs>
          <w:tab w:val="clear" w:pos="9120"/>
          <w:tab w:val="right" w:leader="dot" w:pos="8931"/>
        </w:tabs>
        <w:rPr>
          <w:rFonts w:eastAsiaTheme="minorEastAsia" w:cstheme="minorBidi"/>
          <w:noProof/>
          <w:sz w:val="23"/>
          <w:szCs w:val="23"/>
          <w:lang w:eastAsia="ja-JP"/>
        </w:rPr>
      </w:pPr>
      <w:hyperlink w:anchor="_Toc391469732" w:history="1">
        <w:r w:rsidR="00FD0449" w:rsidRPr="00FD0449">
          <w:rPr>
            <w:rStyle w:val="Hyperlink"/>
            <w:noProof/>
            <w:sz w:val="23"/>
            <w:szCs w:val="23"/>
          </w:rPr>
          <w:t>2.4.1</w:t>
        </w:r>
        <w:r w:rsidR="00FD0449" w:rsidRPr="00FD0449">
          <w:rPr>
            <w:rFonts w:eastAsiaTheme="minorEastAsia" w:cstheme="minorBidi"/>
            <w:noProof/>
            <w:sz w:val="23"/>
            <w:szCs w:val="23"/>
            <w:lang w:eastAsia="ja-JP"/>
          </w:rPr>
          <w:tab/>
        </w:r>
        <w:r w:rsidR="00FD0449" w:rsidRPr="00FD0449">
          <w:rPr>
            <w:rStyle w:val="Hyperlink"/>
            <w:noProof/>
            <w:sz w:val="23"/>
            <w:szCs w:val="23"/>
          </w:rPr>
          <w:t>Core Judicial Development Project</w:t>
        </w:r>
        <w:r w:rsidR="00FD0449" w:rsidRPr="00FD0449">
          <w:rPr>
            <w:noProof/>
            <w:webHidden/>
            <w:sz w:val="23"/>
            <w:szCs w:val="23"/>
          </w:rPr>
          <w:tab/>
        </w:r>
        <w:r w:rsidR="003E5AB5" w:rsidRPr="00FD0449">
          <w:rPr>
            <w:noProof/>
            <w:webHidden/>
            <w:sz w:val="23"/>
            <w:szCs w:val="23"/>
          </w:rPr>
          <w:fldChar w:fldCharType="begin"/>
        </w:r>
        <w:r w:rsidR="00FD0449" w:rsidRPr="00FD0449">
          <w:rPr>
            <w:noProof/>
            <w:webHidden/>
            <w:sz w:val="23"/>
            <w:szCs w:val="23"/>
          </w:rPr>
          <w:instrText xml:space="preserve"> PAGEREF _Toc391469732 \h </w:instrText>
        </w:r>
        <w:r w:rsidR="003E5AB5" w:rsidRPr="00FD0449">
          <w:rPr>
            <w:noProof/>
            <w:webHidden/>
            <w:sz w:val="23"/>
            <w:szCs w:val="23"/>
          </w:rPr>
        </w:r>
        <w:r w:rsidR="003E5AB5" w:rsidRPr="00FD0449">
          <w:rPr>
            <w:noProof/>
            <w:webHidden/>
            <w:sz w:val="23"/>
            <w:szCs w:val="23"/>
          </w:rPr>
          <w:fldChar w:fldCharType="separate"/>
        </w:r>
        <w:r w:rsidR="003D1E25">
          <w:rPr>
            <w:noProof/>
            <w:webHidden/>
            <w:sz w:val="23"/>
            <w:szCs w:val="23"/>
          </w:rPr>
          <w:t>5</w:t>
        </w:r>
        <w:r w:rsidR="003E5AB5" w:rsidRPr="00FD0449">
          <w:rPr>
            <w:noProof/>
            <w:webHidden/>
            <w:sz w:val="23"/>
            <w:szCs w:val="23"/>
          </w:rPr>
          <w:fldChar w:fldCharType="end"/>
        </w:r>
      </w:hyperlink>
    </w:p>
    <w:p w14:paraId="15769671" w14:textId="77777777" w:rsidR="00FD0449" w:rsidRPr="00FD0449" w:rsidRDefault="00224AA1" w:rsidP="00FD0449">
      <w:pPr>
        <w:pStyle w:val="TOC2"/>
        <w:rPr>
          <w:rFonts w:eastAsiaTheme="minorEastAsia" w:cstheme="minorBidi"/>
          <w:noProof/>
          <w:sz w:val="23"/>
          <w:szCs w:val="23"/>
          <w:lang w:eastAsia="ja-JP"/>
        </w:rPr>
      </w:pPr>
      <w:hyperlink w:anchor="_Toc391469733" w:history="1">
        <w:r w:rsidR="00FD0449" w:rsidRPr="00FD0449">
          <w:rPr>
            <w:rStyle w:val="Hyperlink"/>
            <w:noProof/>
            <w:sz w:val="23"/>
            <w:szCs w:val="23"/>
          </w:rPr>
          <w:t>2.5</w:t>
        </w:r>
        <w:r w:rsidR="00FD0449" w:rsidRPr="00FD0449">
          <w:rPr>
            <w:rFonts w:eastAsiaTheme="minorEastAsia" w:cstheme="minorBidi"/>
            <w:noProof/>
            <w:sz w:val="23"/>
            <w:szCs w:val="23"/>
            <w:lang w:eastAsia="ja-JP"/>
          </w:rPr>
          <w:tab/>
        </w:r>
        <w:r w:rsidR="00FD0449" w:rsidRPr="00FD0449">
          <w:rPr>
            <w:rStyle w:val="Hyperlink"/>
            <w:noProof/>
            <w:sz w:val="23"/>
            <w:szCs w:val="23"/>
          </w:rPr>
          <w:t>Component Five: Programme Management</w:t>
        </w:r>
        <w:r w:rsidR="00FD0449" w:rsidRPr="00FD0449">
          <w:rPr>
            <w:noProof/>
            <w:webHidden/>
            <w:sz w:val="23"/>
            <w:szCs w:val="23"/>
          </w:rPr>
          <w:tab/>
        </w:r>
        <w:r w:rsidR="003E5AB5" w:rsidRPr="00FD0449">
          <w:rPr>
            <w:noProof/>
            <w:webHidden/>
            <w:sz w:val="23"/>
            <w:szCs w:val="23"/>
          </w:rPr>
          <w:fldChar w:fldCharType="begin"/>
        </w:r>
        <w:r w:rsidR="00FD0449" w:rsidRPr="00FD0449">
          <w:rPr>
            <w:noProof/>
            <w:webHidden/>
            <w:sz w:val="23"/>
            <w:szCs w:val="23"/>
          </w:rPr>
          <w:instrText xml:space="preserve"> PAGEREF _Toc391469733 \h </w:instrText>
        </w:r>
        <w:r w:rsidR="003E5AB5" w:rsidRPr="00FD0449">
          <w:rPr>
            <w:noProof/>
            <w:webHidden/>
            <w:sz w:val="23"/>
            <w:szCs w:val="23"/>
          </w:rPr>
        </w:r>
        <w:r w:rsidR="003E5AB5" w:rsidRPr="00FD0449">
          <w:rPr>
            <w:noProof/>
            <w:webHidden/>
            <w:sz w:val="23"/>
            <w:szCs w:val="23"/>
          </w:rPr>
          <w:fldChar w:fldCharType="separate"/>
        </w:r>
        <w:r w:rsidR="003D1E25">
          <w:rPr>
            <w:noProof/>
            <w:webHidden/>
            <w:sz w:val="23"/>
            <w:szCs w:val="23"/>
          </w:rPr>
          <w:t>6</w:t>
        </w:r>
        <w:r w:rsidR="003E5AB5" w:rsidRPr="00FD0449">
          <w:rPr>
            <w:noProof/>
            <w:webHidden/>
            <w:sz w:val="23"/>
            <w:szCs w:val="23"/>
          </w:rPr>
          <w:fldChar w:fldCharType="end"/>
        </w:r>
      </w:hyperlink>
    </w:p>
    <w:p w14:paraId="0176343D" w14:textId="77777777" w:rsidR="00FD0449" w:rsidRPr="00FD0449" w:rsidRDefault="00224AA1" w:rsidP="00FD0449">
      <w:pPr>
        <w:pStyle w:val="TOC1"/>
        <w:rPr>
          <w:rFonts w:eastAsiaTheme="minorEastAsia" w:cstheme="minorBidi"/>
          <w:kern w:val="0"/>
          <w:lang w:eastAsia="ja-JP"/>
        </w:rPr>
      </w:pPr>
      <w:hyperlink w:anchor="_Toc391469734" w:history="1">
        <w:r w:rsidR="00FD0449" w:rsidRPr="00FD0449">
          <w:rPr>
            <w:rStyle w:val="Hyperlink"/>
          </w:rPr>
          <w:t>3.0</w:t>
        </w:r>
        <w:r w:rsidR="00FD0449" w:rsidRPr="00FD0449">
          <w:rPr>
            <w:rFonts w:eastAsiaTheme="minorEastAsia" w:cstheme="minorBidi"/>
            <w:kern w:val="0"/>
            <w:lang w:eastAsia="ja-JP"/>
          </w:rPr>
          <w:tab/>
        </w:r>
        <w:r w:rsidR="00FD0449" w:rsidRPr="00FD0449">
          <w:rPr>
            <w:rStyle w:val="Hyperlink"/>
          </w:rPr>
          <w:t>Breakdown of Participants Supported by the PJDP</w:t>
        </w:r>
        <w:r w:rsidR="00FD0449" w:rsidRPr="00FD0449">
          <w:rPr>
            <w:webHidden/>
          </w:rPr>
          <w:tab/>
        </w:r>
        <w:r w:rsidR="003E5AB5" w:rsidRPr="00FD0449">
          <w:rPr>
            <w:webHidden/>
          </w:rPr>
          <w:fldChar w:fldCharType="begin"/>
        </w:r>
        <w:r w:rsidR="00FD0449" w:rsidRPr="00FD0449">
          <w:rPr>
            <w:webHidden/>
          </w:rPr>
          <w:instrText xml:space="preserve"> PAGEREF _Toc391469734 \h </w:instrText>
        </w:r>
        <w:r w:rsidR="003E5AB5" w:rsidRPr="00FD0449">
          <w:rPr>
            <w:webHidden/>
          </w:rPr>
        </w:r>
        <w:r w:rsidR="003E5AB5" w:rsidRPr="00FD0449">
          <w:rPr>
            <w:webHidden/>
          </w:rPr>
          <w:fldChar w:fldCharType="separate"/>
        </w:r>
        <w:r w:rsidR="003D1E25">
          <w:rPr>
            <w:webHidden/>
          </w:rPr>
          <w:t>8</w:t>
        </w:r>
        <w:r w:rsidR="003E5AB5" w:rsidRPr="00FD0449">
          <w:rPr>
            <w:webHidden/>
          </w:rPr>
          <w:fldChar w:fldCharType="end"/>
        </w:r>
      </w:hyperlink>
    </w:p>
    <w:p w14:paraId="2EBEAAB4" w14:textId="77777777" w:rsidR="00FD0449" w:rsidRPr="00FD0449" w:rsidRDefault="00224AA1" w:rsidP="00FD0449">
      <w:pPr>
        <w:pStyle w:val="TOC1"/>
        <w:rPr>
          <w:rFonts w:eastAsiaTheme="minorEastAsia" w:cstheme="minorBidi"/>
          <w:kern w:val="0"/>
          <w:lang w:eastAsia="ja-JP"/>
        </w:rPr>
      </w:pPr>
      <w:hyperlink w:anchor="_Toc391469735" w:history="1">
        <w:r w:rsidR="00FD0449" w:rsidRPr="00FD0449">
          <w:rPr>
            <w:rStyle w:val="Hyperlink"/>
          </w:rPr>
          <w:t>4.0</w:t>
        </w:r>
        <w:r w:rsidR="00FD0449" w:rsidRPr="00FD0449">
          <w:rPr>
            <w:rFonts w:eastAsiaTheme="minorEastAsia" w:cstheme="minorBidi"/>
            <w:kern w:val="0"/>
            <w:lang w:eastAsia="ja-JP"/>
          </w:rPr>
          <w:tab/>
        </w:r>
        <w:r w:rsidR="00FD0449" w:rsidRPr="00FD0449">
          <w:rPr>
            <w:rStyle w:val="Hyperlink"/>
          </w:rPr>
          <w:t>Cross-cutting Issues</w:t>
        </w:r>
        <w:r w:rsidR="00FD0449" w:rsidRPr="00FD0449">
          <w:rPr>
            <w:webHidden/>
          </w:rPr>
          <w:tab/>
        </w:r>
        <w:r w:rsidR="003E5AB5" w:rsidRPr="00FD0449">
          <w:rPr>
            <w:webHidden/>
          </w:rPr>
          <w:fldChar w:fldCharType="begin"/>
        </w:r>
        <w:r w:rsidR="00FD0449" w:rsidRPr="00FD0449">
          <w:rPr>
            <w:webHidden/>
          </w:rPr>
          <w:instrText xml:space="preserve"> PAGEREF _Toc391469735 \h </w:instrText>
        </w:r>
        <w:r w:rsidR="003E5AB5" w:rsidRPr="00FD0449">
          <w:rPr>
            <w:webHidden/>
          </w:rPr>
        </w:r>
        <w:r w:rsidR="003E5AB5" w:rsidRPr="00FD0449">
          <w:rPr>
            <w:webHidden/>
          </w:rPr>
          <w:fldChar w:fldCharType="separate"/>
        </w:r>
        <w:r w:rsidR="003D1E25">
          <w:rPr>
            <w:webHidden/>
          </w:rPr>
          <w:t>8</w:t>
        </w:r>
        <w:r w:rsidR="003E5AB5" w:rsidRPr="00FD0449">
          <w:rPr>
            <w:webHidden/>
          </w:rPr>
          <w:fldChar w:fldCharType="end"/>
        </w:r>
      </w:hyperlink>
    </w:p>
    <w:p w14:paraId="63A78B1D" w14:textId="77777777" w:rsidR="00FD0449" w:rsidRPr="00FD0449" w:rsidRDefault="00224AA1" w:rsidP="00FD0449">
      <w:pPr>
        <w:pStyle w:val="TOC1"/>
        <w:rPr>
          <w:rFonts w:eastAsiaTheme="minorEastAsia" w:cstheme="minorBidi"/>
          <w:kern w:val="0"/>
          <w:lang w:eastAsia="ja-JP"/>
        </w:rPr>
      </w:pPr>
      <w:hyperlink w:anchor="_Toc391469736" w:history="1">
        <w:r w:rsidR="00FD0449" w:rsidRPr="00FD0449">
          <w:rPr>
            <w:rStyle w:val="Hyperlink"/>
          </w:rPr>
          <w:t>5.0</w:t>
        </w:r>
        <w:r w:rsidR="00FD0449" w:rsidRPr="00FD0449">
          <w:rPr>
            <w:rFonts w:eastAsiaTheme="minorEastAsia" w:cstheme="minorBidi"/>
            <w:kern w:val="0"/>
            <w:lang w:eastAsia="ja-JP"/>
          </w:rPr>
          <w:tab/>
        </w:r>
        <w:r w:rsidR="00FD0449" w:rsidRPr="00FD0449">
          <w:rPr>
            <w:rStyle w:val="Hyperlink"/>
          </w:rPr>
          <w:t>Emerging Risks</w:t>
        </w:r>
        <w:r w:rsidR="00FD0449" w:rsidRPr="00FD0449">
          <w:rPr>
            <w:webHidden/>
          </w:rPr>
          <w:tab/>
        </w:r>
        <w:r w:rsidR="003E5AB5" w:rsidRPr="00FD0449">
          <w:rPr>
            <w:webHidden/>
          </w:rPr>
          <w:fldChar w:fldCharType="begin"/>
        </w:r>
        <w:r w:rsidR="00FD0449" w:rsidRPr="00FD0449">
          <w:rPr>
            <w:webHidden/>
          </w:rPr>
          <w:instrText xml:space="preserve"> PAGEREF _Toc391469736 \h </w:instrText>
        </w:r>
        <w:r w:rsidR="003E5AB5" w:rsidRPr="00FD0449">
          <w:rPr>
            <w:webHidden/>
          </w:rPr>
        </w:r>
        <w:r w:rsidR="003E5AB5" w:rsidRPr="00FD0449">
          <w:rPr>
            <w:webHidden/>
          </w:rPr>
          <w:fldChar w:fldCharType="separate"/>
        </w:r>
        <w:r w:rsidR="003D1E25">
          <w:rPr>
            <w:webHidden/>
          </w:rPr>
          <w:t>9</w:t>
        </w:r>
        <w:r w:rsidR="003E5AB5" w:rsidRPr="00FD0449">
          <w:rPr>
            <w:webHidden/>
          </w:rPr>
          <w:fldChar w:fldCharType="end"/>
        </w:r>
      </w:hyperlink>
    </w:p>
    <w:p w14:paraId="2D90C711" w14:textId="77777777" w:rsidR="00FD0449" w:rsidRPr="00FD0449" w:rsidRDefault="00224AA1" w:rsidP="00FD0449">
      <w:pPr>
        <w:pStyle w:val="TOC1"/>
        <w:rPr>
          <w:rFonts w:eastAsiaTheme="minorEastAsia" w:cstheme="minorBidi"/>
          <w:kern w:val="0"/>
          <w:lang w:eastAsia="ja-JP"/>
        </w:rPr>
      </w:pPr>
      <w:hyperlink w:anchor="_Toc391469737" w:history="1">
        <w:r w:rsidR="00FD0449" w:rsidRPr="00FD0449">
          <w:rPr>
            <w:rStyle w:val="Hyperlink"/>
          </w:rPr>
          <w:t>6.0</w:t>
        </w:r>
        <w:r w:rsidR="00FD0449" w:rsidRPr="00FD0449">
          <w:rPr>
            <w:rFonts w:eastAsiaTheme="minorEastAsia" w:cstheme="minorBidi"/>
            <w:kern w:val="0"/>
            <w:lang w:eastAsia="ja-JP"/>
          </w:rPr>
          <w:tab/>
        </w:r>
        <w:r w:rsidR="00FD0449" w:rsidRPr="00FD0449">
          <w:rPr>
            <w:rStyle w:val="Hyperlink"/>
            <w:rFonts w:cs="Arial"/>
          </w:rPr>
          <w:t>Lessons Learnt</w:t>
        </w:r>
        <w:r w:rsidR="00FD0449" w:rsidRPr="00FD0449">
          <w:rPr>
            <w:webHidden/>
          </w:rPr>
          <w:tab/>
        </w:r>
        <w:r w:rsidR="003E5AB5" w:rsidRPr="00FD0449">
          <w:rPr>
            <w:webHidden/>
          </w:rPr>
          <w:fldChar w:fldCharType="begin"/>
        </w:r>
        <w:r w:rsidR="00FD0449" w:rsidRPr="00FD0449">
          <w:rPr>
            <w:webHidden/>
          </w:rPr>
          <w:instrText xml:space="preserve"> PAGEREF _Toc391469737 \h </w:instrText>
        </w:r>
        <w:r w:rsidR="003E5AB5" w:rsidRPr="00FD0449">
          <w:rPr>
            <w:webHidden/>
          </w:rPr>
        </w:r>
        <w:r w:rsidR="003E5AB5" w:rsidRPr="00FD0449">
          <w:rPr>
            <w:webHidden/>
          </w:rPr>
          <w:fldChar w:fldCharType="separate"/>
        </w:r>
        <w:r w:rsidR="003D1E25">
          <w:rPr>
            <w:webHidden/>
          </w:rPr>
          <w:t>10</w:t>
        </w:r>
        <w:r w:rsidR="003E5AB5" w:rsidRPr="00FD0449">
          <w:rPr>
            <w:webHidden/>
          </w:rPr>
          <w:fldChar w:fldCharType="end"/>
        </w:r>
      </w:hyperlink>
    </w:p>
    <w:p w14:paraId="2631AC25" w14:textId="77777777" w:rsidR="00FD0449" w:rsidRPr="00FD0449" w:rsidRDefault="00224AA1" w:rsidP="00FD0449">
      <w:pPr>
        <w:pStyle w:val="TOC1"/>
        <w:rPr>
          <w:rFonts w:eastAsiaTheme="minorEastAsia" w:cstheme="minorBidi"/>
          <w:kern w:val="0"/>
          <w:lang w:eastAsia="ja-JP"/>
        </w:rPr>
      </w:pPr>
      <w:hyperlink w:anchor="_Toc391469738" w:history="1">
        <w:r w:rsidR="00FD0449" w:rsidRPr="00FD0449">
          <w:rPr>
            <w:rStyle w:val="Hyperlink"/>
          </w:rPr>
          <w:t>7.0</w:t>
        </w:r>
        <w:r w:rsidR="00FD0449" w:rsidRPr="00FD0449">
          <w:rPr>
            <w:rFonts w:eastAsiaTheme="minorEastAsia" w:cstheme="minorBidi"/>
            <w:kern w:val="0"/>
            <w:lang w:eastAsia="ja-JP"/>
          </w:rPr>
          <w:tab/>
        </w:r>
        <w:r w:rsidR="00FD0449" w:rsidRPr="00FD0449">
          <w:rPr>
            <w:rStyle w:val="Hyperlink"/>
          </w:rPr>
          <w:t>Conclusion</w:t>
        </w:r>
        <w:r w:rsidR="00FD0449" w:rsidRPr="00FD0449">
          <w:rPr>
            <w:webHidden/>
          </w:rPr>
          <w:tab/>
        </w:r>
        <w:r w:rsidR="003E5AB5" w:rsidRPr="00FD0449">
          <w:rPr>
            <w:webHidden/>
          </w:rPr>
          <w:fldChar w:fldCharType="begin"/>
        </w:r>
        <w:r w:rsidR="00FD0449" w:rsidRPr="00FD0449">
          <w:rPr>
            <w:webHidden/>
          </w:rPr>
          <w:instrText xml:space="preserve"> PAGEREF _Toc391469738 \h </w:instrText>
        </w:r>
        <w:r w:rsidR="003E5AB5" w:rsidRPr="00FD0449">
          <w:rPr>
            <w:webHidden/>
          </w:rPr>
        </w:r>
        <w:r w:rsidR="003E5AB5" w:rsidRPr="00FD0449">
          <w:rPr>
            <w:webHidden/>
          </w:rPr>
          <w:fldChar w:fldCharType="separate"/>
        </w:r>
        <w:r w:rsidR="003D1E25">
          <w:rPr>
            <w:webHidden/>
          </w:rPr>
          <w:t>10</w:t>
        </w:r>
        <w:r w:rsidR="003E5AB5" w:rsidRPr="00FD0449">
          <w:rPr>
            <w:webHidden/>
          </w:rPr>
          <w:fldChar w:fldCharType="end"/>
        </w:r>
      </w:hyperlink>
    </w:p>
    <w:p w14:paraId="5AA5E088" w14:textId="77777777" w:rsidR="00FD0449" w:rsidRDefault="00FD0449" w:rsidP="00FD0449">
      <w:pPr>
        <w:pStyle w:val="TOC1"/>
        <w:rPr>
          <w:rStyle w:val="Hyperlink"/>
        </w:rPr>
      </w:pPr>
    </w:p>
    <w:p w14:paraId="28A39A20" w14:textId="77777777" w:rsidR="00FD0449" w:rsidRPr="00FD0449" w:rsidRDefault="00224AA1" w:rsidP="00FD0449">
      <w:pPr>
        <w:pStyle w:val="TOC1"/>
        <w:rPr>
          <w:rFonts w:eastAsiaTheme="minorEastAsia" w:cstheme="minorBidi"/>
          <w:kern w:val="0"/>
          <w:lang w:eastAsia="ja-JP"/>
        </w:rPr>
      </w:pPr>
      <w:hyperlink w:anchor="_Toc391469739" w:history="1">
        <w:r w:rsidR="00FD0449" w:rsidRPr="00FD0449">
          <w:rPr>
            <w:rStyle w:val="Hyperlink"/>
          </w:rPr>
          <w:t>Annexes</w:t>
        </w:r>
      </w:hyperlink>
    </w:p>
    <w:p w14:paraId="275C7380" w14:textId="77777777" w:rsidR="00FD0449" w:rsidRPr="00FD0449" w:rsidRDefault="00224AA1" w:rsidP="00FD0449">
      <w:pPr>
        <w:pStyle w:val="TOC1"/>
        <w:rPr>
          <w:rFonts w:eastAsiaTheme="minorEastAsia" w:cstheme="minorBidi"/>
          <w:kern w:val="0"/>
          <w:lang w:eastAsia="ja-JP"/>
        </w:rPr>
      </w:pPr>
      <w:hyperlink w:anchor="_Toc391469741" w:history="1">
        <w:r w:rsidR="00FD0449" w:rsidRPr="00FD0449">
          <w:rPr>
            <w:rStyle w:val="Hyperlink"/>
          </w:rPr>
          <w:t>Annex One - Progress Against Approved Monitoring and Evaluation Framework</w:t>
        </w:r>
        <w:r w:rsidR="00FD0449" w:rsidRPr="00FD0449">
          <w:rPr>
            <w:webHidden/>
          </w:rPr>
          <w:tab/>
        </w:r>
        <w:r w:rsidR="00912465">
          <w:rPr>
            <w:webHidden/>
          </w:rPr>
          <w:t>A1-</w:t>
        </w:r>
        <w:r w:rsidR="003E5AB5" w:rsidRPr="00FD0449">
          <w:rPr>
            <w:webHidden/>
          </w:rPr>
          <w:fldChar w:fldCharType="begin"/>
        </w:r>
        <w:r w:rsidR="00FD0449" w:rsidRPr="00FD0449">
          <w:rPr>
            <w:webHidden/>
          </w:rPr>
          <w:instrText xml:space="preserve"> PAGEREF _Toc391469741 \h </w:instrText>
        </w:r>
        <w:r w:rsidR="003E5AB5" w:rsidRPr="00FD0449">
          <w:rPr>
            <w:webHidden/>
          </w:rPr>
        </w:r>
        <w:r w:rsidR="003E5AB5" w:rsidRPr="00FD0449">
          <w:rPr>
            <w:webHidden/>
          </w:rPr>
          <w:fldChar w:fldCharType="separate"/>
        </w:r>
        <w:r w:rsidR="003D1E25">
          <w:rPr>
            <w:webHidden/>
          </w:rPr>
          <w:t>1</w:t>
        </w:r>
        <w:r w:rsidR="003E5AB5" w:rsidRPr="00FD0449">
          <w:rPr>
            <w:webHidden/>
          </w:rPr>
          <w:fldChar w:fldCharType="end"/>
        </w:r>
      </w:hyperlink>
    </w:p>
    <w:p w14:paraId="20C7BFFB" w14:textId="77777777" w:rsidR="00FD0449" w:rsidRPr="00FD0449" w:rsidRDefault="00224AA1" w:rsidP="00FD0449">
      <w:pPr>
        <w:pStyle w:val="TOC1"/>
        <w:rPr>
          <w:rFonts w:eastAsiaTheme="minorEastAsia" w:cstheme="minorBidi"/>
          <w:kern w:val="0"/>
          <w:lang w:eastAsia="ja-JP"/>
        </w:rPr>
      </w:pPr>
      <w:hyperlink w:anchor="_Toc391469742" w:history="1">
        <w:r w:rsidR="00FD0449" w:rsidRPr="00FD0449">
          <w:rPr>
            <w:rStyle w:val="Hyperlink"/>
          </w:rPr>
          <w:t>Annex Two - Milestone Reports and Submission Dates</w:t>
        </w:r>
        <w:r w:rsidR="00FD0449" w:rsidRPr="00FD0449">
          <w:rPr>
            <w:webHidden/>
          </w:rPr>
          <w:tab/>
        </w:r>
        <w:r w:rsidR="00912465" w:rsidRPr="00912465">
          <w:rPr>
            <w:webHidden/>
          </w:rPr>
          <w:t>A</w:t>
        </w:r>
        <w:r w:rsidR="00A70B55">
          <w:rPr>
            <w:webHidden/>
          </w:rPr>
          <w:t>2</w:t>
        </w:r>
        <w:r w:rsidR="00912465" w:rsidRPr="00912465">
          <w:rPr>
            <w:webHidden/>
          </w:rPr>
          <w:t>-</w:t>
        </w:r>
        <w:r w:rsidR="003E5AB5" w:rsidRPr="00FD0449">
          <w:rPr>
            <w:webHidden/>
          </w:rPr>
          <w:fldChar w:fldCharType="begin"/>
        </w:r>
        <w:r w:rsidR="00FD0449" w:rsidRPr="00FD0449">
          <w:rPr>
            <w:webHidden/>
          </w:rPr>
          <w:instrText xml:space="preserve"> PAGEREF _Toc391469742 \h </w:instrText>
        </w:r>
        <w:r w:rsidR="003E5AB5" w:rsidRPr="00FD0449">
          <w:rPr>
            <w:webHidden/>
          </w:rPr>
        </w:r>
        <w:r w:rsidR="003E5AB5" w:rsidRPr="00FD0449">
          <w:rPr>
            <w:webHidden/>
          </w:rPr>
          <w:fldChar w:fldCharType="separate"/>
        </w:r>
        <w:r w:rsidR="003D1E25">
          <w:rPr>
            <w:webHidden/>
          </w:rPr>
          <w:t>1</w:t>
        </w:r>
        <w:r w:rsidR="003E5AB5" w:rsidRPr="00FD0449">
          <w:rPr>
            <w:webHidden/>
          </w:rPr>
          <w:fldChar w:fldCharType="end"/>
        </w:r>
      </w:hyperlink>
    </w:p>
    <w:p w14:paraId="2A1CC8CA" w14:textId="77777777" w:rsidR="00FD0449" w:rsidRPr="00FD0449" w:rsidRDefault="00224AA1" w:rsidP="00FD0449">
      <w:pPr>
        <w:pStyle w:val="TOC1"/>
        <w:rPr>
          <w:rFonts w:eastAsiaTheme="minorEastAsia" w:cstheme="minorBidi"/>
          <w:kern w:val="0"/>
          <w:lang w:eastAsia="ja-JP"/>
        </w:rPr>
      </w:pPr>
      <w:hyperlink w:anchor="_Toc391469743" w:history="1">
        <w:r w:rsidR="00FD0449" w:rsidRPr="00FD0449">
          <w:rPr>
            <w:rStyle w:val="Hyperlink"/>
            <w:rFonts w:cs="Arial"/>
          </w:rPr>
          <w:t xml:space="preserve">Annex Three - </w:t>
        </w:r>
        <w:r w:rsidR="00FD0449" w:rsidRPr="00FD0449">
          <w:rPr>
            <w:rStyle w:val="Hyperlink"/>
          </w:rPr>
          <w:t>Financial Summary as at 31 May, 2014</w:t>
        </w:r>
        <w:r w:rsidR="00FD0449" w:rsidRPr="00FD0449">
          <w:rPr>
            <w:webHidden/>
          </w:rPr>
          <w:tab/>
        </w:r>
        <w:r w:rsidR="00912465" w:rsidRPr="00912465">
          <w:rPr>
            <w:webHidden/>
          </w:rPr>
          <w:t>A</w:t>
        </w:r>
        <w:r w:rsidR="00A70B55">
          <w:rPr>
            <w:webHidden/>
          </w:rPr>
          <w:t>3</w:t>
        </w:r>
        <w:r w:rsidR="00912465" w:rsidRPr="00912465">
          <w:rPr>
            <w:webHidden/>
          </w:rPr>
          <w:t>-</w:t>
        </w:r>
        <w:r w:rsidR="003E5AB5" w:rsidRPr="00FD0449">
          <w:rPr>
            <w:webHidden/>
          </w:rPr>
          <w:fldChar w:fldCharType="begin"/>
        </w:r>
        <w:r w:rsidR="00FD0449" w:rsidRPr="00FD0449">
          <w:rPr>
            <w:webHidden/>
          </w:rPr>
          <w:instrText xml:space="preserve"> PAGEREF _Toc391469743 \h </w:instrText>
        </w:r>
        <w:r w:rsidR="003E5AB5" w:rsidRPr="00FD0449">
          <w:rPr>
            <w:webHidden/>
          </w:rPr>
        </w:r>
        <w:r w:rsidR="003E5AB5" w:rsidRPr="00FD0449">
          <w:rPr>
            <w:webHidden/>
          </w:rPr>
          <w:fldChar w:fldCharType="separate"/>
        </w:r>
        <w:r w:rsidR="003D1E25">
          <w:rPr>
            <w:webHidden/>
          </w:rPr>
          <w:t>1</w:t>
        </w:r>
        <w:r w:rsidR="003E5AB5" w:rsidRPr="00FD0449">
          <w:rPr>
            <w:webHidden/>
          </w:rPr>
          <w:fldChar w:fldCharType="end"/>
        </w:r>
      </w:hyperlink>
    </w:p>
    <w:p w14:paraId="2D4FC799" w14:textId="77777777" w:rsidR="00FD0449" w:rsidRPr="00FD0449" w:rsidRDefault="00224AA1" w:rsidP="00FD0449">
      <w:pPr>
        <w:pStyle w:val="TOC1"/>
        <w:ind w:left="1134" w:hanging="1134"/>
        <w:rPr>
          <w:rFonts w:eastAsiaTheme="minorEastAsia" w:cstheme="minorBidi"/>
          <w:kern w:val="0"/>
          <w:lang w:eastAsia="ja-JP"/>
        </w:rPr>
      </w:pPr>
      <w:hyperlink w:anchor="_Toc391469744" w:history="1">
        <w:r w:rsidR="00FD0449" w:rsidRPr="00FD0449">
          <w:rPr>
            <w:rStyle w:val="Hyperlink"/>
          </w:rPr>
          <w:t xml:space="preserve">Annex Four - Summary of Additional, Un-costed, and Pro Bono Support Mobilised by </w:t>
        </w:r>
        <w:r w:rsidR="00A70B55">
          <w:rPr>
            <w:rStyle w:val="Hyperlink"/>
          </w:rPr>
          <w:t xml:space="preserve">                                                           </w:t>
        </w:r>
        <w:r w:rsidR="00FD0449" w:rsidRPr="00FD0449">
          <w:rPr>
            <w:rStyle w:val="Hyperlink"/>
          </w:rPr>
          <w:t>the FCA for PJDP (1 January-30 June 2014)</w:t>
        </w:r>
        <w:r w:rsidR="00FD0449" w:rsidRPr="00FD0449">
          <w:rPr>
            <w:webHidden/>
          </w:rPr>
          <w:tab/>
        </w:r>
        <w:r w:rsidR="00912465" w:rsidRPr="00912465">
          <w:rPr>
            <w:webHidden/>
          </w:rPr>
          <w:t>A</w:t>
        </w:r>
        <w:r w:rsidR="00A70B55">
          <w:rPr>
            <w:webHidden/>
          </w:rPr>
          <w:t>4</w:t>
        </w:r>
        <w:r w:rsidR="00912465" w:rsidRPr="00912465">
          <w:rPr>
            <w:webHidden/>
          </w:rPr>
          <w:t>-</w:t>
        </w:r>
        <w:r w:rsidR="003E5AB5" w:rsidRPr="00FD0449">
          <w:rPr>
            <w:webHidden/>
          </w:rPr>
          <w:fldChar w:fldCharType="begin"/>
        </w:r>
        <w:r w:rsidR="00FD0449" w:rsidRPr="00FD0449">
          <w:rPr>
            <w:webHidden/>
          </w:rPr>
          <w:instrText xml:space="preserve"> PAGEREF _Toc391469744 \h </w:instrText>
        </w:r>
        <w:r w:rsidR="003E5AB5" w:rsidRPr="00FD0449">
          <w:rPr>
            <w:webHidden/>
          </w:rPr>
        </w:r>
        <w:r w:rsidR="003E5AB5" w:rsidRPr="00FD0449">
          <w:rPr>
            <w:webHidden/>
          </w:rPr>
          <w:fldChar w:fldCharType="separate"/>
        </w:r>
        <w:r w:rsidR="003D1E25">
          <w:rPr>
            <w:webHidden/>
          </w:rPr>
          <w:t>1</w:t>
        </w:r>
        <w:r w:rsidR="003E5AB5" w:rsidRPr="00FD0449">
          <w:rPr>
            <w:webHidden/>
          </w:rPr>
          <w:fldChar w:fldCharType="end"/>
        </w:r>
      </w:hyperlink>
    </w:p>
    <w:p w14:paraId="68A906BB" w14:textId="77777777" w:rsidR="00FD0449" w:rsidRPr="00FD0449" w:rsidRDefault="00224AA1" w:rsidP="00FD0449">
      <w:pPr>
        <w:pStyle w:val="TOC1"/>
        <w:rPr>
          <w:rFonts w:eastAsiaTheme="minorEastAsia" w:cstheme="minorBidi"/>
          <w:kern w:val="0"/>
          <w:lang w:eastAsia="ja-JP"/>
        </w:rPr>
      </w:pPr>
      <w:hyperlink w:anchor="_Toc391469745" w:history="1">
        <w:r w:rsidR="00FD0449" w:rsidRPr="00FD0449">
          <w:rPr>
            <w:rStyle w:val="Hyperlink"/>
          </w:rPr>
          <w:t xml:space="preserve">Annex Five - </w:t>
        </w:r>
        <w:r w:rsidR="00FD0449" w:rsidRPr="00FD0449">
          <w:rPr>
            <w:rStyle w:val="Hyperlink"/>
            <w:iCs/>
          </w:rPr>
          <w:t>Self-assessment</w:t>
        </w:r>
        <w:r w:rsidR="00FD0449" w:rsidRPr="00FD0449">
          <w:rPr>
            <w:rStyle w:val="Hyperlink"/>
          </w:rPr>
          <w:t xml:space="preserve"> Against the Quality Indicators in the Contract</w:t>
        </w:r>
        <w:r w:rsidR="00FD0449" w:rsidRPr="00FD0449">
          <w:rPr>
            <w:webHidden/>
          </w:rPr>
          <w:tab/>
        </w:r>
        <w:r w:rsidR="00912465" w:rsidRPr="00912465">
          <w:rPr>
            <w:webHidden/>
          </w:rPr>
          <w:t>A</w:t>
        </w:r>
        <w:r w:rsidR="00A70B55">
          <w:rPr>
            <w:webHidden/>
          </w:rPr>
          <w:t>5</w:t>
        </w:r>
        <w:r w:rsidR="00912465" w:rsidRPr="00912465">
          <w:rPr>
            <w:webHidden/>
          </w:rPr>
          <w:t>-</w:t>
        </w:r>
        <w:r w:rsidR="003E5AB5" w:rsidRPr="00FD0449">
          <w:rPr>
            <w:webHidden/>
          </w:rPr>
          <w:fldChar w:fldCharType="begin"/>
        </w:r>
        <w:r w:rsidR="00FD0449" w:rsidRPr="00FD0449">
          <w:rPr>
            <w:webHidden/>
          </w:rPr>
          <w:instrText xml:space="preserve"> PAGEREF _Toc391469745 \h </w:instrText>
        </w:r>
        <w:r w:rsidR="003E5AB5" w:rsidRPr="00FD0449">
          <w:rPr>
            <w:webHidden/>
          </w:rPr>
        </w:r>
        <w:r w:rsidR="003E5AB5" w:rsidRPr="00FD0449">
          <w:rPr>
            <w:webHidden/>
          </w:rPr>
          <w:fldChar w:fldCharType="separate"/>
        </w:r>
        <w:r w:rsidR="003D1E25">
          <w:rPr>
            <w:webHidden/>
          </w:rPr>
          <w:t>1</w:t>
        </w:r>
        <w:r w:rsidR="003E5AB5" w:rsidRPr="00FD0449">
          <w:rPr>
            <w:webHidden/>
          </w:rPr>
          <w:fldChar w:fldCharType="end"/>
        </w:r>
      </w:hyperlink>
    </w:p>
    <w:p w14:paraId="37741F15" w14:textId="77777777" w:rsidR="00FD0449" w:rsidRPr="00FD0449" w:rsidRDefault="00224AA1" w:rsidP="00FD0449">
      <w:pPr>
        <w:pStyle w:val="TOC1"/>
        <w:rPr>
          <w:rFonts w:eastAsiaTheme="minorEastAsia" w:cstheme="minorBidi"/>
          <w:kern w:val="0"/>
          <w:lang w:eastAsia="ja-JP"/>
        </w:rPr>
      </w:pPr>
      <w:hyperlink w:anchor="_Toc391469746" w:history="1">
        <w:r w:rsidR="00FD0449" w:rsidRPr="00FD0449">
          <w:rPr>
            <w:rStyle w:val="Hyperlink"/>
          </w:rPr>
          <w:t>Annex Six - Risk Analysis and Management</w:t>
        </w:r>
        <w:r w:rsidR="00FD0449" w:rsidRPr="00FD0449">
          <w:rPr>
            <w:webHidden/>
          </w:rPr>
          <w:tab/>
        </w:r>
        <w:r w:rsidR="00912465" w:rsidRPr="00912465">
          <w:rPr>
            <w:webHidden/>
          </w:rPr>
          <w:t>A</w:t>
        </w:r>
        <w:r w:rsidR="00A70B55">
          <w:rPr>
            <w:webHidden/>
          </w:rPr>
          <w:t>6</w:t>
        </w:r>
        <w:r w:rsidR="00912465" w:rsidRPr="00912465">
          <w:rPr>
            <w:webHidden/>
          </w:rPr>
          <w:t>-</w:t>
        </w:r>
        <w:r w:rsidR="003E5AB5" w:rsidRPr="00FD0449">
          <w:rPr>
            <w:webHidden/>
          </w:rPr>
          <w:fldChar w:fldCharType="begin"/>
        </w:r>
        <w:r w:rsidR="00FD0449" w:rsidRPr="00FD0449">
          <w:rPr>
            <w:webHidden/>
          </w:rPr>
          <w:instrText xml:space="preserve"> PAGEREF _Toc391469746 \h </w:instrText>
        </w:r>
        <w:r w:rsidR="003E5AB5" w:rsidRPr="00FD0449">
          <w:rPr>
            <w:webHidden/>
          </w:rPr>
        </w:r>
        <w:r w:rsidR="003E5AB5" w:rsidRPr="00FD0449">
          <w:rPr>
            <w:webHidden/>
          </w:rPr>
          <w:fldChar w:fldCharType="separate"/>
        </w:r>
        <w:r w:rsidR="003D1E25">
          <w:rPr>
            <w:webHidden/>
          </w:rPr>
          <w:t>1</w:t>
        </w:r>
        <w:r w:rsidR="003E5AB5" w:rsidRPr="00FD0449">
          <w:rPr>
            <w:webHidden/>
          </w:rPr>
          <w:fldChar w:fldCharType="end"/>
        </w:r>
      </w:hyperlink>
    </w:p>
    <w:p w14:paraId="7CD938B9" w14:textId="77777777" w:rsidR="0039412B" w:rsidRPr="00FD0449" w:rsidRDefault="003E5AB5" w:rsidP="00FD0449">
      <w:pPr>
        <w:tabs>
          <w:tab w:val="right" w:leader="dot" w:pos="8880"/>
          <w:tab w:val="right" w:leader="dot" w:pos="8931"/>
        </w:tabs>
        <w:ind w:left="709" w:right="-168" w:hanging="709"/>
        <w:rPr>
          <w:kern w:val="32"/>
          <w:sz w:val="23"/>
          <w:szCs w:val="23"/>
          <w:lang w:eastAsia="en-US"/>
        </w:rPr>
      </w:pPr>
      <w:r w:rsidRPr="00FD0449">
        <w:rPr>
          <w:sz w:val="23"/>
          <w:szCs w:val="23"/>
        </w:rPr>
        <w:fldChar w:fldCharType="end"/>
      </w:r>
    </w:p>
    <w:p w14:paraId="34621814" w14:textId="77777777" w:rsidR="0039412B" w:rsidRPr="007942C1" w:rsidRDefault="0039412B" w:rsidP="00183FC6">
      <w:pPr>
        <w:keepNext/>
        <w:spacing w:before="120"/>
        <w:ind w:left="709" w:hanging="709"/>
        <w:jc w:val="center"/>
        <w:outlineLvl w:val="0"/>
        <w:rPr>
          <w:b/>
          <w:bCs/>
          <w:smallCaps/>
          <w:kern w:val="32"/>
          <w:sz w:val="26"/>
          <w:szCs w:val="27"/>
          <w:lang w:eastAsia="en-US"/>
        </w:rPr>
      </w:pPr>
      <w:r w:rsidRPr="00FD0449">
        <w:rPr>
          <w:b/>
          <w:bCs/>
          <w:smallCaps/>
          <w:kern w:val="32"/>
          <w:sz w:val="23"/>
          <w:szCs w:val="23"/>
          <w:lang w:eastAsia="en-US"/>
        </w:rPr>
        <w:br w:type="page"/>
      </w:r>
      <w:bookmarkStart w:id="29" w:name="_Toc391469715"/>
      <w:r w:rsidRPr="007942C1">
        <w:rPr>
          <w:b/>
          <w:bCs/>
          <w:smallCaps/>
          <w:kern w:val="32"/>
          <w:sz w:val="26"/>
          <w:szCs w:val="27"/>
          <w:lang w:eastAsia="en-US"/>
        </w:rPr>
        <w:lastRenderedPageBreak/>
        <w:t>Abbreviations and Acronyms</w:t>
      </w:r>
      <w:bookmarkEnd w:id="29"/>
    </w:p>
    <w:p w14:paraId="32428F4F" w14:textId="77777777" w:rsidR="0039412B" w:rsidRPr="007942C1" w:rsidRDefault="0039412B" w:rsidP="004F3930">
      <w:pPr>
        <w:rPr>
          <w:kern w:val="32"/>
          <w:sz w:val="28"/>
          <w:lang w:eastAsia="en-US"/>
        </w:rPr>
      </w:pPr>
    </w:p>
    <w:tbl>
      <w:tblPr>
        <w:tblW w:w="7905" w:type="dxa"/>
        <w:jc w:val="center"/>
        <w:tblLayout w:type="fixed"/>
        <w:tblCellMar>
          <w:left w:w="10" w:type="dxa"/>
          <w:right w:w="10" w:type="dxa"/>
        </w:tblCellMar>
        <w:tblLook w:val="0000" w:firstRow="0" w:lastRow="0" w:firstColumn="0" w:lastColumn="0" w:noHBand="0" w:noVBand="0"/>
      </w:tblPr>
      <w:tblGrid>
        <w:gridCol w:w="1383"/>
        <w:gridCol w:w="281"/>
        <w:gridCol w:w="6241"/>
      </w:tblGrid>
      <w:tr w:rsidR="0039412B" w:rsidRPr="007942C1" w14:paraId="0ADA71E3" w14:textId="77777777" w:rsidTr="00A21FA0">
        <w:trPr>
          <w:jc w:val="center"/>
        </w:trPr>
        <w:tc>
          <w:tcPr>
            <w:tcW w:w="1383" w:type="dxa"/>
            <w:tcMar>
              <w:top w:w="0" w:type="dxa"/>
              <w:left w:w="108" w:type="dxa"/>
              <w:bottom w:w="0" w:type="dxa"/>
              <w:right w:w="108" w:type="dxa"/>
            </w:tcMar>
          </w:tcPr>
          <w:p w14:paraId="3E808D96" w14:textId="77777777" w:rsidR="0039412B" w:rsidRPr="00684BDA" w:rsidRDefault="0039412B" w:rsidP="004F3930">
            <w:pPr>
              <w:spacing w:before="40" w:after="40"/>
              <w:jc w:val="right"/>
              <w:rPr>
                <w:rFonts w:cs="Arial"/>
                <w:kern w:val="3"/>
                <w:sz w:val="23"/>
                <w:szCs w:val="23"/>
                <w:lang w:eastAsia="zh-CN" w:bidi="hi-IN"/>
              </w:rPr>
            </w:pPr>
            <w:r w:rsidRPr="00684BDA">
              <w:rPr>
                <w:rFonts w:cs="Arial"/>
                <w:kern w:val="3"/>
                <w:sz w:val="23"/>
                <w:szCs w:val="23"/>
                <w:lang w:eastAsia="zh-CN" w:bidi="hi-IN"/>
              </w:rPr>
              <w:t>CJ</w:t>
            </w:r>
          </w:p>
        </w:tc>
        <w:tc>
          <w:tcPr>
            <w:tcW w:w="281" w:type="dxa"/>
            <w:tcMar>
              <w:top w:w="0" w:type="dxa"/>
              <w:left w:w="108" w:type="dxa"/>
              <w:bottom w:w="0" w:type="dxa"/>
              <w:right w:w="108" w:type="dxa"/>
            </w:tcMar>
          </w:tcPr>
          <w:p w14:paraId="64C47CB2" w14:textId="77777777" w:rsidR="0039412B" w:rsidRPr="007942C1" w:rsidRDefault="0039412B" w:rsidP="004F3930">
            <w:pPr>
              <w:spacing w:before="40" w:after="40"/>
              <w:rPr>
                <w:rFonts w:cs="Arial"/>
                <w:kern w:val="3"/>
                <w:sz w:val="23"/>
                <w:szCs w:val="23"/>
                <w:lang w:eastAsia="zh-CN" w:bidi="hi-IN"/>
              </w:rPr>
            </w:pPr>
            <w:r w:rsidRPr="007942C1">
              <w:rPr>
                <w:kern w:val="3"/>
                <w:sz w:val="23"/>
                <w:szCs w:val="23"/>
                <w:lang w:eastAsia="zh-CN" w:bidi="hi-IN"/>
              </w:rPr>
              <w:t>-</w:t>
            </w:r>
          </w:p>
        </w:tc>
        <w:tc>
          <w:tcPr>
            <w:tcW w:w="6241" w:type="dxa"/>
            <w:tcMar>
              <w:top w:w="0" w:type="dxa"/>
              <w:left w:w="108" w:type="dxa"/>
              <w:bottom w:w="0" w:type="dxa"/>
              <w:right w:w="108" w:type="dxa"/>
            </w:tcMar>
          </w:tcPr>
          <w:p w14:paraId="60F0A442" w14:textId="77777777" w:rsidR="0039412B" w:rsidRPr="007942C1" w:rsidRDefault="0039412B" w:rsidP="004F3930">
            <w:pPr>
              <w:spacing w:before="40" w:after="40"/>
              <w:rPr>
                <w:rFonts w:cs="Arial"/>
                <w:kern w:val="3"/>
                <w:sz w:val="23"/>
                <w:szCs w:val="23"/>
                <w:lang w:eastAsia="zh-CN" w:bidi="hi-IN"/>
              </w:rPr>
            </w:pPr>
            <w:r w:rsidRPr="007942C1">
              <w:rPr>
                <w:rFonts w:cs="Arial"/>
                <w:kern w:val="3"/>
                <w:sz w:val="23"/>
                <w:szCs w:val="23"/>
                <w:lang w:eastAsia="zh-CN" w:bidi="hi-IN"/>
              </w:rPr>
              <w:t>Chief Justice</w:t>
            </w:r>
          </w:p>
        </w:tc>
      </w:tr>
      <w:tr w:rsidR="0039412B" w:rsidRPr="007942C1" w14:paraId="23072321" w14:textId="77777777" w:rsidTr="00A21FA0">
        <w:trPr>
          <w:jc w:val="center"/>
        </w:trPr>
        <w:tc>
          <w:tcPr>
            <w:tcW w:w="1383" w:type="dxa"/>
            <w:tcMar>
              <w:top w:w="0" w:type="dxa"/>
              <w:left w:w="108" w:type="dxa"/>
              <w:bottom w:w="0" w:type="dxa"/>
              <w:right w:w="108" w:type="dxa"/>
            </w:tcMar>
          </w:tcPr>
          <w:p w14:paraId="794FD93E" w14:textId="77777777" w:rsidR="0039412B" w:rsidRPr="00684BDA" w:rsidRDefault="0039412B" w:rsidP="004F3930">
            <w:pPr>
              <w:spacing w:before="40" w:after="40"/>
              <w:jc w:val="right"/>
              <w:rPr>
                <w:kern w:val="3"/>
                <w:sz w:val="23"/>
                <w:szCs w:val="23"/>
                <w:lang w:eastAsia="zh-CN" w:bidi="hi-IN"/>
              </w:rPr>
            </w:pPr>
            <w:r w:rsidRPr="00684BDA">
              <w:rPr>
                <w:kern w:val="3"/>
                <w:sz w:val="23"/>
                <w:szCs w:val="23"/>
                <w:lang w:eastAsia="zh-CN" w:bidi="hi-IN"/>
              </w:rPr>
              <w:t>FCA</w:t>
            </w:r>
          </w:p>
        </w:tc>
        <w:tc>
          <w:tcPr>
            <w:tcW w:w="281" w:type="dxa"/>
            <w:tcMar>
              <w:top w:w="0" w:type="dxa"/>
              <w:left w:w="108" w:type="dxa"/>
              <w:bottom w:w="0" w:type="dxa"/>
              <w:right w:w="108" w:type="dxa"/>
            </w:tcMar>
          </w:tcPr>
          <w:p w14:paraId="074E202E" w14:textId="77777777" w:rsidR="0039412B" w:rsidRPr="007942C1" w:rsidRDefault="0039412B" w:rsidP="004F3930">
            <w:pPr>
              <w:spacing w:before="40" w:after="40"/>
              <w:rPr>
                <w:kern w:val="3"/>
                <w:sz w:val="23"/>
                <w:szCs w:val="23"/>
                <w:lang w:eastAsia="zh-CN" w:bidi="hi-IN"/>
              </w:rPr>
            </w:pPr>
            <w:r w:rsidRPr="007942C1">
              <w:rPr>
                <w:kern w:val="3"/>
                <w:sz w:val="23"/>
                <w:szCs w:val="23"/>
                <w:lang w:eastAsia="zh-CN" w:bidi="hi-IN"/>
              </w:rPr>
              <w:t>-</w:t>
            </w:r>
          </w:p>
        </w:tc>
        <w:tc>
          <w:tcPr>
            <w:tcW w:w="6241" w:type="dxa"/>
            <w:tcMar>
              <w:top w:w="0" w:type="dxa"/>
              <w:left w:w="108" w:type="dxa"/>
              <w:bottom w:w="0" w:type="dxa"/>
              <w:right w:w="108" w:type="dxa"/>
            </w:tcMar>
          </w:tcPr>
          <w:p w14:paraId="5B35338A" w14:textId="77777777" w:rsidR="0039412B" w:rsidRPr="007942C1" w:rsidRDefault="0039412B" w:rsidP="004F3930">
            <w:pPr>
              <w:spacing w:before="40" w:after="40"/>
              <w:rPr>
                <w:kern w:val="3"/>
                <w:sz w:val="23"/>
                <w:szCs w:val="23"/>
                <w:lang w:eastAsia="zh-CN" w:bidi="hi-IN"/>
              </w:rPr>
            </w:pPr>
            <w:r w:rsidRPr="007942C1">
              <w:rPr>
                <w:kern w:val="3"/>
                <w:sz w:val="23"/>
                <w:szCs w:val="23"/>
                <w:lang w:eastAsia="zh-CN" w:bidi="hi-IN"/>
              </w:rPr>
              <w:t>Federal Court of Australia</w:t>
            </w:r>
          </w:p>
        </w:tc>
      </w:tr>
      <w:tr w:rsidR="00684BDA" w:rsidRPr="007942C1" w14:paraId="3AC00552" w14:textId="77777777" w:rsidTr="00A21FA0">
        <w:trPr>
          <w:jc w:val="center"/>
        </w:trPr>
        <w:tc>
          <w:tcPr>
            <w:tcW w:w="1383" w:type="dxa"/>
            <w:tcMar>
              <w:top w:w="0" w:type="dxa"/>
              <w:left w:w="108" w:type="dxa"/>
              <w:bottom w:w="0" w:type="dxa"/>
              <w:right w:w="108" w:type="dxa"/>
            </w:tcMar>
          </w:tcPr>
          <w:p w14:paraId="63DB7557" w14:textId="77777777" w:rsidR="00684BDA" w:rsidRPr="00684BDA" w:rsidRDefault="00684BDA" w:rsidP="00684BDA">
            <w:pPr>
              <w:spacing w:before="40" w:after="40"/>
              <w:jc w:val="right"/>
              <w:rPr>
                <w:sz w:val="23"/>
                <w:szCs w:val="23"/>
                <w:lang w:eastAsia="en-US"/>
              </w:rPr>
            </w:pPr>
            <w:r>
              <w:rPr>
                <w:sz w:val="23"/>
                <w:szCs w:val="23"/>
                <w:lang w:eastAsia="en-US"/>
              </w:rPr>
              <w:t>FSM</w:t>
            </w:r>
          </w:p>
        </w:tc>
        <w:tc>
          <w:tcPr>
            <w:tcW w:w="281" w:type="dxa"/>
            <w:tcMar>
              <w:top w:w="0" w:type="dxa"/>
              <w:left w:w="108" w:type="dxa"/>
              <w:bottom w:w="0" w:type="dxa"/>
              <w:right w:w="108" w:type="dxa"/>
            </w:tcMar>
          </w:tcPr>
          <w:p w14:paraId="753167F7" w14:textId="77777777" w:rsidR="00684BDA" w:rsidRPr="007942C1" w:rsidRDefault="00684BDA" w:rsidP="004F3930">
            <w:pPr>
              <w:spacing w:before="40" w:after="40"/>
              <w:rPr>
                <w:kern w:val="3"/>
                <w:sz w:val="23"/>
                <w:szCs w:val="23"/>
                <w:lang w:eastAsia="zh-CN" w:bidi="hi-IN"/>
              </w:rPr>
            </w:pPr>
            <w:r>
              <w:rPr>
                <w:kern w:val="3"/>
                <w:sz w:val="23"/>
                <w:szCs w:val="23"/>
                <w:lang w:eastAsia="zh-CN" w:bidi="hi-IN"/>
              </w:rPr>
              <w:t>-</w:t>
            </w:r>
          </w:p>
        </w:tc>
        <w:tc>
          <w:tcPr>
            <w:tcW w:w="6241" w:type="dxa"/>
            <w:tcMar>
              <w:top w:w="0" w:type="dxa"/>
              <w:left w:w="108" w:type="dxa"/>
              <w:bottom w:w="0" w:type="dxa"/>
              <w:right w:w="108" w:type="dxa"/>
            </w:tcMar>
          </w:tcPr>
          <w:p w14:paraId="036E5503" w14:textId="77777777" w:rsidR="00684BDA" w:rsidRDefault="00684BDA" w:rsidP="004F3930">
            <w:pPr>
              <w:spacing w:before="40" w:after="40"/>
              <w:rPr>
                <w:kern w:val="3"/>
                <w:sz w:val="23"/>
                <w:szCs w:val="23"/>
                <w:lang w:eastAsia="zh-CN" w:bidi="hi-IN"/>
              </w:rPr>
            </w:pPr>
            <w:r>
              <w:rPr>
                <w:kern w:val="3"/>
                <w:sz w:val="23"/>
                <w:szCs w:val="23"/>
                <w:lang w:eastAsia="zh-CN" w:bidi="hi-IN"/>
              </w:rPr>
              <w:t>Federated States of Micronesia</w:t>
            </w:r>
          </w:p>
        </w:tc>
      </w:tr>
      <w:tr w:rsidR="0039412B" w:rsidRPr="007942C1" w14:paraId="65EF75E0" w14:textId="77777777" w:rsidTr="00A21FA0">
        <w:trPr>
          <w:jc w:val="center"/>
        </w:trPr>
        <w:tc>
          <w:tcPr>
            <w:tcW w:w="1383" w:type="dxa"/>
            <w:tcMar>
              <w:top w:w="0" w:type="dxa"/>
              <w:left w:w="108" w:type="dxa"/>
              <w:bottom w:w="0" w:type="dxa"/>
              <w:right w:w="108" w:type="dxa"/>
            </w:tcMar>
          </w:tcPr>
          <w:p w14:paraId="7398DB39" w14:textId="77777777" w:rsidR="0039412B" w:rsidRPr="00684BDA" w:rsidRDefault="00684BDA" w:rsidP="00684BDA">
            <w:pPr>
              <w:spacing w:before="40" w:after="40"/>
              <w:jc w:val="right"/>
              <w:rPr>
                <w:kern w:val="3"/>
                <w:sz w:val="23"/>
                <w:szCs w:val="23"/>
                <w:lang w:eastAsia="zh-CN" w:bidi="hi-IN"/>
              </w:rPr>
            </w:pPr>
            <w:r w:rsidRPr="00684BDA">
              <w:rPr>
                <w:sz w:val="23"/>
                <w:szCs w:val="23"/>
                <w:lang w:eastAsia="en-US"/>
              </w:rPr>
              <w:t>FV / YJ</w:t>
            </w:r>
          </w:p>
        </w:tc>
        <w:tc>
          <w:tcPr>
            <w:tcW w:w="281" w:type="dxa"/>
            <w:tcMar>
              <w:top w:w="0" w:type="dxa"/>
              <w:left w:w="108" w:type="dxa"/>
              <w:bottom w:w="0" w:type="dxa"/>
              <w:right w:w="108" w:type="dxa"/>
            </w:tcMar>
          </w:tcPr>
          <w:p w14:paraId="4A1F2200" w14:textId="77777777" w:rsidR="0039412B" w:rsidRPr="007942C1" w:rsidRDefault="0039412B" w:rsidP="004F3930">
            <w:pPr>
              <w:spacing w:before="40" w:after="40"/>
              <w:rPr>
                <w:kern w:val="3"/>
                <w:sz w:val="23"/>
                <w:szCs w:val="23"/>
                <w:lang w:eastAsia="zh-CN" w:bidi="hi-IN"/>
              </w:rPr>
            </w:pPr>
            <w:r w:rsidRPr="007942C1">
              <w:rPr>
                <w:kern w:val="3"/>
                <w:sz w:val="23"/>
                <w:szCs w:val="23"/>
                <w:lang w:eastAsia="zh-CN" w:bidi="hi-IN"/>
              </w:rPr>
              <w:t>-</w:t>
            </w:r>
          </w:p>
        </w:tc>
        <w:tc>
          <w:tcPr>
            <w:tcW w:w="6241" w:type="dxa"/>
            <w:tcMar>
              <w:top w:w="0" w:type="dxa"/>
              <w:left w:w="108" w:type="dxa"/>
              <w:bottom w:w="0" w:type="dxa"/>
              <w:right w:w="108" w:type="dxa"/>
            </w:tcMar>
          </w:tcPr>
          <w:p w14:paraId="2768436D" w14:textId="77777777" w:rsidR="0039412B" w:rsidRPr="007942C1" w:rsidRDefault="00684BDA" w:rsidP="004F3930">
            <w:pPr>
              <w:spacing w:before="40" w:after="40"/>
              <w:rPr>
                <w:kern w:val="3"/>
                <w:sz w:val="23"/>
                <w:szCs w:val="23"/>
                <w:lang w:eastAsia="zh-CN" w:bidi="hi-IN"/>
              </w:rPr>
            </w:pPr>
            <w:r>
              <w:rPr>
                <w:kern w:val="3"/>
                <w:sz w:val="23"/>
                <w:szCs w:val="23"/>
                <w:lang w:eastAsia="zh-CN" w:bidi="hi-IN"/>
              </w:rPr>
              <w:t>Family Violence / Youth Justice Awareness Project</w:t>
            </w:r>
          </w:p>
        </w:tc>
      </w:tr>
      <w:tr w:rsidR="00684BDA" w:rsidRPr="007942C1" w14:paraId="051E33AB" w14:textId="77777777" w:rsidTr="00A21FA0">
        <w:trPr>
          <w:jc w:val="center"/>
        </w:trPr>
        <w:tc>
          <w:tcPr>
            <w:tcW w:w="1383" w:type="dxa"/>
            <w:tcMar>
              <w:top w:w="0" w:type="dxa"/>
              <w:left w:w="108" w:type="dxa"/>
              <w:bottom w:w="0" w:type="dxa"/>
              <w:right w:w="108" w:type="dxa"/>
            </w:tcMar>
          </w:tcPr>
          <w:p w14:paraId="2E8A04F1" w14:textId="77777777" w:rsidR="00684BDA" w:rsidRDefault="00684BDA" w:rsidP="004F3930">
            <w:pPr>
              <w:spacing w:before="40" w:after="40"/>
              <w:jc w:val="right"/>
              <w:rPr>
                <w:kern w:val="3"/>
                <w:sz w:val="23"/>
                <w:szCs w:val="23"/>
                <w:lang w:eastAsia="zh-CN" w:bidi="hi-IN"/>
              </w:rPr>
            </w:pPr>
            <w:r>
              <w:rPr>
                <w:kern w:val="3"/>
                <w:sz w:val="23"/>
                <w:szCs w:val="23"/>
                <w:lang w:eastAsia="zh-CN" w:bidi="hi-IN"/>
              </w:rPr>
              <w:t>IFCE</w:t>
            </w:r>
          </w:p>
        </w:tc>
        <w:tc>
          <w:tcPr>
            <w:tcW w:w="281" w:type="dxa"/>
            <w:tcMar>
              <w:top w:w="0" w:type="dxa"/>
              <w:left w:w="108" w:type="dxa"/>
              <w:bottom w:w="0" w:type="dxa"/>
              <w:right w:w="108" w:type="dxa"/>
            </w:tcMar>
          </w:tcPr>
          <w:p w14:paraId="7FEC60F9" w14:textId="77777777" w:rsidR="00684BDA" w:rsidRDefault="00684BDA" w:rsidP="004F3930">
            <w:pPr>
              <w:spacing w:before="40" w:after="40"/>
              <w:rPr>
                <w:kern w:val="3"/>
                <w:sz w:val="23"/>
                <w:szCs w:val="23"/>
                <w:lang w:eastAsia="zh-CN" w:bidi="hi-IN"/>
              </w:rPr>
            </w:pPr>
            <w:r>
              <w:rPr>
                <w:kern w:val="3"/>
                <w:sz w:val="23"/>
                <w:szCs w:val="23"/>
                <w:lang w:eastAsia="zh-CN" w:bidi="hi-IN"/>
              </w:rPr>
              <w:t>-</w:t>
            </w:r>
          </w:p>
        </w:tc>
        <w:tc>
          <w:tcPr>
            <w:tcW w:w="6241" w:type="dxa"/>
            <w:tcMar>
              <w:top w:w="0" w:type="dxa"/>
              <w:left w:w="108" w:type="dxa"/>
              <w:bottom w:w="0" w:type="dxa"/>
              <w:right w:w="108" w:type="dxa"/>
            </w:tcMar>
          </w:tcPr>
          <w:p w14:paraId="2A511EFA" w14:textId="77777777" w:rsidR="00684BDA" w:rsidRDefault="00684BDA" w:rsidP="004F3930">
            <w:pPr>
              <w:spacing w:before="40" w:after="40"/>
              <w:rPr>
                <w:kern w:val="3"/>
                <w:sz w:val="23"/>
                <w:szCs w:val="23"/>
                <w:lang w:eastAsia="zh-CN" w:bidi="hi-IN"/>
              </w:rPr>
            </w:pPr>
            <w:r>
              <w:rPr>
                <w:kern w:val="3"/>
                <w:sz w:val="23"/>
                <w:szCs w:val="23"/>
                <w:lang w:eastAsia="zh-CN" w:bidi="hi-IN"/>
              </w:rPr>
              <w:t>International Framework for Court Excellence</w:t>
            </w:r>
          </w:p>
        </w:tc>
      </w:tr>
      <w:tr w:rsidR="00684BDA" w:rsidRPr="007942C1" w14:paraId="6E7E26C8" w14:textId="77777777" w:rsidTr="00A21FA0">
        <w:trPr>
          <w:jc w:val="center"/>
        </w:trPr>
        <w:tc>
          <w:tcPr>
            <w:tcW w:w="1383" w:type="dxa"/>
            <w:tcMar>
              <w:top w:w="0" w:type="dxa"/>
              <w:left w:w="108" w:type="dxa"/>
              <w:bottom w:w="0" w:type="dxa"/>
              <w:right w:w="108" w:type="dxa"/>
            </w:tcMar>
          </w:tcPr>
          <w:p w14:paraId="72B0C83D" w14:textId="77777777" w:rsidR="00684BDA" w:rsidRDefault="00684BDA" w:rsidP="004F3930">
            <w:pPr>
              <w:spacing w:before="40" w:after="40"/>
              <w:jc w:val="right"/>
              <w:rPr>
                <w:kern w:val="3"/>
                <w:sz w:val="23"/>
                <w:szCs w:val="23"/>
                <w:lang w:eastAsia="zh-CN" w:bidi="hi-IN"/>
              </w:rPr>
            </w:pPr>
            <w:r>
              <w:rPr>
                <w:kern w:val="3"/>
                <w:sz w:val="23"/>
                <w:szCs w:val="23"/>
                <w:lang w:eastAsia="zh-CN" w:bidi="hi-IN"/>
              </w:rPr>
              <w:t>IT</w:t>
            </w:r>
          </w:p>
        </w:tc>
        <w:tc>
          <w:tcPr>
            <w:tcW w:w="281" w:type="dxa"/>
            <w:tcMar>
              <w:top w:w="0" w:type="dxa"/>
              <w:left w:w="108" w:type="dxa"/>
              <w:bottom w:w="0" w:type="dxa"/>
              <w:right w:w="108" w:type="dxa"/>
            </w:tcMar>
          </w:tcPr>
          <w:p w14:paraId="02FEB0F1" w14:textId="77777777" w:rsidR="00684BDA" w:rsidRDefault="00684BDA" w:rsidP="004F3930">
            <w:pPr>
              <w:spacing w:before="40" w:after="40"/>
              <w:rPr>
                <w:kern w:val="3"/>
                <w:sz w:val="23"/>
                <w:szCs w:val="23"/>
                <w:lang w:eastAsia="zh-CN" w:bidi="hi-IN"/>
              </w:rPr>
            </w:pPr>
            <w:r>
              <w:rPr>
                <w:kern w:val="3"/>
                <w:sz w:val="23"/>
                <w:szCs w:val="23"/>
                <w:lang w:eastAsia="zh-CN" w:bidi="hi-IN"/>
              </w:rPr>
              <w:t>-</w:t>
            </w:r>
          </w:p>
        </w:tc>
        <w:tc>
          <w:tcPr>
            <w:tcW w:w="6241" w:type="dxa"/>
            <w:tcMar>
              <w:top w:w="0" w:type="dxa"/>
              <w:left w:w="108" w:type="dxa"/>
              <w:bottom w:w="0" w:type="dxa"/>
              <w:right w:w="108" w:type="dxa"/>
            </w:tcMar>
          </w:tcPr>
          <w:p w14:paraId="7FD6CCDD" w14:textId="77777777" w:rsidR="00684BDA" w:rsidRDefault="00684BDA" w:rsidP="004F3930">
            <w:pPr>
              <w:spacing w:before="40" w:after="40"/>
              <w:rPr>
                <w:kern w:val="3"/>
                <w:sz w:val="23"/>
                <w:szCs w:val="23"/>
                <w:lang w:eastAsia="zh-CN" w:bidi="hi-IN"/>
              </w:rPr>
            </w:pPr>
            <w:r>
              <w:rPr>
                <w:kern w:val="3"/>
                <w:sz w:val="23"/>
                <w:szCs w:val="23"/>
                <w:lang w:eastAsia="zh-CN" w:bidi="hi-IN"/>
              </w:rPr>
              <w:t>Information Technology</w:t>
            </w:r>
          </w:p>
        </w:tc>
      </w:tr>
      <w:tr w:rsidR="0039412B" w:rsidRPr="007942C1" w14:paraId="7BE6DFEA" w14:textId="77777777" w:rsidTr="00A21FA0">
        <w:trPr>
          <w:jc w:val="center"/>
        </w:trPr>
        <w:tc>
          <w:tcPr>
            <w:tcW w:w="1383" w:type="dxa"/>
            <w:tcMar>
              <w:top w:w="0" w:type="dxa"/>
              <w:left w:w="108" w:type="dxa"/>
              <w:bottom w:w="0" w:type="dxa"/>
              <w:right w:w="108" w:type="dxa"/>
            </w:tcMar>
          </w:tcPr>
          <w:p w14:paraId="78A2B82B" w14:textId="77777777" w:rsidR="0039412B" w:rsidRPr="00684BDA" w:rsidRDefault="00684BDA" w:rsidP="004F3930">
            <w:pPr>
              <w:spacing w:before="40" w:after="40"/>
              <w:jc w:val="right"/>
              <w:rPr>
                <w:kern w:val="3"/>
                <w:sz w:val="23"/>
                <w:szCs w:val="23"/>
                <w:lang w:eastAsia="zh-CN" w:bidi="hi-IN"/>
              </w:rPr>
            </w:pPr>
            <w:r>
              <w:rPr>
                <w:kern w:val="3"/>
                <w:sz w:val="23"/>
                <w:szCs w:val="23"/>
                <w:lang w:eastAsia="zh-CN" w:bidi="hi-IN"/>
              </w:rPr>
              <w:t>ITOF</w:t>
            </w:r>
          </w:p>
        </w:tc>
        <w:tc>
          <w:tcPr>
            <w:tcW w:w="281" w:type="dxa"/>
            <w:tcMar>
              <w:top w:w="0" w:type="dxa"/>
              <w:left w:w="108" w:type="dxa"/>
              <w:bottom w:w="0" w:type="dxa"/>
              <w:right w:w="108" w:type="dxa"/>
            </w:tcMar>
          </w:tcPr>
          <w:p w14:paraId="15805105" w14:textId="77777777" w:rsidR="0039412B" w:rsidRPr="007942C1" w:rsidRDefault="00684BDA" w:rsidP="004F3930">
            <w:pPr>
              <w:spacing w:before="40" w:after="40"/>
              <w:rPr>
                <w:kern w:val="3"/>
                <w:sz w:val="23"/>
                <w:szCs w:val="23"/>
                <w:lang w:eastAsia="zh-CN" w:bidi="hi-IN"/>
              </w:rPr>
            </w:pPr>
            <w:r>
              <w:rPr>
                <w:kern w:val="3"/>
                <w:sz w:val="23"/>
                <w:szCs w:val="23"/>
                <w:lang w:eastAsia="zh-CN" w:bidi="hi-IN"/>
              </w:rPr>
              <w:t>-</w:t>
            </w:r>
          </w:p>
        </w:tc>
        <w:tc>
          <w:tcPr>
            <w:tcW w:w="6241" w:type="dxa"/>
            <w:tcMar>
              <w:top w:w="0" w:type="dxa"/>
              <w:left w:w="108" w:type="dxa"/>
              <w:bottom w:w="0" w:type="dxa"/>
              <w:right w:w="108" w:type="dxa"/>
            </w:tcMar>
          </w:tcPr>
          <w:p w14:paraId="76B0E8FB" w14:textId="77777777" w:rsidR="0039412B" w:rsidRPr="007942C1" w:rsidRDefault="00684BDA" w:rsidP="004F3930">
            <w:pPr>
              <w:spacing w:before="40" w:after="40"/>
              <w:rPr>
                <w:kern w:val="3"/>
                <w:sz w:val="23"/>
                <w:szCs w:val="23"/>
                <w:lang w:eastAsia="zh-CN" w:bidi="hi-IN"/>
              </w:rPr>
            </w:pPr>
            <w:r>
              <w:rPr>
                <w:kern w:val="3"/>
                <w:sz w:val="23"/>
                <w:szCs w:val="23"/>
                <w:lang w:eastAsia="zh-CN" w:bidi="hi-IN"/>
              </w:rPr>
              <w:t>Information Technology Online Forum</w:t>
            </w:r>
          </w:p>
        </w:tc>
      </w:tr>
      <w:tr w:rsidR="0039412B" w:rsidRPr="007942C1" w14:paraId="650209E1" w14:textId="77777777" w:rsidTr="00A21FA0">
        <w:trPr>
          <w:jc w:val="center"/>
        </w:trPr>
        <w:tc>
          <w:tcPr>
            <w:tcW w:w="1383" w:type="dxa"/>
            <w:tcMar>
              <w:top w:w="0" w:type="dxa"/>
              <w:left w:w="108" w:type="dxa"/>
              <w:bottom w:w="0" w:type="dxa"/>
              <w:right w:w="108" w:type="dxa"/>
            </w:tcMar>
          </w:tcPr>
          <w:p w14:paraId="6329023A" w14:textId="77777777" w:rsidR="0039412B" w:rsidRPr="00684BDA" w:rsidRDefault="0039412B" w:rsidP="004F3930">
            <w:pPr>
              <w:spacing w:before="40" w:after="40"/>
              <w:jc w:val="right"/>
              <w:rPr>
                <w:kern w:val="3"/>
                <w:sz w:val="23"/>
                <w:szCs w:val="23"/>
                <w:lang w:eastAsia="zh-CN" w:bidi="hi-IN"/>
              </w:rPr>
            </w:pPr>
            <w:r w:rsidRPr="00684BDA">
              <w:rPr>
                <w:kern w:val="3"/>
                <w:sz w:val="23"/>
                <w:szCs w:val="23"/>
                <w:lang w:eastAsia="zh-CN" w:bidi="hi-IN"/>
              </w:rPr>
              <w:t>LOV</w:t>
            </w:r>
          </w:p>
        </w:tc>
        <w:tc>
          <w:tcPr>
            <w:tcW w:w="281" w:type="dxa"/>
            <w:tcMar>
              <w:top w:w="0" w:type="dxa"/>
              <w:left w:w="108" w:type="dxa"/>
              <w:bottom w:w="0" w:type="dxa"/>
              <w:right w:w="108" w:type="dxa"/>
            </w:tcMar>
          </w:tcPr>
          <w:p w14:paraId="37474C67" w14:textId="77777777" w:rsidR="0039412B" w:rsidRPr="007942C1" w:rsidRDefault="0039412B" w:rsidP="004F3930">
            <w:pPr>
              <w:spacing w:before="40" w:after="40"/>
              <w:rPr>
                <w:kern w:val="3"/>
                <w:sz w:val="23"/>
                <w:szCs w:val="23"/>
                <w:lang w:eastAsia="zh-CN" w:bidi="hi-IN"/>
              </w:rPr>
            </w:pPr>
            <w:r w:rsidRPr="007942C1">
              <w:rPr>
                <w:kern w:val="3"/>
                <w:sz w:val="23"/>
                <w:szCs w:val="23"/>
                <w:lang w:eastAsia="zh-CN" w:bidi="hi-IN"/>
              </w:rPr>
              <w:t>-</w:t>
            </w:r>
          </w:p>
        </w:tc>
        <w:tc>
          <w:tcPr>
            <w:tcW w:w="6241" w:type="dxa"/>
            <w:tcMar>
              <w:top w:w="0" w:type="dxa"/>
              <w:left w:w="108" w:type="dxa"/>
              <w:bottom w:w="0" w:type="dxa"/>
              <w:right w:w="108" w:type="dxa"/>
            </w:tcMar>
          </w:tcPr>
          <w:p w14:paraId="454AE362" w14:textId="77777777" w:rsidR="0039412B" w:rsidRPr="007942C1" w:rsidRDefault="0039412B" w:rsidP="004F3930">
            <w:pPr>
              <w:spacing w:before="40" w:after="40"/>
              <w:rPr>
                <w:kern w:val="3"/>
                <w:sz w:val="23"/>
                <w:szCs w:val="23"/>
                <w:lang w:eastAsia="zh-CN" w:bidi="hi-IN"/>
              </w:rPr>
            </w:pPr>
            <w:r w:rsidRPr="007942C1">
              <w:rPr>
                <w:kern w:val="3"/>
                <w:sz w:val="23"/>
                <w:szCs w:val="23"/>
                <w:lang w:eastAsia="zh-CN" w:bidi="hi-IN"/>
              </w:rPr>
              <w:t>Letter of Variation</w:t>
            </w:r>
          </w:p>
        </w:tc>
      </w:tr>
      <w:tr w:rsidR="0039412B" w:rsidRPr="007942C1" w14:paraId="06EE2299" w14:textId="77777777" w:rsidTr="00A21FA0">
        <w:trPr>
          <w:jc w:val="center"/>
        </w:trPr>
        <w:tc>
          <w:tcPr>
            <w:tcW w:w="1383" w:type="dxa"/>
            <w:tcMar>
              <w:top w:w="0" w:type="dxa"/>
              <w:left w:w="108" w:type="dxa"/>
              <w:bottom w:w="0" w:type="dxa"/>
              <w:right w:w="108" w:type="dxa"/>
            </w:tcMar>
          </w:tcPr>
          <w:p w14:paraId="1A41F06E" w14:textId="77777777" w:rsidR="0039412B" w:rsidRPr="00684BDA" w:rsidRDefault="0039412B" w:rsidP="004F3930">
            <w:pPr>
              <w:spacing w:before="40" w:after="40"/>
              <w:jc w:val="right"/>
              <w:rPr>
                <w:kern w:val="3"/>
                <w:sz w:val="23"/>
                <w:szCs w:val="23"/>
                <w:lang w:eastAsia="zh-CN" w:bidi="hi-IN"/>
              </w:rPr>
            </w:pPr>
            <w:r w:rsidRPr="00684BDA">
              <w:rPr>
                <w:kern w:val="3"/>
                <w:sz w:val="23"/>
                <w:szCs w:val="23"/>
                <w:lang w:eastAsia="zh-CN" w:bidi="hi-IN"/>
              </w:rPr>
              <w:t>MFAT</w:t>
            </w:r>
          </w:p>
        </w:tc>
        <w:tc>
          <w:tcPr>
            <w:tcW w:w="281" w:type="dxa"/>
            <w:tcMar>
              <w:top w:w="0" w:type="dxa"/>
              <w:left w:w="108" w:type="dxa"/>
              <w:bottom w:w="0" w:type="dxa"/>
              <w:right w:w="108" w:type="dxa"/>
            </w:tcMar>
          </w:tcPr>
          <w:p w14:paraId="6EB170D1" w14:textId="77777777" w:rsidR="0039412B" w:rsidRPr="007942C1" w:rsidRDefault="0039412B" w:rsidP="004F3930">
            <w:pPr>
              <w:spacing w:before="40" w:after="40"/>
              <w:rPr>
                <w:kern w:val="3"/>
                <w:sz w:val="23"/>
                <w:szCs w:val="23"/>
                <w:lang w:eastAsia="zh-CN" w:bidi="hi-IN"/>
              </w:rPr>
            </w:pPr>
            <w:r w:rsidRPr="007942C1">
              <w:rPr>
                <w:kern w:val="3"/>
                <w:sz w:val="23"/>
                <w:szCs w:val="23"/>
                <w:lang w:eastAsia="zh-CN" w:bidi="hi-IN"/>
              </w:rPr>
              <w:t>-</w:t>
            </w:r>
          </w:p>
        </w:tc>
        <w:tc>
          <w:tcPr>
            <w:tcW w:w="6241" w:type="dxa"/>
            <w:tcMar>
              <w:top w:w="0" w:type="dxa"/>
              <w:left w:w="108" w:type="dxa"/>
              <w:bottom w:w="0" w:type="dxa"/>
              <w:right w:w="108" w:type="dxa"/>
            </w:tcMar>
          </w:tcPr>
          <w:p w14:paraId="2841FF5C" w14:textId="77777777" w:rsidR="0039412B" w:rsidRPr="007942C1" w:rsidRDefault="0039412B" w:rsidP="004F3930">
            <w:pPr>
              <w:spacing w:before="40" w:after="40"/>
              <w:rPr>
                <w:kern w:val="3"/>
                <w:sz w:val="23"/>
                <w:szCs w:val="23"/>
                <w:lang w:eastAsia="zh-CN" w:bidi="hi-IN"/>
              </w:rPr>
            </w:pPr>
            <w:r w:rsidRPr="007942C1">
              <w:rPr>
                <w:kern w:val="3"/>
                <w:sz w:val="23"/>
                <w:szCs w:val="23"/>
                <w:lang w:eastAsia="zh-CN" w:bidi="hi-IN"/>
              </w:rPr>
              <w:t>New Zealand Ministry of Foreign Affairs and Trade</w:t>
            </w:r>
          </w:p>
        </w:tc>
      </w:tr>
      <w:tr w:rsidR="0039412B" w:rsidRPr="007942C1" w14:paraId="05F30CA1" w14:textId="77777777" w:rsidTr="00A21FA0">
        <w:trPr>
          <w:jc w:val="center"/>
        </w:trPr>
        <w:tc>
          <w:tcPr>
            <w:tcW w:w="1383" w:type="dxa"/>
            <w:tcMar>
              <w:top w:w="0" w:type="dxa"/>
              <w:left w:w="108" w:type="dxa"/>
              <w:bottom w:w="0" w:type="dxa"/>
              <w:right w:w="108" w:type="dxa"/>
            </w:tcMar>
          </w:tcPr>
          <w:p w14:paraId="78B20791" w14:textId="77777777" w:rsidR="0039412B" w:rsidRPr="00684BDA" w:rsidRDefault="0039412B" w:rsidP="004F3930">
            <w:pPr>
              <w:spacing w:before="40" w:after="40"/>
              <w:jc w:val="right"/>
              <w:rPr>
                <w:kern w:val="3"/>
                <w:sz w:val="23"/>
                <w:szCs w:val="23"/>
                <w:lang w:eastAsia="zh-CN" w:bidi="hi-IN"/>
              </w:rPr>
            </w:pPr>
            <w:r w:rsidRPr="00684BDA">
              <w:rPr>
                <w:kern w:val="3"/>
                <w:sz w:val="23"/>
                <w:szCs w:val="23"/>
                <w:lang w:eastAsia="zh-CN" w:bidi="hi-IN"/>
              </w:rPr>
              <w:t>MSC</w:t>
            </w:r>
          </w:p>
        </w:tc>
        <w:tc>
          <w:tcPr>
            <w:tcW w:w="281" w:type="dxa"/>
            <w:tcMar>
              <w:top w:w="0" w:type="dxa"/>
              <w:left w:w="108" w:type="dxa"/>
              <w:bottom w:w="0" w:type="dxa"/>
              <w:right w:w="108" w:type="dxa"/>
            </w:tcMar>
          </w:tcPr>
          <w:p w14:paraId="60D94A86" w14:textId="77777777" w:rsidR="0039412B" w:rsidRPr="007942C1" w:rsidRDefault="0039412B" w:rsidP="004F3930">
            <w:pPr>
              <w:spacing w:before="40" w:after="40"/>
              <w:rPr>
                <w:kern w:val="3"/>
                <w:sz w:val="23"/>
                <w:szCs w:val="23"/>
                <w:lang w:eastAsia="zh-CN" w:bidi="hi-IN"/>
              </w:rPr>
            </w:pPr>
            <w:r w:rsidRPr="007942C1">
              <w:rPr>
                <w:kern w:val="3"/>
                <w:sz w:val="23"/>
                <w:szCs w:val="23"/>
                <w:lang w:eastAsia="zh-CN" w:bidi="hi-IN"/>
              </w:rPr>
              <w:t>-</w:t>
            </w:r>
          </w:p>
        </w:tc>
        <w:tc>
          <w:tcPr>
            <w:tcW w:w="6241" w:type="dxa"/>
            <w:tcMar>
              <w:top w:w="0" w:type="dxa"/>
              <w:left w:w="108" w:type="dxa"/>
              <w:bottom w:w="0" w:type="dxa"/>
              <w:right w:w="108" w:type="dxa"/>
            </w:tcMar>
          </w:tcPr>
          <w:p w14:paraId="0B0CD278" w14:textId="77777777" w:rsidR="0039412B" w:rsidRPr="007942C1" w:rsidRDefault="0039412B" w:rsidP="004F3930">
            <w:pPr>
              <w:spacing w:before="40" w:after="40"/>
              <w:rPr>
                <w:kern w:val="3"/>
                <w:sz w:val="23"/>
                <w:szCs w:val="23"/>
                <w:lang w:eastAsia="zh-CN" w:bidi="hi-IN"/>
              </w:rPr>
            </w:pPr>
            <w:r w:rsidRPr="007942C1">
              <w:rPr>
                <w:kern w:val="3"/>
                <w:sz w:val="23"/>
                <w:szCs w:val="23"/>
                <w:lang w:eastAsia="zh-CN" w:bidi="hi-IN"/>
              </w:rPr>
              <w:t>Managing Services Contractor - Federal Court of Australia</w:t>
            </w:r>
          </w:p>
        </w:tc>
      </w:tr>
      <w:tr w:rsidR="0039412B" w:rsidRPr="007942C1" w14:paraId="5B2377C6" w14:textId="77777777" w:rsidTr="00A21FA0">
        <w:trPr>
          <w:jc w:val="center"/>
        </w:trPr>
        <w:tc>
          <w:tcPr>
            <w:tcW w:w="1383" w:type="dxa"/>
            <w:tcMar>
              <w:top w:w="0" w:type="dxa"/>
              <w:left w:w="108" w:type="dxa"/>
              <w:bottom w:w="0" w:type="dxa"/>
              <w:right w:w="108" w:type="dxa"/>
            </w:tcMar>
          </w:tcPr>
          <w:p w14:paraId="58383775" w14:textId="77777777" w:rsidR="0039412B" w:rsidRPr="00684BDA" w:rsidRDefault="0039412B" w:rsidP="004F3930">
            <w:pPr>
              <w:spacing w:before="40" w:after="40"/>
              <w:jc w:val="right"/>
              <w:rPr>
                <w:kern w:val="3"/>
                <w:sz w:val="23"/>
                <w:szCs w:val="23"/>
                <w:lang w:eastAsia="zh-CN" w:bidi="hi-IN"/>
              </w:rPr>
            </w:pPr>
            <w:r w:rsidRPr="00684BDA">
              <w:rPr>
                <w:kern w:val="3"/>
                <w:sz w:val="23"/>
                <w:szCs w:val="23"/>
                <w:lang w:eastAsia="zh-CN" w:bidi="hi-IN"/>
              </w:rPr>
              <w:t>NC</w:t>
            </w:r>
          </w:p>
        </w:tc>
        <w:tc>
          <w:tcPr>
            <w:tcW w:w="281" w:type="dxa"/>
            <w:tcMar>
              <w:top w:w="0" w:type="dxa"/>
              <w:left w:w="108" w:type="dxa"/>
              <w:bottom w:w="0" w:type="dxa"/>
              <w:right w:w="108" w:type="dxa"/>
            </w:tcMar>
          </w:tcPr>
          <w:p w14:paraId="7FB45B77" w14:textId="77777777" w:rsidR="0039412B" w:rsidRPr="007942C1" w:rsidRDefault="0039412B" w:rsidP="004F3930">
            <w:pPr>
              <w:spacing w:before="40" w:after="40"/>
              <w:rPr>
                <w:kern w:val="3"/>
                <w:sz w:val="23"/>
                <w:szCs w:val="23"/>
                <w:lang w:eastAsia="zh-CN" w:bidi="hi-IN"/>
              </w:rPr>
            </w:pPr>
            <w:r w:rsidRPr="007942C1">
              <w:rPr>
                <w:kern w:val="3"/>
                <w:sz w:val="23"/>
                <w:szCs w:val="23"/>
                <w:lang w:eastAsia="zh-CN" w:bidi="hi-IN"/>
              </w:rPr>
              <w:t>-</w:t>
            </w:r>
          </w:p>
        </w:tc>
        <w:tc>
          <w:tcPr>
            <w:tcW w:w="6241" w:type="dxa"/>
            <w:tcMar>
              <w:top w:w="0" w:type="dxa"/>
              <w:left w:w="108" w:type="dxa"/>
              <w:bottom w:w="0" w:type="dxa"/>
              <w:right w:w="108" w:type="dxa"/>
            </w:tcMar>
          </w:tcPr>
          <w:p w14:paraId="4525EDE0" w14:textId="77777777" w:rsidR="0039412B" w:rsidRPr="007942C1" w:rsidRDefault="0039412B" w:rsidP="004F3930">
            <w:pPr>
              <w:spacing w:before="40" w:after="40"/>
              <w:rPr>
                <w:kern w:val="3"/>
                <w:sz w:val="23"/>
                <w:szCs w:val="23"/>
                <w:lang w:eastAsia="zh-CN" w:bidi="hi-IN"/>
              </w:rPr>
            </w:pPr>
            <w:r w:rsidRPr="007942C1">
              <w:rPr>
                <w:kern w:val="3"/>
                <w:sz w:val="23"/>
                <w:szCs w:val="23"/>
                <w:lang w:eastAsia="zh-CN" w:bidi="hi-IN"/>
              </w:rPr>
              <w:t>National Coordinators</w:t>
            </w:r>
          </w:p>
        </w:tc>
      </w:tr>
      <w:tr w:rsidR="0039412B" w:rsidRPr="007942C1" w14:paraId="509C9938" w14:textId="77777777" w:rsidTr="00A21FA0">
        <w:trPr>
          <w:jc w:val="center"/>
        </w:trPr>
        <w:tc>
          <w:tcPr>
            <w:tcW w:w="1383" w:type="dxa"/>
            <w:tcMar>
              <w:top w:w="0" w:type="dxa"/>
              <w:left w:w="108" w:type="dxa"/>
              <w:bottom w:w="0" w:type="dxa"/>
              <w:right w:w="108" w:type="dxa"/>
            </w:tcMar>
          </w:tcPr>
          <w:p w14:paraId="7AB6D91E" w14:textId="77777777" w:rsidR="0039412B" w:rsidRPr="00684BDA" w:rsidRDefault="0039412B" w:rsidP="004F3930">
            <w:pPr>
              <w:spacing w:before="40" w:after="40"/>
              <w:jc w:val="right"/>
              <w:rPr>
                <w:kern w:val="3"/>
                <w:sz w:val="23"/>
                <w:szCs w:val="23"/>
                <w:lang w:eastAsia="zh-CN" w:bidi="hi-IN"/>
              </w:rPr>
            </w:pPr>
            <w:r w:rsidRPr="00684BDA">
              <w:rPr>
                <w:kern w:val="3"/>
                <w:sz w:val="23"/>
                <w:szCs w:val="23"/>
                <w:lang w:eastAsia="zh-CN" w:bidi="hi-IN"/>
              </w:rPr>
              <w:t>NJDC</w:t>
            </w:r>
          </w:p>
        </w:tc>
        <w:tc>
          <w:tcPr>
            <w:tcW w:w="281" w:type="dxa"/>
            <w:tcMar>
              <w:top w:w="0" w:type="dxa"/>
              <w:left w:w="108" w:type="dxa"/>
              <w:bottom w:w="0" w:type="dxa"/>
              <w:right w:w="108" w:type="dxa"/>
            </w:tcMar>
          </w:tcPr>
          <w:p w14:paraId="53B44D35" w14:textId="77777777" w:rsidR="0039412B" w:rsidRPr="007942C1" w:rsidRDefault="0039412B" w:rsidP="004F3930">
            <w:pPr>
              <w:spacing w:before="40" w:after="40"/>
              <w:rPr>
                <w:kern w:val="3"/>
                <w:sz w:val="23"/>
                <w:szCs w:val="23"/>
                <w:lang w:eastAsia="zh-CN" w:bidi="hi-IN"/>
              </w:rPr>
            </w:pPr>
            <w:r w:rsidRPr="007942C1">
              <w:rPr>
                <w:kern w:val="3"/>
                <w:sz w:val="23"/>
                <w:szCs w:val="23"/>
                <w:lang w:eastAsia="zh-CN" w:bidi="hi-IN"/>
              </w:rPr>
              <w:t>-</w:t>
            </w:r>
          </w:p>
        </w:tc>
        <w:tc>
          <w:tcPr>
            <w:tcW w:w="6241" w:type="dxa"/>
            <w:tcMar>
              <w:top w:w="0" w:type="dxa"/>
              <w:left w:w="108" w:type="dxa"/>
              <w:bottom w:w="0" w:type="dxa"/>
              <w:right w:w="108" w:type="dxa"/>
            </w:tcMar>
          </w:tcPr>
          <w:p w14:paraId="4702C717" w14:textId="77777777" w:rsidR="0039412B" w:rsidRPr="007942C1" w:rsidRDefault="0039412B" w:rsidP="004F3930">
            <w:pPr>
              <w:spacing w:before="40" w:after="40"/>
              <w:rPr>
                <w:kern w:val="3"/>
                <w:sz w:val="23"/>
                <w:szCs w:val="23"/>
                <w:lang w:eastAsia="zh-CN" w:bidi="hi-IN"/>
              </w:rPr>
            </w:pPr>
            <w:r w:rsidRPr="007942C1">
              <w:rPr>
                <w:rFonts w:cs="Calibri"/>
                <w:sz w:val="23"/>
                <w:szCs w:val="23"/>
              </w:rPr>
              <w:t>National</w:t>
            </w:r>
            <w:r w:rsidR="00B80FB5">
              <w:rPr>
                <w:rFonts w:cs="Calibri"/>
                <w:sz w:val="23"/>
                <w:szCs w:val="23"/>
              </w:rPr>
              <w:t xml:space="preserve"> Judicial Development Committee</w:t>
            </w:r>
            <w:r w:rsidRPr="007942C1">
              <w:rPr>
                <w:rFonts w:cs="Calibri"/>
                <w:sz w:val="23"/>
                <w:szCs w:val="23"/>
              </w:rPr>
              <w:t xml:space="preserve"> </w:t>
            </w:r>
          </w:p>
        </w:tc>
      </w:tr>
      <w:tr w:rsidR="0039412B" w:rsidRPr="007942C1" w14:paraId="5337937B" w14:textId="77777777" w:rsidTr="00A21FA0">
        <w:trPr>
          <w:jc w:val="center"/>
        </w:trPr>
        <w:tc>
          <w:tcPr>
            <w:tcW w:w="1383" w:type="dxa"/>
            <w:tcMar>
              <w:top w:w="0" w:type="dxa"/>
              <w:left w:w="108" w:type="dxa"/>
              <w:bottom w:w="0" w:type="dxa"/>
              <w:right w:w="108" w:type="dxa"/>
            </w:tcMar>
          </w:tcPr>
          <w:p w14:paraId="22AEC759" w14:textId="116F62A7" w:rsidR="0039412B" w:rsidRPr="00684BDA" w:rsidRDefault="0039412B" w:rsidP="004F3930">
            <w:pPr>
              <w:spacing w:before="40" w:after="40"/>
              <w:jc w:val="right"/>
              <w:rPr>
                <w:kern w:val="3"/>
                <w:sz w:val="23"/>
                <w:szCs w:val="23"/>
                <w:lang w:eastAsia="zh-CN" w:bidi="hi-IN"/>
              </w:rPr>
            </w:pPr>
            <w:r w:rsidRPr="00684BDA">
              <w:rPr>
                <w:kern w:val="3"/>
                <w:sz w:val="23"/>
                <w:szCs w:val="23"/>
                <w:lang w:eastAsia="zh-CN" w:bidi="hi-IN"/>
              </w:rPr>
              <w:t>PacL</w:t>
            </w:r>
            <w:r w:rsidR="00E67D35" w:rsidRPr="00684BDA">
              <w:rPr>
                <w:kern w:val="3"/>
                <w:sz w:val="23"/>
                <w:szCs w:val="23"/>
                <w:lang w:eastAsia="zh-CN" w:bidi="hi-IN"/>
              </w:rPr>
              <w:t>II</w:t>
            </w:r>
          </w:p>
        </w:tc>
        <w:tc>
          <w:tcPr>
            <w:tcW w:w="281" w:type="dxa"/>
            <w:tcMar>
              <w:top w:w="0" w:type="dxa"/>
              <w:left w:w="108" w:type="dxa"/>
              <w:bottom w:w="0" w:type="dxa"/>
              <w:right w:w="108" w:type="dxa"/>
            </w:tcMar>
          </w:tcPr>
          <w:p w14:paraId="2622582E" w14:textId="77777777" w:rsidR="0039412B" w:rsidRPr="007942C1" w:rsidRDefault="0039412B" w:rsidP="004F3930">
            <w:pPr>
              <w:spacing w:before="40" w:after="40"/>
              <w:rPr>
                <w:kern w:val="3"/>
                <w:sz w:val="23"/>
                <w:szCs w:val="23"/>
                <w:lang w:eastAsia="zh-CN" w:bidi="hi-IN"/>
              </w:rPr>
            </w:pPr>
            <w:r w:rsidRPr="007942C1">
              <w:rPr>
                <w:kern w:val="3"/>
                <w:sz w:val="23"/>
                <w:szCs w:val="23"/>
                <w:lang w:eastAsia="zh-CN" w:bidi="hi-IN"/>
              </w:rPr>
              <w:t>-</w:t>
            </w:r>
          </w:p>
        </w:tc>
        <w:tc>
          <w:tcPr>
            <w:tcW w:w="6241" w:type="dxa"/>
            <w:tcMar>
              <w:top w:w="0" w:type="dxa"/>
              <w:left w:w="108" w:type="dxa"/>
              <w:bottom w:w="0" w:type="dxa"/>
              <w:right w:w="108" w:type="dxa"/>
            </w:tcMar>
          </w:tcPr>
          <w:p w14:paraId="0E9DB50E" w14:textId="77777777" w:rsidR="0039412B" w:rsidRPr="007942C1" w:rsidRDefault="0039412B" w:rsidP="004F3930">
            <w:pPr>
              <w:spacing w:before="40" w:after="40"/>
              <w:rPr>
                <w:kern w:val="3"/>
                <w:sz w:val="23"/>
                <w:szCs w:val="23"/>
                <w:lang w:eastAsia="zh-CN" w:bidi="hi-IN"/>
              </w:rPr>
            </w:pPr>
            <w:r w:rsidRPr="007942C1">
              <w:rPr>
                <w:rFonts w:cs="Arial"/>
                <w:bCs/>
                <w:sz w:val="23"/>
                <w:szCs w:val="23"/>
              </w:rPr>
              <w:t>Pacific Islands Legal Information Institute</w:t>
            </w:r>
          </w:p>
        </w:tc>
      </w:tr>
      <w:tr w:rsidR="0039412B" w:rsidRPr="007942C1" w14:paraId="70464769" w14:textId="77777777" w:rsidTr="00A21FA0">
        <w:trPr>
          <w:jc w:val="center"/>
        </w:trPr>
        <w:tc>
          <w:tcPr>
            <w:tcW w:w="1383" w:type="dxa"/>
            <w:tcMar>
              <w:top w:w="0" w:type="dxa"/>
              <w:left w:w="108" w:type="dxa"/>
              <w:bottom w:w="0" w:type="dxa"/>
              <w:right w:w="108" w:type="dxa"/>
            </w:tcMar>
          </w:tcPr>
          <w:p w14:paraId="1621B4C5" w14:textId="77777777" w:rsidR="0039412B" w:rsidRPr="00684BDA" w:rsidRDefault="0039412B" w:rsidP="004F3930">
            <w:pPr>
              <w:spacing w:before="40" w:after="40"/>
              <w:jc w:val="right"/>
              <w:rPr>
                <w:kern w:val="3"/>
                <w:sz w:val="23"/>
                <w:szCs w:val="23"/>
                <w:lang w:eastAsia="zh-CN" w:bidi="hi-IN"/>
              </w:rPr>
            </w:pPr>
            <w:r w:rsidRPr="00684BDA">
              <w:rPr>
                <w:kern w:val="3"/>
                <w:sz w:val="23"/>
                <w:szCs w:val="23"/>
                <w:lang w:eastAsia="zh-CN" w:bidi="hi-IN"/>
              </w:rPr>
              <w:t>PEC</w:t>
            </w:r>
          </w:p>
        </w:tc>
        <w:tc>
          <w:tcPr>
            <w:tcW w:w="281" w:type="dxa"/>
            <w:tcMar>
              <w:top w:w="0" w:type="dxa"/>
              <w:left w:w="108" w:type="dxa"/>
              <w:bottom w:w="0" w:type="dxa"/>
              <w:right w:w="108" w:type="dxa"/>
            </w:tcMar>
          </w:tcPr>
          <w:p w14:paraId="2620B04D" w14:textId="77777777" w:rsidR="0039412B" w:rsidRPr="007942C1" w:rsidRDefault="0039412B" w:rsidP="004F3930">
            <w:pPr>
              <w:spacing w:before="40" w:after="40"/>
              <w:rPr>
                <w:kern w:val="3"/>
                <w:sz w:val="23"/>
                <w:szCs w:val="23"/>
                <w:lang w:eastAsia="zh-CN" w:bidi="hi-IN"/>
              </w:rPr>
            </w:pPr>
            <w:r w:rsidRPr="007942C1">
              <w:rPr>
                <w:kern w:val="3"/>
                <w:sz w:val="23"/>
                <w:szCs w:val="23"/>
                <w:lang w:eastAsia="zh-CN" w:bidi="hi-IN"/>
              </w:rPr>
              <w:t>-</w:t>
            </w:r>
          </w:p>
        </w:tc>
        <w:tc>
          <w:tcPr>
            <w:tcW w:w="6241" w:type="dxa"/>
            <w:tcMar>
              <w:top w:w="0" w:type="dxa"/>
              <w:left w:w="108" w:type="dxa"/>
              <w:bottom w:w="0" w:type="dxa"/>
              <w:right w:w="108" w:type="dxa"/>
            </w:tcMar>
          </w:tcPr>
          <w:p w14:paraId="4F183F6E" w14:textId="77777777" w:rsidR="0039412B" w:rsidRPr="007942C1" w:rsidRDefault="0039412B" w:rsidP="004F3930">
            <w:pPr>
              <w:spacing w:before="40" w:after="40"/>
              <w:rPr>
                <w:kern w:val="3"/>
                <w:sz w:val="23"/>
                <w:szCs w:val="23"/>
                <w:lang w:eastAsia="zh-CN" w:bidi="hi-IN"/>
              </w:rPr>
            </w:pPr>
            <w:r w:rsidRPr="007942C1">
              <w:rPr>
                <w:kern w:val="3"/>
                <w:sz w:val="23"/>
                <w:szCs w:val="23"/>
                <w:lang w:eastAsia="zh-CN" w:bidi="hi-IN"/>
              </w:rPr>
              <w:t>Programme Executive Committee</w:t>
            </w:r>
          </w:p>
        </w:tc>
      </w:tr>
      <w:tr w:rsidR="0039412B" w:rsidRPr="007942C1" w14:paraId="3D6D9FE8" w14:textId="77777777" w:rsidTr="00A21FA0">
        <w:trPr>
          <w:jc w:val="center"/>
        </w:trPr>
        <w:tc>
          <w:tcPr>
            <w:tcW w:w="1383" w:type="dxa"/>
            <w:tcMar>
              <w:top w:w="0" w:type="dxa"/>
              <w:left w:w="108" w:type="dxa"/>
              <w:bottom w:w="0" w:type="dxa"/>
              <w:right w:w="108" w:type="dxa"/>
            </w:tcMar>
          </w:tcPr>
          <w:p w14:paraId="532E68ED" w14:textId="77777777" w:rsidR="0039412B" w:rsidRPr="00684BDA" w:rsidDel="00CA4833" w:rsidRDefault="0039412B" w:rsidP="004F3930">
            <w:pPr>
              <w:spacing w:before="40" w:after="40"/>
              <w:jc w:val="right"/>
              <w:rPr>
                <w:sz w:val="23"/>
                <w:szCs w:val="23"/>
                <w:lang w:eastAsia="en-US"/>
              </w:rPr>
            </w:pPr>
            <w:r w:rsidRPr="00684BDA">
              <w:rPr>
                <w:kern w:val="3"/>
                <w:sz w:val="23"/>
                <w:szCs w:val="23"/>
                <w:lang w:eastAsia="zh-CN" w:bidi="hi-IN"/>
              </w:rPr>
              <w:t>PIC</w:t>
            </w:r>
          </w:p>
        </w:tc>
        <w:tc>
          <w:tcPr>
            <w:tcW w:w="281" w:type="dxa"/>
            <w:tcMar>
              <w:top w:w="0" w:type="dxa"/>
              <w:left w:w="108" w:type="dxa"/>
              <w:bottom w:w="0" w:type="dxa"/>
              <w:right w:w="108" w:type="dxa"/>
            </w:tcMar>
          </w:tcPr>
          <w:p w14:paraId="367C2796" w14:textId="77777777" w:rsidR="0039412B" w:rsidRPr="007942C1" w:rsidDel="00CA4833" w:rsidRDefault="0039412B" w:rsidP="004F3930">
            <w:pPr>
              <w:spacing w:before="40" w:after="40"/>
              <w:rPr>
                <w:kern w:val="3"/>
                <w:sz w:val="23"/>
                <w:szCs w:val="23"/>
                <w:lang w:eastAsia="zh-CN" w:bidi="hi-IN"/>
              </w:rPr>
            </w:pPr>
            <w:r w:rsidRPr="007942C1">
              <w:rPr>
                <w:kern w:val="3"/>
                <w:sz w:val="23"/>
                <w:szCs w:val="23"/>
                <w:lang w:eastAsia="zh-CN" w:bidi="hi-IN"/>
              </w:rPr>
              <w:t>-</w:t>
            </w:r>
          </w:p>
        </w:tc>
        <w:tc>
          <w:tcPr>
            <w:tcW w:w="6241" w:type="dxa"/>
            <w:tcMar>
              <w:top w:w="0" w:type="dxa"/>
              <w:left w:w="108" w:type="dxa"/>
              <w:bottom w:w="0" w:type="dxa"/>
              <w:right w:w="108" w:type="dxa"/>
            </w:tcMar>
          </w:tcPr>
          <w:p w14:paraId="54077703" w14:textId="77777777" w:rsidR="0039412B" w:rsidRPr="007942C1" w:rsidDel="00CA4833" w:rsidRDefault="0039412B" w:rsidP="004F3930">
            <w:pPr>
              <w:spacing w:before="40" w:after="40"/>
              <w:rPr>
                <w:kern w:val="3"/>
                <w:sz w:val="23"/>
                <w:szCs w:val="23"/>
                <w:lang w:eastAsia="zh-CN" w:bidi="hi-IN"/>
              </w:rPr>
            </w:pPr>
            <w:r w:rsidRPr="007942C1">
              <w:rPr>
                <w:kern w:val="3"/>
                <w:sz w:val="23"/>
                <w:szCs w:val="23"/>
                <w:lang w:eastAsia="zh-CN" w:bidi="hi-IN"/>
              </w:rPr>
              <w:t>Pacific Island Country</w:t>
            </w:r>
          </w:p>
        </w:tc>
      </w:tr>
      <w:tr w:rsidR="0039412B" w:rsidRPr="007942C1" w14:paraId="663E4014" w14:textId="77777777" w:rsidTr="00A21FA0">
        <w:trPr>
          <w:jc w:val="center"/>
        </w:trPr>
        <w:tc>
          <w:tcPr>
            <w:tcW w:w="1383" w:type="dxa"/>
            <w:tcMar>
              <w:top w:w="0" w:type="dxa"/>
              <w:left w:w="108" w:type="dxa"/>
              <w:bottom w:w="0" w:type="dxa"/>
              <w:right w:w="108" w:type="dxa"/>
            </w:tcMar>
          </w:tcPr>
          <w:p w14:paraId="319C5DC0" w14:textId="77777777" w:rsidR="0039412B" w:rsidRPr="00684BDA" w:rsidDel="00CA4833" w:rsidRDefault="0039412B" w:rsidP="004F3930">
            <w:pPr>
              <w:spacing w:before="40" w:after="40"/>
              <w:jc w:val="right"/>
              <w:rPr>
                <w:sz w:val="23"/>
                <w:szCs w:val="23"/>
                <w:lang w:eastAsia="en-US"/>
              </w:rPr>
            </w:pPr>
            <w:r w:rsidRPr="00684BDA">
              <w:rPr>
                <w:kern w:val="3"/>
                <w:sz w:val="23"/>
                <w:szCs w:val="23"/>
                <w:lang w:eastAsia="zh-CN" w:bidi="hi-IN"/>
              </w:rPr>
              <w:t>PJDP</w:t>
            </w:r>
          </w:p>
        </w:tc>
        <w:tc>
          <w:tcPr>
            <w:tcW w:w="281" w:type="dxa"/>
            <w:tcMar>
              <w:top w:w="0" w:type="dxa"/>
              <w:left w:w="108" w:type="dxa"/>
              <w:bottom w:w="0" w:type="dxa"/>
              <w:right w:w="108" w:type="dxa"/>
            </w:tcMar>
          </w:tcPr>
          <w:p w14:paraId="56C559C1" w14:textId="77777777" w:rsidR="0039412B" w:rsidRPr="007942C1" w:rsidDel="00CA4833" w:rsidRDefault="0039412B" w:rsidP="004F3930">
            <w:pPr>
              <w:spacing w:before="40" w:after="40"/>
              <w:rPr>
                <w:kern w:val="3"/>
                <w:sz w:val="23"/>
                <w:szCs w:val="23"/>
                <w:lang w:eastAsia="zh-CN" w:bidi="hi-IN"/>
              </w:rPr>
            </w:pPr>
            <w:r w:rsidRPr="007942C1">
              <w:rPr>
                <w:kern w:val="3"/>
                <w:sz w:val="23"/>
                <w:szCs w:val="23"/>
                <w:lang w:eastAsia="zh-CN" w:bidi="hi-IN"/>
              </w:rPr>
              <w:t>-</w:t>
            </w:r>
          </w:p>
        </w:tc>
        <w:tc>
          <w:tcPr>
            <w:tcW w:w="6241" w:type="dxa"/>
            <w:tcMar>
              <w:top w:w="0" w:type="dxa"/>
              <w:left w:w="108" w:type="dxa"/>
              <w:bottom w:w="0" w:type="dxa"/>
              <w:right w:w="108" w:type="dxa"/>
            </w:tcMar>
          </w:tcPr>
          <w:p w14:paraId="6C111422" w14:textId="77777777" w:rsidR="0039412B" w:rsidRPr="007942C1" w:rsidDel="00CA4833" w:rsidRDefault="0039412B" w:rsidP="004F3930">
            <w:pPr>
              <w:spacing w:before="40" w:after="40"/>
              <w:rPr>
                <w:kern w:val="3"/>
                <w:sz w:val="23"/>
                <w:szCs w:val="23"/>
                <w:lang w:eastAsia="zh-CN" w:bidi="hi-IN"/>
              </w:rPr>
            </w:pPr>
            <w:r w:rsidRPr="007942C1">
              <w:rPr>
                <w:kern w:val="3"/>
                <w:sz w:val="23"/>
                <w:szCs w:val="23"/>
                <w:lang w:eastAsia="zh-CN" w:bidi="hi-IN"/>
              </w:rPr>
              <w:t>Pacific Judicial Development Programme</w:t>
            </w:r>
          </w:p>
        </w:tc>
      </w:tr>
      <w:tr w:rsidR="0039412B" w:rsidRPr="007942C1" w14:paraId="05CD605B" w14:textId="77777777" w:rsidTr="00A21FA0">
        <w:trPr>
          <w:jc w:val="center"/>
        </w:trPr>
        <w:tc>
          <w:tcPr>
            <w:tcW w:w="1383" w:type="dxa"/>
            <w:tcMar>
              <w:top w:w="0" w:type="dxa"/>
              <w:left w:w="108" w:type="dxa"/>
              <w:bottom w:w="0" w:type="dxa"/>
              <w:right w:w="108" w:type="dxa"/>
            </w:tcMar>
          </w:tcPr>
          <w:p w14:paraId="7D2D3679" w14:textId="77777777" w:rsidR="0039412B" w:rsidRPr="00684BDA" w:rsidDel="00CA4833" w:rsidRDefault="0039412B" w:rsidP="004F3930">
            <w:pPr>
              <w:spacing w:before="40" w:after="40"/>
              <w:jc w:val="right"/>
              <w:rPr>
                <w:sz w:val="23"/>
                <w:szCs w:val="23"/>
                <w:lang w:eastAsia="en-US"/>
              </w:rPr>
            </w:pPr>
            <w:r w:rsidRPr="00684BDA">
              <w:rPr>
                <w:kern w:val="3"/>
                <w:sz w:val="23"/>
                <w:szCs w:val="23"/>
                <w:lang w:eastAsia="zh-CN" w:bidi="hi-IN"/>
              </w:rPr>
              <w:t>PNG</w:t>
            </w:r>
          </w:p>
        </w:tc>
        <w:tc>
          <w:tcPr>
            <w:tcW w:w="281" w:type="dxa"/>
            <w:tcMar>
              <w:top w:w="0" w:type="dxa"/>
              <w:left w:w="108" w:type="dxa"/>
              <w:bottom w:w="0" w:type="dxa"/>
              <w:right w:w="108" w:type="dxa"/>
            </w:tcMar>
          </w:tcPr>
          <w:p w14:paraId="4A8FBFC9" w14:textId="77777777" w:rsidR="0039412B" w:rsidRPr="007942C1" w:rsidDel="00CA4833" w:rsidRDefault="0039412B" w:rsidP="004F3930">
            <w:pPr>
              <w:spacing w:before="40" w:after="40"/>
              <w:rPr>
                <w:kern w:val="3"/>
                <w:sz w:val="23"/>
                <w:szCs w:val="23"/>
                <w:lang w:eastAsia="zh-CN" w:bidi="hi-IN"/>
              </w:rPr>
            </w:pPr>
            <w:r w:rsidRPr="007942C1">
              <w:rPr>
                <w:kern w:val="3"/>
                <w:sz w:val="23"/>
                <w:szCs w:val="23"/>
                <w:lang w:eastAsia="zh-CN" w:bidi="hi-IN"/>
              </w:rPr>
              <w:t>-</w:t>
            </w:r>
          </w:p>
        </w:tc>
        <w:tc>
          <w:tcPr>
            <w:tcW w:w="6241" w:type="dxa"/>
            <w:tcMar>
              <w:top w:w="0" w:type="dxa"/>
              <w:left w:w="108" w:type="dxa"/>
              <w:bottom w:w="0" w:type="dxa"/>
              <w:right w:w="108" w:type="dxa"/>
            </w:tcMar>
          </w:tcPr>
          <w:p w14:paraId="07BD575E" w14:textId="77777777" w:rsidR="0039412B" w:rsidRPr="007942C1" w:rsidDel="00CA4833" w:rsidRDefault="0039412B" w:rsidP="004F3930">
            <w:pPr>
              <w:spacing w:before="40" w:after="40"/>
              <w:rPr>
                <w:kern w:val="3"/>
                <w:sz w:val="23"/>
                <w:szCs w:val="23"/>
                <w:lang w:eastAsia="zh-CN" w:bidi="hi-IN"/>
              </w:rPr>
            </w:pPr>
            <w:r w:rsidRPr="007942C1">
              <w:rPr>
                <w:kern w:val="3"/>
                <w:sz w:val="23"/>
                <w:szCs w:val="23"/>
                <w:lang w:eastAsia="zh-CN" w:bidi="hi-IN"/>
              </w:rPr>
              <w:t>Papua New Guinea</w:t>
            </w:r>
          </w:p>
        </w:tc>
      </w:tr>
      <w:tr w:rsidR="0039412B" w:rsidRPr="007942C1" w14:paraId="6AAFE14A" w14:textId="77777777" w:rsidTr="00A21FA0">
        <w:trPr>
          <w:jc w:val="center"/>
        </w:trPr>
        <w:tc>
          <w:tcPr>
            <w:tcW w:w="1383" w:type="dxa"/>
            <w:tcMar>
              <w:top w:w="0" w:type="dxa"/>
              <w:left w:w="108" w:type="dxa"/>
              <w:bottom w:w="0" w:type="dxa"/>
              <w:right w:w="108" w:type="dxa"/>
            </w:tcMar>
          </w:tcPr>
          <w:p w14:paraId="32F6472B" w14:textId="77777777" w:rsidR="0039412B" w:rsidRPr="00684BDA" w:rsidDel="00CA4833" w:rsidRDefault="0039412B" w:rsidP="004F3930">
            <w:pPr>
              <w:spacing w:before="40" w:after="40"/>
              <w:jc w:val="right"/>
              <w:rPr>
                <w:sz w:val="23"/>
                <w:szCs w:val="23"/>
                <w:lang w:eastAsia="en-US"/>
              </w:rPr>
            </w:pPr>
            <w:r w:rsidRPr="00684BDA">
              <w:rPr>
                <w:kern w:val="3"/>
                <w:sz w:val="23"/>
                <w:szCs w:val="23"/>
                <w:lang w:eastAsia="zh-CN" w:bidi="hi-IN"/>
              </w:rPr>
              <w:t>PPDVP</w:t>
            </w:r>
          </w:p>
        </w:tc>
        <w:tc>
          <w:tcPr>
            <w:tcW w:w="281" w:type="dxa"/>
            <w:tcMar>
              <w:top w:w="0" w:type="dxa"/>
              <w:left w:w="108" w:type="dxa"/>
              <w:bottom w:w="0" w:type="dxa"/>
              <w:right w:w="108" w:type="dxa"/>
            </w:tcMar>
          </w:tcPr>
          <w:p w14:paraId="2D151ABC" w14:textId="77777777" w:rsidR="0039412B" w:rsidRPr="007942C1" w:rsidDel="00CA4833" w:rsidRDefault="0039412B" w:rsidP="004F3930">
            <w:pPr>
              <w:spacing w:before="40" w:after="40"/>
              <w:rPr>
                <w:kern w:val="3"/>
                <w:sz w:val="23"/>
                <w:szCs w:val="23"/>
                <w:lang w:eastAsia="zh-CN" w:bidi="hi-IN"/>
              </w:rPr>
            </w:pPr>
            <w:r w:rsidRPr="007942C1">
              <w:rPr>
                <w:kern w:val="3"/>
                <w:sz w:val="23"/>
                <w:szCs w:val="23"/>
                <w:lang w:eastAsia="zh-CN" w:bidi="hi-IN"/>
              </w:rPr>
              <w:t>-</w:t>
            </w:r>
          </w:p>
        </w:tc>
        <w:tc>
          <w:tcPr>
            <w:tcW w:w="6241" w:type="dxa"/>
            <w:tcMar>
              <w:top w:w="0" w:type="dxa"/>
              <w:left w:w="108" w:type="dxa"/>
              <w:bottom w:w="0" w:type="dxa"/>
              <w:right w:w="108" w:type="dxa"/>
            </w:tcMar>
          </w:tcPr>
          <w:p w14:paraId="1DAF572B" w14:textId="77777777" w:rsidR="0039412B" w:rsidRPr="007942C1" w:rsidDel="00CA4833" w:rsidRDefault="0039412B" w:rsidP="004F3930">
            <w:pPr>
              <w:spacing w:before="40" w:after="40"/>
              <w:rPr>
                <w:kern w:val="3"/>
                <w:sz w:val="23"/>
                <w:szCs w:val="23"/>
                <w:lang w:eastAsia="zh-CN" w:bidi="hi-IN"/>
              </w:rPr>
            </w:pPr>
            <w:r w:rsidRPr="007942C1">
              <w:rPr>
                <w:sz w:val="23"/>
                <w:szCs w:val="23"/>
                <w:lang w:eastAsia="ja-JP"/>
              </w:rPr>
              <w:t xml:space="preserve">Pacific Prevention of Domestic Violence Program </w:t>
            </w:r>
          </w:p>
        </w:tc>
      </w:tr>
      <w:tr w:rsidR="0039412B" w:rsidRPr="007942C1" w14:paraId="500EE2A6" w14:textId="77777777" w:rsidTr="00A21FA0">
        <w:trPr>
          <w:jc w:val="center"/>
        </w:trPr>
        <w:tc>
          <w:tcPr>
            <w:tcW w:w="1383" w:type="dxa"/>
            <w:tcMar>
              <w:top w:w="0" w:type="dxa"/>
              <w:left w:w="108" w:type="dxa"/>
              <w:bottom w:w="0" w:type="dxa"/>
              <w:right w:w="108" w:type="dxa"/>
            </w:tcMar>
          </w:tcPr>
          <w:p w14:paraId="7862B776" w14:textId="77777777" w:rsidR="0039412B" w:rsidRPr="00684BDA" w:rsidRDefault="00684BDA" w:rsidP="004F3930">
            <w:pPr>
              <w:spacing w:before="40" w:after="40"/>
              <w:jc w:val="right"/>
              <w:rPr>
                <w:kern w:val="3"/>
                <w:sz w:val="23"/>
                <w:szCs w:val="23"/>
                <w:lang w:eastAsia="zh-CN" w:bidi="hi-IN"/>
              </w:rPr>
            </w:pPr>
            <w:r>
              <w:rPr>
                <w:kern w:val="3"/>
                <w:sz w:val="23"/>
                <w:szCs w:val="23"/>
                <w:lang w:eastAsia="zh-CN" w:bidi="hi-IN"/>
              </w:rPr>
              <w:t>RF</w:t>
            </w:r>
          </w:p>
        </w:tc>
        <w:tc>
          <w:tcPr>
            <w:tcW w:w="281" w:type="dxa"/>
            <w:tcMar>
              <w:top w:w="0" w:type="dxa"/>
              <w:left w:w="108" w:type="dxa"/>
              <w:bottom w:w="0" w:type="dxa"/>
              <w:right w:w="108" w:type="dxa"/>
            </w:tcMar>
          </w:tcPr>
          <w:p w14:paraId="7E251310" w14:textId="77777777" w:rsidR="0039412B" w:rsidRPr="007942C1" w:rsidRDefault="00684BDA" w:rsidP="004F3930">
            <w:pPr>
              <w:spacing w:before="40" w:after="40"/>
              <w:rPr>
                <w:rFonts w:cs="Arial"/>
                <w:kern w:val="3"/>
                <w:sz w:val="23"/>
                <w:szCs w:val="23"/>
                <w:lang w:eastAsia="zh-CN" w:bidi="hi-IN"/>
              </w:rPr>
            </w:pPr>
            <w:r>
              <w:rPr>
                <w:rFonts w:cs="Arial"/>
                <w:kern w:val="3"/>
                <w:sz w:val="23"/>
                <w:szCs w:val="23"/>
                <w:lang w:eastAsia="zh-CN" w:bidi="hi-IN"/>
              </w:rPr>
              <w:t>-</w:t>
            </w:r>
          </w:p>
        </w:tc>
        <w:tc>
          <w:tcPr>
            <w:tcW w:w="6241" w:type="dxa"/>
            <w:tcMar>
              <w:top w:w="0" w:type="dxa"/>
              <w:left w:w="108" w:type="dxa"/>
              <w:bottom w:w="0" w:type="dxa"/>
              <w:right w:w="108" w:type="dxa"/>
            </w:tcMar>
          </w:tcPr>
          <w:p w14:paraId="6F594DE9" w14:textId="77777777" w:rsidR="0039412B" w:rsidRPr="007942C1" w:rsidRDefault="00684BDA" w:rsidP="004F3930">
            <w:pPr>
              <w:spacing w:before="40" w:after="40"/>
              <w:rPr>
                <w:kern w:val="3"/>
                <w:sz w:val="23"/>
                <w:szCs w:val="23"/>
                <w:lang w:eastAsia="zh-CN" w:bidi="hi-IN"/>
              </w:rPr>
            </w:pPr>
            <w:r>
              <w:rPr>
                <w:kern w:val="3"/>
                <w:sz w:val="23"/>
                <w:szCs w:val="23"/>
                <w:lang w:eastAsia="zh-CN" w:bidi="hi-IN"/>
              </w:rPr>
              <w:t>Responsive Fund</w:t>
            </w:r>
          </w:p>
        </w:tc>
      </w:tr>
      <w:tr w:rsidR="0039412B" w:rsidRPr="007942C1" w14:paraId="53077C28" w14:textId="77777777" w:rsidTr="00A21FA0">
        <w:trPr>
          <w:jc w:val="center"/>
        </w:trPr>
        <w:tc>
          <w:tcPr>
            <w:tcW w:w="1383" w:type="dxa"/>
            <w:tcMar>
              <w:top w:w="0" w:type="dxa"/>
              <w:left w:w="108" w:type="dxa"/>
              <w:bottom w:w="0" w:type="dxa"/>
              <w:right w:w="108" w:type="dxa"/>
            </w:tcMar>
          </w:tcPr>
          <w:p w14:paraId="6619CFA5" w14:textId="77777777" w:rsidR="0039412B" w:rsidRPr="00684BDA" w:rsidRDefault="0039412B" w:rsidP="004F3930">
            <w:pPr>
              <w:spacing w:before="40" w:after="40"/>
              <w:jc w:val="right"/>
              <w:rPr>
                <w:rFonts w:cs="Arial"/>
                <w:kern w:val="3"/>
                <w:sz w:val="23"/>
                <w:szCs w:val="23"/>
                <w:lang w:eastAsia="zh-CN" w:bidi="hi-IN"/>
              </w:rPr>
            </w:pPr>
            <w:r w:rsidRPr="00684BDA">
              <w:rPr>
                <w:kern w:val="3"/>
                <w:sz w:val="23"/>
                <w:szCs w:val="23"/>
                <w:lang w:eastAsia="zh-CN" w:bidi="hi-IN"/>
              </w:rPr>
              <w:t>RTT</w:t>
            </w:r>
          </w:p>
        </w:tc>
        <w:tc>
          <w:tcPr>
            <w:tcW w:w="281" w:type="dxa"/>
            <w:tcMar>
              <w:top w:w="0" w:type="dxa"/>
              <w:left w:w="108" w:type="dxa"/>
              <w:bottom w:w="0" w:type="dxa"/>
              <w:right w:w="108" w:type="dxa"/>
            </w:tcMar>
          </w:tcPr>
          <w:p w14:paraId="073FE8E0" w14:textId="77777777" w:rsidR="0039412B" w:rsidRPr="007942C1" w:rsidRDefault="0039412B" w:rsidP="004F3930">
            <w:pPr>
              <w:spacing w:before="40" w:after="40"/>
              <w:rPr>
                <w:rFonts w:cs="Arial"/>
                <w:kern w:val="3"/>
                <w:sz w:val="23"/>
                <w:szCs w:val="23"/>
                <w:lang w:eastAsia="zh-CN" w:bidi="hi-IN"/>
              </w:rPr>
            </w:pPr>
            <w:r w:rsidRPr="007942C1">
              <w:rPr>
                <w:kern w:val="3"/>
                <w:sz w:val="23"/>
                <w:szCs w:val="23"/>
                <w:lang w:eastAsia="zh-CN" w:bidi="hi-IN"/>
              </w:rPr>
              <w:t>-</w:t>
            </w:r>
          </w:p>
        </w:tc>
        <w:tc>
          <w:tcPr>
            <w:tcW w:w="6241" w:type="dxa"/>
            <w:tcMar>
              <w:top w:w="0" w:type="dxa"/>
              <w:left w:w="108" w:type="dxa"/>
              <w:bottom w:w="0" w:type="dxa"/>
              <w:right w:w="108" w:type="dxa"/>
            </w:tcMar>
          </w:tcPr>
          <w:p w14:paraId="39D59D7C" w14:textId="77777777" w:rsidR="0039412B" w:rsidRPr="007942C1" w:rsidRDefault="0039412B" w:rsidP="004F3930">
            <w:pPr>
              <w:spacing w:before="40" w:after="40"/>
              <w:rPr>
                <w:rFonts w:cs="Arial"/>
                <w:kern w:val="3"/>
                <w:sz w:val="23"/>
                <w:szCs w:val="23"/>
                <w:lang w:eastAsia="zh-CN" w:bidi="hi-IN"/>
              </w:rPr>
            </w:pPr>
            <w:r w:rsidRPr="007942C1">
              <w:rPr>
                <w:kern w:val="3"/>
                <w:sz w:val="23"/>
                <w:szCs w:val="23"/>
                <w:lang w:eastAsia="zh-CN" w:bidi="hi-IN"/>
              </w:rPr>
              <w:t xml:space="preserve">Regional Training Team </w:t>
            </w:r>
          </w:p>
        </w:tc>
      </w:tr>
      <w:tr w:rsidR="00313FEE" w:rsidRPr="007942C1" w14:paraId="1A597822" w14:textId="77777777" w:rsidTr="00A21FA0">
        <w:trPr>
          <w:jc w:val="center"/>
        </w:trPr>
        <w:tc>
          <w:tcPr>
            <w:tcW w:w="1383" w:type="dxa"/>
            <w:tcMar>
              <w:top w:w="0" w:type="dxa"/>
              <w:left w:w="108" w:type="dxa"/>
              <w:bottom w:w="0" w:type="dxa"/>
              <w:right w:w="108" w:type="dxa"/>
            </w:tcMar>
          </w:tcPr>
          <w:p w14:paraId="6132E9C3" w14:textId="77777777" w:rsidR="00313FEE" w:rsidRPr="00684BDA" w:rsidRDefault="00313FEE" w:rsidP="004F3930">
            <w:pPr>
              <w:spacing w:before="40" w:after="40"/>
              <w:jc w:val="right"/>
              <w:rPr>
                <w:kern w:val="3"/>
                <w:sz w:val="23"/>
                <w:szCs w:val="23"/>
                <w:lang w:eastAsia="zh-CN" w:bidi="hi-IN"/>
              </w:rPr>
            </w:pPr>
            <w:r>
              <w:rPr>
                <w:kern w:val="3"/>
                <w:sz w:val="23"/>
                <w:szCs w:val="23"/>
                <w:lang w:eastAsia="zh-CN" w:bidi="hi-IN"/>
              </w:rPr>
              <w:t>TA</w:t>
            </w:r>
          </w:p>
        </w:tc>
        <w:tc>
          <w:tcPr>
            <w:tcW w:w="281" w:type="dxa"/>
            <w:tcMar>
              <w:top w:w="0" w:type="dxa"/>
              <w:left w:w="108" w:type="dxa"/>
              <w:bottom w:w="0" w:type="dxa"/>
              <w:right w:w="108" w:type="dxa"/>
            </w:tcMar>
          </w:tcPr>
          <w:p w14:paraId="793ED8DE" w14:textId="77777777" w:rsidR="00313FEE" w:rsidRPr="007942C1" w:rsidRDefault="00313FEE" w:rsidP="004F3930">
            <w:pPr>
              <w:spacing w:before="40" w:after="40"/>
              <w:rPr>
                <w:kern w:val="3"/>
                <w:sz w:val="23"/>
                <w:szCs w:val="23"/>
                <w:lang w:eastAsia="zh-CN" w:bidi="hi-IN"/>
              </w:rPr>
            </w:pPr>
            <w:r>
              <w:rPr>
                <w:kern w:val="3"/>
                <w:sz w:val="23"/>
                <w:szCs w:val="23"/>
                <w:lang w:eastAsia="zh-CN" w:bidi="hi-IN"/>
              </w:rPr>
              <w:t>-</w:t>
            </w:r>
          </w:p>
        </w:tc>
        <w:tc>
          <w:tcPr>
            <w:tcW w:w="6241" w:type="dxa"/>
            <w:tcMar>
              <w:top w:w="0" w:type="dxa"/>
              <w:left w:w="108" w:type="dxa"/>
              <w:bottom w:w="0" w:type="dxa"/>
              <w:right w:w="108" w:type="dxa"/>
            </w:tcMar>
          </w:tcPr>
          <w:p w14:paraId="7B12C697" w14:textId="77777777" w:rsidR="00313FEE" w:rsidRPr="007942C1" w:rsidRDefault="00313FEE" w:rsidP="004F3930">
            <w:pPr>
              <w:spacing w:before="40" w:after="40"/>
              <w:rPr>
                <w:kern w:val="3"/>
                <w:sz w:val="23"/>
                <w:szCs w:val="23"/>
                <w:lang w:eastAsia="zh-CN" w:bidi="hi-IN"/>
              </w:rPr>
            </w:pPr>
            <w:r>
              <w:rPr>
                <w:kern w:val="3"/>
                <w:sz w:val="23"/>
                <w:szCs w:val="23"/>
                <w:lang w:eastAsia="zh-CN" w:bidi="hi-IN"/>
              </w:rPr>
              <w:t>Technical Assistance</w:t>
            </w:r>
          </w:p>
        </w:tc>
      </w:tr>
      <w:tr w:rsidR="0039412B" w:rsidRPr="007942C1" w14:paraId="146C043D" w14:textId="77777777" w:rsidTr="00A21FA0">
        <w:trPr>
          <w:jc w:val="center"/>
        </w:trPr>
        <w:tc>
          <w:tcPr>
            <w:tcW w:w="1383" w:type="dxa"/>
            <w:tcMar>
              <w:top w:w="0" w:type="dxa"/>
              <w:left w:w="108" w:type="dxa"/>
              <w:bottom w:w="0" w:type="dxa"/>
              <w:right w:w="108" w:type="dxa"/>
            </w:tcMar>
          </w:tcPr>
          <w:p w14:paraId="75626BC4" w14:textId="77777777" w:rsidR="0039412B" w:rsidRPr="00684BDA" w:rsidRDefault="0039412B" w:rsidP="004F3930">
            <w:pPr>
              <w:spacing w:before="40" w:after="40"/>
              <w:jc w:val="right"/>
              <w:rPr>
                <w:rFonts w:cs="Arial"/>
                <w:kern w:val="3"/>
                <w:sz w:val="23"/>
                <w:szCs w:val="23"/>
                <w:lang w:eastAsia="zh-CN" w:bidi="hi-IN"/>
              </w:rPr>
            </w:pPr>
            <w:r w:rsidRPr="00684BDA">
              <w:rPr>
                <w:kern w:val="3"/>
                <w:sz w:val="23"/>
                <w:szCs w:val="23"/>
                <w:lang w:eastAsia="zh-CN" w:bidi="hi-IN"/>
              </w:rPr>
              <w:t>ToT</w:t>
            </w:r>
          </w:p>
        </w:tc>
        <w:tc>
          <w:tcPr>
            <w:tcW w:w="281" w:type="dxa"/>
            <w:tcMar>
              <w:top w:w="0" w:type="dxa"/>
              <w:left w:w="108" w:type="dxa"/>
              <w:bottom w:w="0" w:type="dxa"/>
              <w:right w:w="108" w:type="dxa"/>
            </w:tcMar>
          </w:tcPr>
          <w:p w14:paraId="5BCD3FFA" w14:textId="77777777" w:rsidR="0039412B" w:rsidRPr="007942C1" w:rsidRDefault="0039412B" w:rsidP="004F3930">
            <w:pPr>
              <w:spacing w:before="40" w:after="40"/>
              <w:rPr>
                <w:rFonts w:cs="Arial"/>
                <w:kern w:val="3"/>
                <w:sz w:val="23"/>
                <w:szCs w:val="23"/>
                <w:lang w:eastAsia="zh-CN" w:bidi="hi-IN"/>
              </w:rPr>
            </w:pPr>
            <w:r w:rsidRPr="007942C1">
              <w:rPr>
                <w:kern w:val="3"/>
                <w:sz w:val="23"/>
                <w:szCs w:val="23"/>
                <w:lang w:eastAsia="zh-CN" w:bidi="hi-IN"/>
              </w:rPr>
              <w:t>-</w:t>
            </w:r>
          </w:p>
        </w:tc>
        <w:tc>
          <w:tcPr>
            <w:tcW w:w="6241" w:type="dxa"/>
            <w:tcMar>
              <w:top w:w="0" w:type="dxa"/>
              <w:left w:w="108" w:type="dxa"/>
              <w:bottom w:w="0" w:type="dxa"/>
              <w:right w:w="108" w:type="dxa"/>
            </w:tcMar>
          </w:tcPr>
          <w:p w14:paraId="6C1C4ABC" w14:textId="77777777" w:rsidR="0039412B" w:rsidRPr="007942C1" w:rsidRDefault="0039412B" w:rsidP="004F3930">
            <w:pPr>
              <w:spacing w:before="40" w:after="40"/>
              <w:rPr>
                <w:rFonts w:cs="Arial"/>
                <w:kern w:val="3"/>
                <w:sz w:val="23"/>
                <w:szCs w:val="23"/>
                <w:lang w:eastAsia="zh-CN" w:bidi="hi-IN"/>
              </w:rPr>
            </w:pPr>
            <w:r w:rsidRPr="007942C1">
              <w:rPr>
                <w:kern w:val="3"/>
                <w:sz w:val="23"/>
                <w:szCs w:val="23"/>
                <w:lang w:eastAsia="zh-CN" w:bidi="hi-IN"/>
              </w:rPr>
              <w:t>Training-of-Trainers Workshop</w:t>
            </w:r>
          </w:p>
        </w:tc>
      </w:tr>
    </w:tbl>
    <w:p w14:paraId="0EEB480B" w14:textId="77777777" w:rsidR="0039412B" w:rsidRPr="007942C1" w:rsidRDefault="0039412B" w:rsidP="007E1599">
      <w:pPr>
        <w:pStyle w:val="Heading1"/>
        <w:spacing w:before="120"/>
        <w:ind w:left="0" w:firstLine="0"/>
        <w:rPr>
          <w:szCs w:val="26"/>
          <w:lang w:val="en-AU"/>
        </w:rPr>
        <w:sectPr w:rsidR="0039412B" w:rsidRPr="007942C1" w:rsidSect="0060320D">
          <w:headerReference w:type="default" r:id="rId11"/>
          <w:footerReference w:type="default" r:id="rId12"/>
          <w:pgSz w:w="11907" w:h="16840" w:code="9"/>
          <w:pgMar w:top="1361" w:right="1304" w:bottom="1418" w:left="1531" w:header="397" w:footer="680" w:gutter="0"/>
          <w:pgNumType w:fmt="lowerRoman" w:start="1"/>
          <w:cols w:space="708"/>
          <w:docGrid w:linePitch="360"/>
        </w:sectPr>
      </w:pPr>
    </w:p>
    <w:p w14:paraId="73378417" w14:textId="77777777" w:rsidR="00562EEA" w:rsidRDefault="00562EEA" w:rsidP="00FF2C4A">
      <w:pPr>
        <w:pStyle w:val="Heading1"/>
        <w:numPr>
          <w:ilvl w:val="0"/>
          <w:numId w:val="3"/>
        </w:numPr>
        <w:spacing w:before="120"/>
        <w:ind w:hanging="720"/>
        <w:rPr>
          <w:szCs w:val="26"/>
          <w:lang w:val="en-AU"/>
        </w:rPr>
        <w:sectPr w:rsidR="00562EEA" w:rsidSect="0060320D">
          <w:footerReference w:type="default" r:id="rId13"/>
          <w:type w:val="continuous"/>
          <w:pgSz w:w="11907" w:h="16840" w:code="9"/>
          <w:pgMar w:top="1361" w:right="1304" w:bottom="1418" w:left="1531" w:header="397" w:footer="680" w:gutter="0"/>
          <w:pgNumType w:start="1"/>
          <w:cols w:space="708"/>
          <w:docGrid w:linePitch="360"/>
        </w:sectPr>
      </w:pPr>
    </w:p>
    <w:p w14:paraId="33D36C1B" w14:textId="77777777" w:rsidR="0039412B" w:rsidRPr="007942C1" w:rsidRDefault="0039412B" w:rsidP="00FF2C4A">
      <w:pPr>
        <w:pStyle w:val="Heading1"/>
        <w:numPr>
          <w:ilvl w:val="0"/>
          <w:numId w:val="3"/>
        </w:numPr>
        <w:spacing w:before="120"/>
        <w:ind w:hanging="720"/>
        <w:rPr>
          <w:szCs w:val="26"/>
          <w:u w:val="single"/>
          <w:lang w:val="en-AU"/>
        </w:rPr>
      </w:pPr>
      <w:bookmarkStart w:id="30" w:name="_Toc391469716"/>
      <w:r w:rsidRPr="007942C1">
        <w:rPr>
          <w:szCs w:val="26"/>
          <w:lang w:val="en-AU"/>
        </w:rPr>
        <w:lastRenderedPageBreak/>
        <w:t>Introduction</w:t>
      </w:r>
      <w:bookmarkEnd w:id="30"/>
    </w:p>
    <w:p w14:paraId="50E70420" w14:textId="77777777" w:rsidR="0039412B" w:rsidRPr="00441E66" w:rsidRDefault="0039412B" w:rsidP="00312299">
      <w:pPr>
        <w:rPr>
          <w:sz w:val="23"/>
          <w:szCs w:val="23"/>
        </w:rPr>
      </w:pPr>
    </w:p>
    <w:p w14:paraId="499621EE" w14:textId="77777777" w:rsidR="00773A59" w:rsidRPr="007942C1" w:rsidRDefault="0039412B" w:rsidP="00312299">
      <w:pPr>
        <w:rPr>
          <w:sz w:val="23"/>
          <w:szCs w:val="23"/>
        </w:rPr>
      </w:pPr>
      <w:r w:rsidRPr="007942C1">
        <w:rPr>
          <w:sz w:val="23"/>
          <w:szCs w:val="23"/>
        </w:rPr>
        <w:t>This report provides a summary of progress made under the Pacific Judicial Development Programme (PJDP) d</w:t>
      </w:r>
      <w:r w:rsidR="00212E64">
        <w:rPr>
          <w:sz w:val="23"/>
          <w:szCs w:val="23"/>
        </w:rPr>
        <w:t>uring the period 1 January to 30 June, 2014</w:t>
      </w:r>
      <w:r w:rsidRPr="007942C1">
        <w:rPr>
          <w:sz w:val="23"/>
          <w:szCs w:val="23"/>
        </w:rPr>
        <w:t xml:space="preserve">. The report is submitted in satisfaction of Milestone </w:t>
      </w:r>
      <w:r w:rsidR="00BC7DFF">
        <w:rPr>
          <w:sz w:val="23"/>
          <w:szCs w:val="23"/>
        </w:rPr>
        <w:t>42</w:t>
      </w:r>
      <w:r w:rsidRPr="007942C1">
        <w:rPr>
          <w:sz w:val="23"/>
          <w:szCs w:val="23"/>
        </w:rPr>
        <w:t xml:space="preserve"> defined in the contract between the New Zealand Ministry of Foreign Affairs and Trade (MFAT) and the Federal Court of Australia (FCA). </w:t>
      </w:r>
      <w:r w:rsidR="00773A59">
        <w:rPr>
          <w:sz w:val="23"/>
          <w:szCs w:val="23"/>
        </w:rPr>
        <w:t xml:space="preserve">During the </w:t>
      </w:r>
      <w:r w:rsidR="00982AD9">
        <w:rPr>
          <w:sz w:val="23"/>
          <w:szCs w:val="23"/>
        </w:rPr>
        <w:t xml:space="preserve">reporting period </w:t>
      </w:r>
      <w:r w:rsidR="00773A59">
        <w:rPr>
          <w:sz w:val="23"/>
          <w:szCs w:val="23"/>
        </w:rPr>
        <w:t>Letter of Variation No. 12 (signed 13 February 2014) and No. 13 (signed 2 June 2014) have been agreed to</w:t>
      </w:r>
      <w:r w:rsidR="00982AD9">
        <w:rPr>
          <w:sz w:val="23"/>
          <w:szCs w:val="23"/>
        </w:rPr>
        <w:t xml:space="preserve"> </w:t>
      </w:r>
      <w:r w:rsidR="00773A59">
        <w:rPr>
          <w:sz w:val="23"/>
          <w:szCs w:val="23"/>
        </w:rPr>
        <w:t>between MFAT and the FCA.</w:t>
      </w:r>
    </w:p>
    <w:p w14:paraId="1FA08D4A" w14:textId="77777777" w:rsidR="0039412B" w:rsidRPr="009437D6" w:rsidRDefault="0039412B" w:rsidP="00312299">
      <w:pPr>
        <w:rPr>
          <w:sz w:val="28"/>
          <w:szCs w:val="23"/>
        </w:rPr>
      </w:pPr>
    </w:p>
    <w:p w14:paraId="6D5923F3" w14:textId="77777777" w:rsidR="0039412B" w:rsidRPr="007942C1" w:rsidRDefault="00AE2068" w:rsidP="00FF2C4A">
      <w:pPr>
        <w:pStyle w:val="Heading1"/>
        <w:numPr>
          <w:ilvl w:val="0"/>
          <w:numId w:val="3"/>
        </w:numPr>
        <w:spacing w:before="120"/>
        <w:ind w:hanging="720"/>
        <w:rPr>
          <w:szCs w:val="26"/>
          <w:lang w:val="en-AU"/>
        </w:rPr>
      </w:pPr>
      <w:bookmarkStart w:id="31" w:name="_Toc391469717"/>
      <w:r>
        <w:rPr>
          <w:szCs w:val="26"/>
          <w:lang w:val="en-AU"/>
        </w:rPr>
        <w:t xml:space="preserve">Summary of </w:t>
      </w:r>
      <w:r w:rsidR="0039412B">
        <w:rPr>
          <w:szCs w:val="26"/>
          <w:lang w:val="en-AU"/>
        </w:rPr>
        <w:t>Activities and Achievements:</w:t>
      </w:r>
      <w:r w:rsidR="00043937">
        <w:rPr>
          <w:szCs w:val="26"/>
          <w:lang w:val="en-AU"/>
        </w:rPr>
        <w:t xml:space="preserve"> January</w:t>
      </w:r>
      <w:r w:rsidR="00C9109E">
        <w:rPr>
          <w:szCs w:val="26"/>
          <w:lang w:val="en-AU"/>
        </w:rPr>
        <w:t xml:space="preserve"> </w:t>
      </w:r>
      <w:r w:rsidR="0039412B" w:rsidRPr="007942C1">
        <w:rPr>
          <w:szCs w:val="26"/>
          <w:lang w:val="en-AU"/>
        </w:rPr>
        <w:t>- June 201</w:t>
      </w:r>
      <w:r w:rsidR="00212E64">
        <w:rPr>
          <w:szCs w:val="26"/>
          <w:lang w:val="en-AU"/>
        </w:rPr>
        <w:t>4</w:t>
      </w:r>
      <w:bookmarkEnd w:id="31"/>
    </w:p>
    <w:p w14:paraId="0FC519D7" w14:textId="77777777" w:rsidR="0039412B" w:rsidRPr="00441E66" w:rsidRDefault="0039412B" w:rsidP="008A0B45">
      <w:pPr>
        <w:rPr>
          <w:sz w:val="23"/>
          <w:szCs w:val="23"/>
        </w:rPr>
      </w:pPr>
    </w:p>
    <w:p w14:paraId="177D0AA0" w14:textId="77777777" w:rsidR="002421E9" w:rsidRPr="0070135D" w:rsidRDefault="00D26A75" w:rsidP="00ED3B5C">
      <w:pPr>
        <w:rPr>
          <w:b/>
          <w:i/>
          <w:sz w:val="23"/>
          <w:szCs w:val="23"/>
        </w:rPr>
      </w:pPr>
      <w:r>
        <w:rPr>
          <w:sz w:val="23"/>
          <w:szCs w:val="23"/>
        </w:rPr>
        <w:t xml:space="preserve">As PJDP approaches </w:t>
      </w:r>
      <w:r w:rsidR="002C13E5">
        <w:rPr>
          <w:sz w:val="23"/>
          <w:szCs w:val="23"/>
        </w:rPr>
        <w:t xml:space="preserve">the </w:t>
      </w:r>
      <w:r>
        <w:rPr>
          <w:sz w:val="23"/>
          <w:szCs w:val="23"/>
        </w:rPr>
        <w:t xml:space="preserve">mid-way </w:t>
      </w:r>
      <w:r w:rsidR="002C13E5">
        <w:rPr>
          <w:sz w:val="23"/>
          <w:szCs w:val="23"/>
        </w:rPr>
        <w:t xml:space="preserve">point of </w:t>
      </w:r>
      <w:r>
        <w:rPr>
          <w:sz w:val="23"/>
          <w:szCs w:val="23"/>
        </w:rPr>
        <w:t xml:space="preserve">the 24-month Extension Plan, all </w:t>
      </w:r>
      <w:r w:rsidR="002C13E5">
        <w:rPr>
          <w:sz w:val="23"/>
          <w:szCs w:val="23"/>
        </w:rPr>
        <w:t xml:space="preserve">approved </w:t>
      </w:r>
      <w:r w:rsidR="00FE612E">
        <w:rPr>
          <w:sz w:val="23"/>
          <w:szCs w:val="23"/>
        </w:rPr>
        <w:t>projects</w:t>
      </w:r>
      <w:r>
        <w:rPr>
          <w:sz w:val="23"/>
          <w:szCs w:val="23"/>
        </w:rPr>
        <w:t xml:space="preserve"> are </w:t>
      </w:r>
      <w:r w:rsidR="002C13E5">
        <w:rPr>
          <w:sz w:val="23"/>
          <w:szCs w:val="23"/>
        </w:rPr>
        <w:t xml:space="preserve">in the process of </w:t>
      </w:r>
      <w:r>
        <w:rPr>
          <w:sz w:val="23"/>
          <w:szCs w:val="23"/>
        </w:rPr>
        <w:t xml:space="preserve">being implemented, with </w:t>
      </w:r>
      <w:r w:rsidR="002C13E5">
        <w:rPr>
          <w:sz w:val="23"/>
          <w:szCs w:val="23"/>
        </w:rPr>
        <w:t xml:space="preserve">the </w:t>
      </w:r>
      <w:r w:rsidR="0050570F">
        <w:rPr>
          <w:sz w:val="23"/>
          <w:szCs w:val="23"/>
        </w:rPr>
        <w:t>National Judicial Development Committee</w:t>
      </w:r>
      <w:r w:rsidR="002C13E5">
        <w:rPr>
          <w:sz w:val="23"/>
          <w:szCs w:val="23"/>
        </w:rPr>
        <w:t xml:space="preserve"> Project having been </w:t>
      </w:r>
      <w:r>
        <w:rPr>
          <w:sz w:val="23"/>
          <w:szCs w:val="23"/>
        </w:rPr>
        <w:t xml:space="preserve">completed. During the reporting period, twelve substantive activities were </w:t>
      </w:r>
      <w:r w:rsidR="002C13E5">
        <w:rPr>
          <w:sz w:val="23"/>
          <w:szCs w:val="23"/>
        </w:rPr>
        <w:t>undertaken</w:t>
      </w:r>
      <w:r w:rsidR="00FE612E">
        <w:rPr>
          <w:sz w:val="23"/>
          <w:szCs w:val="23"/>
        </w:rPr>
        <w:t xml:space="preserve">, </w:t>
      </w:r>
      <w:r w:rsidR="00CB3B75">
        <w:rPr>
          <w:sz w:val="23"/>
          <w:szCs w:val="23"/>
        </w:rPr>
        <w:t>eight</w:t>
      </w:r>
      <w:r w:rsidR="00FE612E">
        <w:rPr>
          <w:sz w:val="23"/>
          <w:szCs w:val="23"/>
        </w:rPr>
        <w:t xml:space="preserve"> Responsive Fund activities were delivered</w:t>
      </w:r>
      <w:r w:rsidR="006B5668">
        <w:rPr>
          <w:sz w:val="23"/>
          <w:szCs w:val="23"/>
        </w:rPr>
        <w:t>,</w:t>
      </w:r>
      <w:r w:rsidR="00FE612E">
        <w:rPr>
          <w:sz w:val="23"/>
          <w:szCs w:val="23"/>
        </w:rPr>
        <w:t xml:space="preserve"> with </w:t>
      </w:r>
      <w:r w:rsidR="006B5668">
        <w:rPr>
          <w:sz w:val="23"/>
          <w:szCs w:val="23"/>
        </w:rPr>
        <w:t xml:space="preserve">a further </w:t>
      </w:r>
      <w:r w:rsidR="00CB3B75">
        <w:rPr>
          <w:sz w:val="23"/>
          <w:szCs w:val="23"/>
        </w:rPr>
        <w:t>4</w:t>
      </w:r>
      <w:r w:rsidR="006B5668">
        <w:rPr>
          <w:sz w:val="23"/>
          <w:szCs w:val="23"/>
        </w:rPr>
        <w:t xml:space="preserve"> activities </w:t>
      </w:r>
      <w:r w:rsidR="00FE612E">
        <w:rPr>
          <w:sz w:val="23"/>
          <w:szCs w:val="23"/>
        </w:rPr>
        <w:t xml:space="preserve">currently being implemented. </w:t>
      </w:r>
      <w:r w:rsidR="006B5668">
        <w:rPr>
          <w:sz w:val="23"/>
          <w:szCs w:val="23"/>
        </w:rPr>
        <w:t xml:space="preserve"> </w:t>
      </w:r>
      <w:r w:rsidR="002421E9" w:rsidRPr="0070135D">
        <w:rPr>
          <w:b/>
          <w:i/>
          <w:sz w:val="23"/>
          <w:szCs w:val="23"/>
        </w:rPr>
        <w:t xml:space="preserve">Active </w:t>
      </w:r>
      <w:r w:rsidR="006B5668" w:rsidRPr="0070135D">
        <w:rPr>
          <w:b/>
          <w:i/>
          <w:sz w:val="23"/>
          <w:szCs w:val="23"/>
        </w:rPr>
        <w:t>engagement</w:t>
      </w:r>
      <w:r w:rsidR="002421E9" w:rsidRPr="0070135D">
        <w:rPr>
          <w:b/>
          <w:i/>
          <w:sz w:val="23"/>
          <w:szCs w:val="23"/>
        </w:rPr>
        <w:t xml:space="preserve"> with the region’s judicial leadership at the Chief Justice</w:t>
      </w:r>
      <w:r w:rsidR="006B5668" w:rsidRPr="0070135D">
        <w:rPr>
          <w:b/>
          <w:i/>
          <w:sz w:val="23"/>
          <w:szCs w:val="23"/>
        </w:rPr>
        <w:t xml:space="preserve">-level also </w:t>
      </w:r>
      <w:r w:rsidR="002421E9" w:rsidRPr="0070135D">
        <w:rPr>
          <w:b/>
          <w:i/>
          <w:sz w:val="23"/>
          <w:szCs w:val="23"/>
        </w:rPr>
        <w:t>continue</w:t>
      </w:r>
      <w:r w:rsidR="006B5668" w:rsidRPr="0070135D">
        <w:rPr>
          <w:b/>
          <w:i/>
          <w:sz w:val="23"/>
          <w:szCs w:val="23"/>
        </w:rPr>
        <w:t>d</w:t>
      </w:r>
      <w:r w:rsidR="002421E9" w:rsidRPr="0070135D">
        <w:rPr>
          <w:b/>
          <w:i/>
          <w:sz w:val="23"/>
          <w:szCs w:val="23"/>
        </w:rPr>
        <w:t>.</w:t>
      </w:r>
      <w:r w:rsidR="009234AE" w:rsidRPr="0070135D">
        <w:rPr>
          <w:b/>
          <w:i/>
          <w:sz w:val="23"/>
          <w:szCs w:val="23"/>
        </w:rPr>
        <w:t xml:space="preserve"> Implementation of the 24-month Extension Plan is </w:t>
      </w:r>
      <w:r w:rsidR="005315C8">
        <w:rPr>
          <w:b/>
          <w:i/>
          <w:sz w:val="23"/>
          <w:szCs w:val="23"/>
        </w:rPr>
        <w:t xml:space="preserve">fully </w:t>
      </w:r>
      <w:r w:rsidR="009234AE" w:rsidRPr="0070135D">
        <w:rPr>
          <w:b/>
          <w:i/>
          <w:sz w:val="23"/>
          <w:szCs w:val="23"/>
        </w:rPr>
        <w:t xml:space="preserve">on track to deliver </w:t>
      </w:r>
      <w:r w:rsidR="00254F81" w:rsidRPr="0070135D">
        <w:rPr>
          <w:b/>
          <w:i/>
          <w:sz w:val="23"/>
          <w:szCs w:val="23"/>
        </w:rPr>
        <w:t>activities in</w:t>
      </w:r>
      <w:r w:rsidR="006B5668" w:rsidRPr="0070135D">
        <w:rPr>
          <w:b/>
          <w:i/>
          <w:sz w:val="23"/>
          <w:szCs w:val="23"/>
        </w:rPr>
        <w:t>-</w:t>
      </w:r>
      <w:r w:rsidR="00254F81" w:rsidRPr="0070135D">
        <w:rPr>
          <w:b/>
          <w:i/>
          <w:sz w:val="23"/>
          <w:szCs w:val="23"/>
        </w:rPr>
        <w:t>line with the schedule</w:t>
      </w:r>
      <w:r w:rsidR="006B5668" w:rsidRPr="0070135D">
        <w:rPr>
          <w:b/>
          <w:i/>
          <w:sz w:val="23"/>
          <w:szCs w:val="23"/>
        </w:rPr>
        <w:t xml:space="preserve"> approved at the PEC and Chief Justices</w:t>
      </w:r>
      <w:r w:rsidR="00DE35B6" w:rsidRPr="0070135D">
        <w:rPr>
          <w:b/>
          <w:i/>
          <w:sz w:val="23"/>
          <w:szCs w:val="23"/>
        </w:rPr>
        <w:t>’</w:t>
      </w:r>
      <w:r w:rsidR="006B5668" w:rsidRPr="0070135D">
        <w:rPr>
          <w:b/>
          <w:i/>
          <w:sz w:val="23"/>
          <w:szCs w:val="23"/>
        </w:rPr>
        <w:t xml:space="preserve"> meetings in Auckland in March 2014</w:t>
      </w:r>
      <w:r w:rsidR="005315C8">
        <w:rPr>
          <w:b/>
          <w:i/>
          <w:sz w:val="23"/>
          <w:szCs w:val="23"/>
        </w:rPr>
        <w:t>, on-time and within budget</w:t>
      </w:r>
      <w:r w:rsidR="00254F81" w:rsidRPr="0070135D">
        <w:rPr>
          <w:b/>
          <w:i/>
          <w:sz w:val="23"/>
          <w:szCs w:val="23"/>
        </w:rPr>
        <w:t>.</w:t>
      </w:r>
    </w:p>
    <w:p w14:paraId="330D5479" w14:textId="77777777" w:rsidR="002421E9" w:rsidRPr="00441E66" w:rsidRDefault="002421E9" w:rsidP="00ED3B5C">
      <w:pPr>
        <w:rPr>
          <w:sz w:val="16"/>
          <w:szCs w:val="23"/>
        </w:rPr>
      </w:pPr>
    </w:p>
    <w:p w14:paraId="216E7037" w14:textId="77777777" w:rsidR="00D26A75" w:rsidRDefault="006B5668" w:rsidP="00ED3B5C">
      <w:pPr>
        <w:rPr>
          <w:sz w:val="23"/>
          <w:szCs w:val="23"/>
        </w:rPr>
      </w:pPr>
      <w:r>
        <w:rPr>
          <w:sz w:val="23"/>
          <w:szCs w:val="23"/>
        </w:rPr>
        <w:t xml:space="preserve">Since the beginning of </w:t>
      </w:r>
      <w:r w:rsidR="00254F81">
        <w:rPr>
          <w:sz w:val="23"/>
          <w:szCs w:val="23"/>
        </w:rPr>
        <w:t>January 2014</w:t>
      </w:r>
      <w:r>
        <w:rPr>
          <w:sz w:val="23"/>
          <w:szCs w:val="23"/>
        </w:rPr>
        <w:t>,</w:t>
      </w:r>
      <w:r w:rsidR="00254F81">
        <w:rPr>
          <w:sz w:val="23"/>
          <w:szCs w:val="23"/>
        </w:rPr>
        <w:t xml:space="preserve"> </w:t>
      </w:r>
      <w:r w:rsidR="00121F57">
        <w:rPr>
          <w:sz w:val="23"/>
          <w:szCs w:val="23"/>
        </w:rPr>
        <w:t>seven</w:t>
      </w:r>
      <w:r w:rsidR="002421E9">
        <w:rPr>
          <w:sz w:val="23"/>
          <w:szCs w:val="23"/>
        </w:rPr>
        <w:t xml:space="preserve"> </w:t>
      </w:r>
      <w:r w:rsidR="00254F81">
        <w:rPr>
          <w:sz w:val="23"/>
          <w:szCs w:val="23"/>
        </w:rPr>
        <w:t xml:space="preserve">additional </w:t>
      </w:r>
      <w:r w:rsidR="00416AAC">
        <w:rPr>
          <w:sz w:val="23"/>
          <w:szCs w:val="23"/>
        </w:rPr>
        <w:t xml:space="preserve">draft </w:t>
      </w:r>
      <w:r w:rsidR="002421E9">
        <w:rPr>
          <w:sz w:val="23"/>
          <w:szCs w:val="23"/>
        </w:rPr>
        <w:t xml:space="preserve">toolkits have been </w:t>
      </w:r>
      <w:r w:rsidR="00416AAC">
        <w:rPr>
          <w:sz w:val="23"/>
          <w:szCs w:val="23"/>
        </w:rPr>
        <w:t>developed</w:t>
      </w:r>
      <w:r w:rsidR="00197A47">
        <w:rPr>
          <w:sz w:val="23"/>
          <w:szCs w:val="23"/>
        </w:rPr>
        <w:t>,</w:t>
      </w:r>
      <w:r w:rsidR="00F36D98">
        <w:rPr>
          <w:sz w:val="23"/>
          <w:szCs w:val="23"/>
        </w:rPr>
        <w:t xml:space="preserve"> </w:t>
      </w:r>
      <w:r w:rsidR="0070135D">
        <w:rPr>
          <w:sz w:val="23"/>
          <w:szCs w:val="23"/>
        </w:rPr>
        <w:t>these are the</w:t>
      </w:r>
      <w:r w:rsidR="00F36D98">
        <w:rPr>
          <w:sz w:val="23"/>
          <w:szCs w:val="23"/>
        </w:rPr>
        <w:t>:</w:t>
      </w:r>
      <w:r w:rsidR="00254F81">
        <w:rPr>
          <w:sz w:val="23"/>
          <w:szCs w:val="23"/>
        </w:rPr>
        <w:t xml:space="preserve"> </w:t>
      </w:r>
      <w:r w:rsidR="0070135D">
        <w:rPr>
          <w:sz w:val="23"/>
          <w:szCs w:val="23"/>
        </w:rPr>
        <w:t>Delay Reduction Toolkit</w:t>
      </w:r>
      <w:r w:rsidR="00F36D98">
        <w:rPr>
          <w:sz w:val="23"/>
          <w:szCs w:val="23"/>
        </w:rPr>
        <w:t xml:space="preserve">; </w:t>
      </w:r>
      <w:r w:rsidR="0070135D">
        <w:rPr>
          <w:sz w:val="23"/>
          <w:szCs w:val="23"/>
        </w:rPr>
        <w:t>Enabling Rights</w:t>
      </w:r>
      <w:r w:rsidR="0070135D" w:rsidRPr="0070135D">
        <w:rPr>
          <w:sz w:val="23"/>
          <w:szCs w:val="23"/>
        </w:rPr>
        <w:t xml:space="preserve"> </w:t>
      </w:r>
      <w:r w:rsidR="0070135D">
        <w:rPr>
          <w:sz w:val="23"/>
          <w:szCs w:val="23"/>
        </w:rPr>
        <w:t>Toolkit</w:t>
      </w:r>
      <w:r w:rsidR="00F36D98">
        <w:rPr>
          <w:sz w:val="23"/>
          <w:szCs w:val="23"/>
        </w:rPr>
        <w:t xml:space="preserve">; </w:t>
      </w:r>
      <w:r w:rsidR="0070135D">
        <w:rPr>
          <w:sz w:val="23"/>
          <w:szCs w:val="23"/>
        </w:rPr>
        <w:t>Trainers’</w:t>
      </w:r>
      <w:r w:rsidR="0070135D" w:rsidRPr="0070135D">
        <w:rPr>
          <w:sz w:val="23"/>
          <w:szCs w:val="23"/>
        </w:rPr>
        <w:t xml:space="preserve"> </w:t>
      </w:r>
      <w:r w:rsidR="0070135D">
        <w:rPr>
          <w:sz w:val="23"/>
          <w:szCs w:val="23"/>
        </w:rPr>
        <w:t>Toolkit</w:t>
      </w:r>
      <w:r w:rsidR="00121F57">
        <w:rPr>
          <w:sz w:val="23"/>
          <w:szCs w:val="23"/>
        </w:rPr>
        <w:t xml:space="preserve">; </w:t>
      </w:r>
      <w:r w:rsidR="0070135D">
        <w:rPr>
          <w:sz w:val="23"/>
          <w:szCs w:val="23"/>
        </w:rPr>
        <w:t>Project Management</w:t>
      </w:r>
      <w:r w:rsidR="0070135D" w:rsidRPr="0070135D">
        <w:rPr>
          <w:sz w:val="23"/>
          <w:szCs w:val="23"/>
        </w:rPr>
        <w:t xml:space="preserve"> </w:t>
      </w:r>
      <w:r w:rsidR="0070135D">
        <w:rPr>
          <w:sz w:val="23"/>
          <w:szCs w:val="23"/>
        </w:rPr>
        <w:t>Toolkit</w:t>
      </w:r>
      <w:r w:rsidR="00F36D98">
        <w:rPr>
          <w:sz w:val="23"/>
          <w:szCs w:val="23"/>
        </w:rPr>
        <w:t xml:space="preserve">; </w:t>
      </w:r>
      <w:r w:rsidR="0070135D">
        <w:rPr>
          <w:sz w:val="23"/>
          <w:szCs w:val="23"/>
        </w:rPr>
        <w:t>Complaints Handling</w:t>
      </w:r>
      <w:r w:rsidR="0070135D" w:rsidRPr="0070135D">
        <w:rPr>
          <w:sz w:val="23"/>
          <w:szCs w:val="23"/>
        </w:rPr>
        <w:t xml:space="preserve"> </w:t>
      </w:r>
      <w:r w:rsidR="0070135D">
        <w:rPr>
          <w:sz w:val="23"/>
          <w:szCs w:val="23"/>
        </w:rPr>
        <w:t>Toolkit</w:t>
      </w:r>
      <w:r w:rsidR="00F36D98">
        <w:rPr>
          <w:sz w:val="23"/>
          <w:szCs w:val="23"/>
        </w:rPr>
        <w:t xml:space="preserve">; </w:t>
      </w:r>
      <w:r w:rsidR="0070135D">
        <w:rPr>
          <w:sz w:val="23"/>
          <w:szCs w:val="23"/>
        </w:rPr>
        <w:t>Local Decision Making</w:t>
      </w:r>
      <w:r w:rsidR="0070135D" w:rsidRPr="0070135D">
        <w:rPr>
          <w:sz w:val="23"/>
          <w:szCs w:val="23"/>
        </w:rPr>
        <w:t xml:space="preserve"> </w:t>
      </w:r>
      <w:r w:rsidR="0070135D">
        <w:rPr>
          <w:sz w:val="23"/>
          <w:szCs w:val="23"/>
        </w:rPr>
        <w:t>Toolkit</w:t>
      </w:r>
      <w:r w:rsidR="00F36D98">
        <w:rPr>
          <w:sz w:val="23"/>
          <w:szCs w:val="23"/>
        </w:rPr>
        <w:t>;</w:t>
      </w:r>
      <w:r w:rsidR="00254F81">
        <w:rPr>
          <w:sz w:val="23"/>
          <w:szCs w:val="23"/>
        </w:rPr>
        <w:t xml:space="preserve"> and </w:t>
      </w:r>
      <w:r w:rsidR="0070135D">
        <w:rPr>
          <w:sz w:val="23"/>
          <w:szCs w:val="23"/>
        </w:rPr>
        <w:t>Local Orientation Toolkit</w:t>
      </w:r>
      <w:r w:rsidR="00254F81">
        <w:rPr>
          <w:sz w:val="23"/>
          <w:szCs w:val="23"/>
        </w:rPr>
        <w:t xml:space="preserve">. </w:t>
      </w:r>
      <w:r w:rsidR="0092092F">
        <w:rPr>
          <w:sz w:val="23"/>
          <w:szCs w:val="23"/>
        </w:rPr>
        <w:t xml:space="preserve"> </w:t>
      </w:r>
      <w:r w:rsidR="00121F57">
        <w:rPr>
          <w:sz w:val="23"/>
          <w:szCs w:val="23"/>
        </w:rPr>
        <w:t xml:space="preserve">Two </w:t>
      </w:r>
      <w:r w:rsidR="00416AAC">
        <w:rPr>
          <w:sz w:val="23"/>
          <w:szCs w:val="23"/>
        </w:rPr>
        <w:t xml:space="preserve">of these both the </w:t>
      </w:r>
      <w:r w:rsidR="0070135D">
        <w:rPr>
          <w:sz w:val="23"/>
          <w:szCs w:val="23"/>
        </w:rPr>
        <w:t xml:space="preserve">Trainers’ </w:t>
      </w:r>
      <w:r w:rsidR="00121F57">
        <w:rPr>
          <w:sz w:val="23"/>
          <w:szCs w:val="23"/>
        </w:rPr>
        <w:t xml:space="preserve">and </w:t>
      </w:r>
      <w:r w:rsidR="0070135D">
        <w:rPr>
          <w:sz w:val="23"/>
          <w:szCs w:val="23"/>
        </w:rPr>
        <w:t>Local Orientation Toolkits</w:t>
      </w:r>
      <w:r w:rsidR="00121F57">
        <w:rPr>
          <w:sz w:val="23"/>
          <w:szCs w:val="23"/>
        </w:rPr>
        <w:t xml:space="preserve"> have now </w:t>
      </w:r>
      <w:r w:rsidR="00F36D98">
        <w:rPr>
          <w:sz w:val="23"/>
          <w:szCs w:val="23"/>
        </w:rPr>
        <w:t>been piloted, with piloting of the remaining draft toolkits either in progress</w:t>
      </w:r>
      <w:r w:rsidR="00121F57" w:rsidRPr="00121F57">
        <w:rPr>
          <w:sz w:val="23"/>
          <w:szCs w:val="23"/>
        </w:rPr>
        <w:t xml:space="preserve"> </w:t>
      </w:r>
      <w:r w:rsidR="00121F57">
        <w:rPr>
          <w:sz w:val="23"/>
          <w:szCs w:val="23"/>
        </w:rPr>
        <w:t>or planned</w:t>
      </w:r>
      <w:r w:rsidR="00F36D98">
        <w:rPr>
          <w:sz w:val="23"/>
          <w:szCs w:val="23"/>
        </w:rPr>
        <w:t xml:space="preserve">. </w:t>
      </w:r>
      <w:r w:rsidR="00254F81">
        <w:rPr>
          <w:sz w:val="23"/>
          <w:szCs w:val="23"/>
        </w:rPr>
        <w:t>The original six t</w:t>
      </w:r>
      <w:r w:rsidR="00121F57">
        <w:rPr>
          <w:sz w:val="23"/>
          <w:szCs w:val="23"/>
        </w:rPr>
        <w:t>oolkits launched in June</w:t>
      </w:r>
      <w:r w:rsidR="002421E9">
        <w:rPr>
          <w:sz w:val="23"/>
          <w:szCs w:val="23"/>
        </w:rPr>
        <w:t xml:space="preserve"> 2013 are </w:t>
      </w:r>
      <w:r w:rsidR="00BC7DFF">
        <w:rPr>
          <w:sz w:val="23"/>
          <w:szCs w:val="23"/>
        </w:rPr>
        <w:t xml:space="preserve">being </w:t>
      </w:r>
      <w:r w:rsidR="002421E9">
        <w:rPr>
          <w:sz w:val="23"/>
          <w:szCs w:val="23"/>
        </w:rPr>
        <w:t>review</w:t>
      </w:r>
      <w:r w:rsidR="00BC7DFF">
        <w:rPr>
          <w:sz w:val="23"/>
          <w:szCs w:val="23"/>
        </w:rPr>
        <w:t>ed</w:t>
      </w:r>
      <w:r w:rsidR="002421E9">
        <w:rPr>
          <w:sz w:val="23"/>
          <w:szCs w:val="23"/>
        </w:rPr>
        <w:t xml:space="preserve"> and </w:t>
      </w:r>
      <w:r w:rsidR="00254F81">
        <w:rPr>
          <w:sz w:val="23"/>
          <w:szCs w:val="23"/>
        </w:rPr>
        <w:t>refine</w:t>
      </w:r>
      <w:r w:rsidR="00BC7DFF">
        <w:rPr>
          <w:sz w:val="23"/>
          <w:szCs w:val="23"/>
        </w:rPr>
        <w:t>d</w:t>
      </w:r>
      <w:r w:rsidR="002421E9" w:rsidRPr="002421E9">
        <w:rPr>
          <w:sz w:val="23"/>
          <w:szCs w:val="23"/>
        </w:rPr>
        <w:t>.</w:t>
      </w:r>
      <w:r w:rsidR="002421E9">
        <w:rPr>
          <w:sz w:val="23"/>
          <w:szCs w:val="23"/>
        </w:rPr>
        <w:t xml:space="preserve"> </w:t>
      </w:r>
    </w:p>
    <w:p w14:paraId="24D3A1AF" w14:textId="77777777" w:rsidR="00D26A75" w:rsidRDefault="00D26A75" w:rsidP="00ED3B5C">
      <w:pPr>
        <w:rPr>
          <w:sz w:val="23"/>
          <w:szCs w:val="23"/>
        </w:rPr>
      </w:pPr>
    </w:p>
    <w:p w14:paraId="65EE76C9" w14:textId="77777777" w:rsidR="00ED3B5C" w:rsidRDefault="00C83053" w:rsidP="00ED3B5C">
      <w:pPr>
        <w:rPr>
          <w:sz w:val="23"/>
          <w:szCs w:val="23"/>
        </w:rPr>
      </w:pPr>
      <w:r>
        <w:rPr>
          <w:sz w:val="23"/>
          <w:szCs w:val="23"/>
        </w:rPr>
        <w:t>Further details of active</w:t>
      </w:r>
      <w:r w:rsidR="00B02D63">
        <w:rPr>
          <w:sz w:val="23"/>
          <w:szCs w:val="23"/>
        </w:rPr>
        <w:t xml:space="preserve"> PJDP</w:t>
      </w:r>
      <w:r>
        <w:rPr>
          <w:sz w:val="23"/>
          <w:szCs w:val="23"/>
        </w:rPr>
        <w:t xml:space="preserve"> projects are provided below</w:t>
      </w:r>
      <w:r w:rsidR="00B02D63">
        <w:rPr>
          <w:sz w:val="23"/>
          <w:szCs w:val="23"/>
        </w:rPr>
        <w:t>.</w:t>
      </w:r>
      <w:r w:rsidR="00AB1A56">
        <w:rPr>
          <w:rStyle w:val="FootnoteReference"/>
          <w:sz w:val="23"/>
          <w:szCs w:val="23"/>
        </w:rPr>
        <w:footnoteReference w:id="1"/>
      </w:r>
      <w:r>
        <w:rPr>
          <w:sz w:val="23"/>
          <w:szCs w:val="23"/>
        </w:rPr>
        <w:t xml:space="preserve"> </w:t>
      </w:r>
    </w:p>
    <w:p w14:paraId="084FF06A" w14:textId="77777777" w:rsidR="0039412B" w:rsidRPr="00441E66" w:rsidRDefault="0039412B" w:rsidP="00F45065">
      <w:pPr>
        <w:rPr>
          <w:sz w:val="16"/>
          <w:szCs w:val="23"/>
        </w:rPr>
      </w:pPr>
    </w:p>
    <w:p w14:paraId="7DC6BB7D" w14:textId="77777777" w:rsidR="0039412B" w:rsidRDefault="0039412B" w:rsidP="00BA4968">
      <w:pPr>
        <w:pStyle w:val="Heading2"/>
        <w:numPr>
          <w:ilvl w:val="0"/>
          <w:numId w:val="40"/>
        </w:numPr>
        <w:ind w:hanging="720"/>
      </w:pPr>
      <w:bookmarkStart w:id="32" w:name="_Toc391469718"/>
      <w:r w:rsidRPr="006D7204">
        <w:t>Component One: Access to Justice</w:t>
      </w:r>
      <w:bookmarkEnd w:id="32"/>
    </w:p>
    <w:p w14:paraId="4C13B853" w14:textId="77777777" w:rsidR="0039412B" w:rsidRPr="00441E66" w:rsidRDefault="0039412B" w:rsidP="002F48D6">
      <w:pPr>
        <w:rPr>
          <w:sz w:val="10"/>
          <w:szCs w:val="23"/>
        </w:rPr>
      </w:pPr>
    </w:p>
    <w:bookmarkStart w:id="33" w:name="_Toc391469719"/>
    <w:p w14:paraId="2B932331" w14:textId="3D75D349" w:rsidR="0039412B" w:rsidRPr="00A90950" w:rsidRDefault="00416AAC" w:rsidP="00BA4968">
      <w:pPr>
        <w:pStyle w:val="Heading3"/>
        <w:numPr>
          <w:ilvl w:val="0"/>
          <w:numId w:val="49"/>
        </w:numPr>
        <w:spacing w:after="120"/>
        <w:ind w:hanging="720"/>
        <w:rPr>
          <w:sz w:val="23"/>
          <w:szCs w:val="23"/>
        </w:rPr>
      </w:pPr>
      <w:r>
        <w:rPr>
          <w:noProof/>
          <w:highlight w:val="yellow"/>
          <w:lang w:val="en-AU" w:eastAsia="en-AU"/>
        </w:rPr>
        <mc:AlternateContent>
          <mc:Choice Requires="wps">
            <w:drawing>
              <wp:anchor distT="0" distB="0" distL="114300" distR="114300" simplePos="0" relativeHeight="251649536" behindDoc="1" locked="0" layoutInCell="1" allowOverlap="1" wp14:anchorId="78132551" wp14:editId="69C4C992">
                <wp:simplePos x="0" y="0"/>
                <wp:positionH relativeFrom="column">
                  <wp:posOffset>3489325</wp:posOffset>
                </wp:positionH>
                <wp:positionV relativeFrom="paragraph">
                  <wp:posOffset>142875</wp:posOffset>
                </wp:positionV>
                <wp:extent cx="2194560" cy="1148080"/>
                <wp:effectExtent l="0" t="0" r="91440" b="90170"/>
                <wp:wrapTight wrapText="bothSides">
                  <wp:wrapPolygon edited="0">
                    <wp:start x="0" y="0"/>
                    <wp:lineTo x="0" y="21863"/>
                    <wp:lineTo x="375" y="22938"/>
                    <wp:lineTo x="22313" y="22938"/>
                    <wp:lineTo x="22313" y="1434"/>
                    <wp:lineTo x="21938" y="0"/>
                    <wp:lineTo x="0" y="0"/>
                  </wp:wrapPolygon>
                </wp:wrapTight>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148080"/>
                        </a:xfrm>
                        <a:prstGeom prst="rect">
                          <a:avLst/>
                        </a:prstGeom>
                        <a:solidFill>
                          <a:srgbClr val="1F497D">
                            <a:lumMod val="20000"/>
                            <a:lumOff val="80000"/>
                          </a:srgbClr>
                        </a:solidFill>
                        <a:ln w="6350">
                          <a:solidFill>
                            <a:srgbClr val="969696"/>
                          </a:solidFill>
                          <a:miter lim="800000"/>
                          <a:headEnd/>
                          <a:tailEnd/>
                        </a:ln>
                        <a:effectLst>
                          <a:outerShdw dist="107763" dir="2700000" algn="ctr" rotWithShape="0">
                            <a:srgbClr val="808080">
                              <a:alpha val="50000"/>
                            </a:srgbClr>
                          </a:outerShdw>
                        </a:effectLst>
                      </wps:spPr>
                      <wps:txbx>
                        <w:txbxContent>
                          <w:p w14:paraId="130468AA" w14:textId="77777777" w:rsidR="0070135D" w:rsidRPr="001731C9" w:rsidRDefault="0070135D" w:rsidP="001731C9">
                            <w:pPr>
                              <w:pStyle w:val="Default"/>
                              <w:jc w:val="center"/>
                              <w:rPr>
                                <w:rFonts w:ascii="Garamond" w:hAnsi="Garamond"/>
                                <w:i/>
                                <w:iCs/>
                              </w:rPr>
                            </w:pPr>
                            <w:r w:rsidRPr="001731C9">
                              <w:rPr>
                                <w:rFonts w:ascii="Garamond" w:hAnsi="Garamond"/>
                                <w:i/>
                              </w:rPr>
                              <w:t>“This workshop seriously ensures to all participants (and stakeholders) that the implementation of the Family Act is a critical step for Tonga.</w:t>
                            </w:r>
                            <w:r w:rsidRPr="001731C9">
                              <w:rPr>
                                <w:rFonts w:ascii="Garamond" w:hAnsi="Garamond"/>
                                <w:i/>
                                <w:iCs/>
                              </w:rPr>
                              <w:t>”</w:t>
                            </w:r>
                          </w:p>
                          <w:p w14:paraId="2B3002DF" w14:textId="77777777" w:rsidR="0070135D" w:rsidRPr="00840D5E" w:rsidRDefault="0070135D" w:rsidP="00840D5E">
                            <w:pPr>
                              <w:jc w:val="center"/>
                              <w:rPr>
                                <w:sz w:val="10"/>
                                <w:szCs w:val="10"/>
                              </w:rPr>
                            </w:pPr>
                          </w:p>
                          <w:p w14:paraId="6BEAF8EE" w14:textId="77777777" w:rsidR="0070135D" w:rsidRPr="00840D5E" w:rsidRDefault="0070135D" w:rsidP="00840D5E">
                            <w:pPr>
                              <w:jc w:val="center"/>
                              <w:rPr>
                                <w:sz w:val="20"/>
                                <w:szCs w:val="20"/>
                              </w:rPr>
                            </w:pPr>
                            <w:r>
                              <w:rPr>
                                <w:sz w:val="20"/>
                                <w:szCs w:val="20"/>
                              </w:rPr>
                              <w:t>Participant f</w:t>
                            </w:r>
                            <w:r w:rsidRPr="00840D5E">
                              <w:rPr>
                                <w:sz w:val="20"/>
                                <w:szCs w:val="20"/>
                              </w:rPr>
                              <w:t xml:space="preserve">eedback from Tonga </w:t>
                            </w:r>
                            <w:r>
                              <w:rPr>
                                <w:sz w:val="20"/>
                                <w:szCs w:val="20"/>
                              </w:rPr>
                              <w:t xml:space="preserve">       Follow-up Visit</w:t>
                            </w:r>
                            <w:r w:rsidRPr="00840D5E">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8132551" id="_x0000_t202" coordsize="21600,21600" o:spt="202" path="m,l,21600r21600,l21600,xe">
                <v:stroke joinstyle="miter"/>
                <v:path gradientshapeok="t" o:connecttype="rect"/>
              </v:shapetype>
              <v:shape id="Text Box 9" o:spid="_x0000_s1026" type="#_x0000_t202" style="position:absolute;left:0;text-align:left;margin-left:274.75pt;margin-top:11.25pt;width:172.8pt;height:90.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" fillcolor="#c6d9f1" strokecolor="#969696" strokeweight=".5pt">
                <v:shadow on="t" opacity=".5" offset="6pt,6pt"/>
                <v:textbox>
                  <w:txbxContent>
                    <w:p w14:paraId="130468AA" w14:textId="77777777" w:rsidR="0070135D" w:rsidRPr="001731C9" w:rsidRDefault="0070135D" w:rsidP="001731C9">
                      <w:pPr>
                        <w:pStyle w:val="Default"/>
                        <w:jc w:val="center"/>
                        <w:rPr>
                          <w:rFonts w:ascii="Garamond" w:hAnsi="Garamond"/>
                          <w:i/>
                          <w:iCs/>
                        </w:rPr>
                      </w:pPr>
                      <w:r w:rsidRPr="001731C9">
                        <w:rPr>
                          <w:rFonts w:ascii="Garamond" w:hAnsi="Garamond"/>
                          <w:i/>
                        </w:rPr>
                        <w:t>“This workshop seriously ensures to all participants (and stakeholders) that the implementation of the Family Act is a critical step for Tonga.</w:t>
                      </w:r>
                      <w:r w:rsidRPr="001731C9">
                        <w:rPr>
                          <w:rFonts w:ascii="Garamond" w:hAnsi="Garamond"/>
                          <w:i/>
                          <w:iCs/>
                        </w:rPr>
                        <w:t>”</w:t>
                      </w:r>
                    </w:p>
                    <w:p w14:paraId="2B3002DF" w14:textId="77777777" w:rsidR="0070135D" w:rsidRPr="00840D5E" w:rsidRDefault="0070135D" w:rsidP="00840D5E">
                      <w:pPr>
                        <w:jc w:val="center"/>
                        <w:rPr>
                          <w:sz w:val="10"/>
                          <w:szCs w:val="10"/>
                        </w:rPr>
                      </w:pPr>
                    </w:p>
                    <w:p w14:paraId="6BEAF8EE" w14:textId="77777777" w:rsidR="0070135D" w:rsidRPr="00840D5E" w:rsidRDefault="0070135D" w:rsidP="00840D5E">
                      <w:pPr>
                        <w:jc w:val="center"/>
                        <w:rPr>
                          <w:sz w:val="20"/>
                          <w:szCs w:val="20"/>
                        </w:rPr>
                      </w:pPr>
                      <w:r>
                        <w:rPr>
                          <w:sz w:val="20"/>
                          <w:szCs w:val="20"/>
                        </w:rPr>
                        <w:t>Participant f</w:t>
                      </w:r>
                      <w:r w:rsidRPr="00840D5E">
                        <w:rPr>
                          <w:sz w:val="20"/>
                          <w:szCs w:val="20"/>
                        </w:rPr>
                        <w:t xml:space="preserve">eedback from Tonga </w:t>
                      </w:r>
                      <w:r>
                        <w:rPr>
                          <w:sz w:val="20"/>
                          <w:szCs w:val="20"/>
                        </w:rPr>
                        <w:t xml:space="preserve">       Follow-up Visit</w:t>
                      </w:r>
                      <w:r w:rsidRPr="00840D5E">
                        <w:rPr>
                          <w:sz w:val="20"/>
                          <w:szCs w:val="20"/>
                        </w:rPr>
                        <w:t xml:space="preserve"> </w:t>
                      </w:r>
                    </w:p>
                  </w:txbxContent>
                </v:textbox>
                <w10:wrap type="tight"/>
              </v:shape>
            </w:pict>
          </mc:Fallback>
        </mc:AlternateContent>
      </w:r>
      <w:r w:rsidR="0039412B" w:rsidRPr="00A90950">
        <w:rPr>
          <w:sz w:val="23"/>
          <w:szCs w:val="23"/>
        </w:rPr>
        <w:t>Family Violence / Youth Justice</w:t>
      </w:r>
      <w:r w:rsidR="00C83053">
        <w:rPr>
          <w:sz w:val="23"/>
          <w:szCs w:val="23"/>
        </w:rPr>
        <w:t xml:space="preserve"> Awareness Project</w:t>
      </w:r>
      <w:bookmarkEnd w:id="33"/>
    </w:p>
    <w:p w14:paraId="46B9DCE0" w14:textId="77777777" w:rsidR="0039412B" w:rsidRPr="003761C9" w:rsidRDefault="0039412B" w:rsidP="00FF2C4A">
      <w:pPr>
        <w:numPr>
          <w:ilvl w:val="0"/>
          <w:numId w:val="4"/>
        </w:numPr>
        <w:spacing w:before="80"/>
        <w:ind w:left="480" w:hanging="480"/>
        <w:rPr>
          <w:b/>
          <w:i/>
          <w:sz w:val="23"/>
          <w:szCs w:val="23"/>
        </w:rPr>
      </w:pPr>
      <w:r w:rsidRPr="003761C9">
        <w:rPr>
          <w:b/>
          <w:i/>
          <w:sz w:val="23"/>
          <w:szCs w:val="23"/>
        </w:rPr>
        <w:t xml:space="preserve">Status: </w:t>
      </w:r>
      <w:r w:rsidR="003761C9" w:rsidRPr="003761C9">
        <w:rPr>
          <w:sz w:val="23"/>
          <w:szCs w:val="23"/>
        </w:rPr>
        <w:t xml:space="preserve">The </w:t>
      </w:r>
      <w:r w:rsidR="00314BD1">
        <w:rPr>
          <w:sz w:val="23"/>
          <w:szCs w:val="23"/>
        </w:rPr>
        <w:t xml:space="preserve">third </w:t>
      </w:r>
      <w:r w:rsidR="00F63B06" w:rsidRPr="00A90950">
        <w:rPr>
          <w:sz w:val="23"/>
          <w:szCs w:val="23"/>
        </w:rPr>
        <w:t>Family Violence / Youth Justice</w:t>
      </w:r>
      <w:r w:rsidR="00F63B06">
        <w:rPr>
          <w:sz w:val="23"/>
          <w:szCs w:val="23"/>
        </w:rPr>
        <w:t xml:space="preserve"> (</w:t>
      </w:r>
      <w:r w:rsidR="00314BD1">
        <w:rPr>
          <w:sz w:val="23"/>
          <w:szCs w:val="23"/>
        </w:rPr>
        <w:t>FV / YJ</w:t>
      </w:r>
      <w:r w:rsidR="00F63B06">
        <w:rPr>
          <w:sz w:val="23"/>
          <w:szCs w:val="23"/>
        </w:rPr>
        <w:t>)</w:t>
      </w:r>
      <w:r w:rsidR="00314BD1">
        <w:rPr>
          <w:sz w:val="23"/>
          <w:szCs w:val="23"/>
        </w:rPr>
        <w:t xml:space="preserve"> Workshop in the Cook Islands and </w:t>
      </w:r>
      <w:r w:rsidR="003761C9" w:rsidRPr="003761C9">
        <w:rPr>
          <w:sz w:val="23"/>
          <w:szCs w:val="23"/>
        </w:rPr>
        <w:t xml:space="preserve">second </w:t>
      </w:r>
      <w:r w:rsidR="0053435B">
        <w:rPr>
          <w:sz w:val="23"/>
          <w:szCs w:val="23"/>
        </w:rPr>
        <w:t>follow-</w:t>
      </w:r>
      <w:r w:rsidR="003761C9" w:rsidRPr="003761C9">
        <w:rPr>
          <w:sz w:val="23"/>
          <w:szCs w:val="23"/>
        </w:rPr>
        <w:t xml:space="preserve">up </w:t>
      </w:r>
      <w:r w:rsidR="0053435B">
        <w:rPr>
          <w:sz w:val="23"/>
          <w:szCs w:val="23"/>
        </w:rPr>
        <w:t>visit</w:t>
      </w:r>
      <w:r w:rsidR="00314BD1">
        <w:rPr>
          <w:sz w:val="23"/>
          <w:szCs w:val="23"/>
        </w:rPr>
        <w:t xml:space="preserve"> in Tonga were successfully completed</w:t>
      </w:r>
      <w:r w:rsidR="00F63B06">
        <w:rPr>
          <w:sz w:val="23"/>
          <w:szCs w:val="23"/>
        </w:rPr>
        <w:t xml:space="preserve">, and the FV / JY Toolkit </w:t>
      </w:r>
      <w:proofErr w:type="gramStart"/>
      <w:r w:rsidR="00F63B06">
        <w:rPr>
          <w:sz w:val="23"/>
          <w:szCs w:val="23"/>
        </w:rPr>
        <w:t>was</w:t>
      </w:r>
      <w:proofErr w:type="gramEnd"/>
      <w:r w:rsidR="00F63B06">
        <w:rPr>
          <w:sz w:val="23"/>
          <w:szCs w:val="23"/>
        </w:rPr>
        <w:t xml:space="preserve"> updated in light of the ongoing implementation experience</w:t>
      </w:r>
      <w:r w:rsidR="00314BD1">
        <w:rPr>
          <w:sz w:val="23"/>
          <w:szCs w:val="23"/>
        </w:rPr>
        <w:t xml:space="preserve">. </w:t>
      </w:r>
    </w:p>
    <w:p w14:paraId="635B618D" w14:textId="77777777" w:rsidR="00E00B47" w:rsidRDefault="0039412B" w:rsidP="0050570F">
      <w:pPr>
        <w:numPr>
          <w:ilvl w:val="0"/>
          <w:numId w:val="4"/>
        </w:numPr>
        <w:spacing w:before="80"/>
        <w:ind w:left="482" w:hanging="482"/>
        <w:rPr>
          <w:sz w:val="23"/>
          <w:szCs w:val="23"/>
        </w:rPr>
      </w:pPr>
      <w:r w:rsidRPr="00462FD0">
        <w:rPr>
          <w:b/>
          <w:i/>
          <w:sz w:val="23"/>
          <w:szCs w:val="23"/>
        </w:rPr>
        <w:t xml:space="preserve">Summary of progress: </w:t>
      </w:r>
      <w:r w:rsidR="003C15D1" w:rsidRPr="00462FD0">
        <w:rPr>
          <w:sz w:val="23"/>
          <w:szCs w:val="23"/>
        </w:rPr>
        <w:t>since the last periodic report</w:t>
      </w:r>
      <w:r w:rsidR="00805B16">
        <w:rPr>
          <w:sz w:val="23"/>
          <w:szCs w:val="23"/>
        </w:rPr>
        <w:t>,</w:t>
      </w:r>
      <w:r w:rsidR="00805B16" w:rsidRPr="00462FD0">
        <w:rPr>
          <w:sz w:val="23"/>
          <w:szCs w:val="23"/>
        </w:rPr>
        <w:t xml:space="preserve"> </w:t>
      </w:r>
      <w:r w:rsidR="00805B16">
        <w:rPr>
          <w:sz w:val="23"/>
          <w:szCs w:val="23"/>
        </w:rPr>
        <w:t>t</w:t>
      </w:r>
      <w:r w:rsidRPr="00462FD0">
        <w:rPr>
          <w:sz w:val="23"/>
          <w:szCs w:val="23"/>
        </w:rPr>
        <w:t xml:space="preserve">he </w:t>
      </w:r>
      <w:r w:rsidR="00150DC4" w:rsidRPr="00B8650C">
        <w:rPr>
          <w:i/>
          <w:sz w:val="23"/>
          <w:szCs w:val="23"/>
        </w:rPr>
        <w:t xml:space="preserve">Tonga </w:t>
      </w:r>
      <w:r w:rsidR="005074AC" w:rsidRPr="00B8650C">
        <w:rPr>
          <w:i/>
          <w:sz w:val="23"/>
          <w:szCs w:val="23"/>
        </w:rPr>
        <w:t>Follow-</w:t>
      </w:r>
      <w:r w:rsidR="008F7514" w:rsidRPr="00B8650C">
        <w:rPr>
          <w:i/>
          <w:sz w:val="23"/>
          <w:szCs w:val="23"/>
        </w:rPr>
        <w:t xml:space="preserve">up </w:t>
      </w:r>
      <w:r w:rsidR="005074AC" w:rsidRPr="00B8650C">
        <w:rPr>
          <w:i/>
          <w:sz w:val="23"/>
          <w:szCs w:val="23"/>
        </w:rPr>
        <w:t>V</w:t>
      </w:r>
      <w:r w:rsidR="003436E9" w:rsidRPr="00B8650C">
        <w:rPr>
          <w:i/>
          <w:sz w:val="23"/>
          <w:szCs w:val="23"/>
        </w:rPr>
        <w:t>isit</w:t>
      </w:r>
      <w:r w:rsidR="003436E9" w:rsidRPr="00462FD0">
        <w:rPr>
          <w:b/>
          <w:i/>
          <w:sz w:val="23"/>
          <w:szCs w:val="23"/>
        </w:rPr>
        <w:t xml:space="preserve"> </w:t>
      </w:r>
      <w:r w:rsidR="003436E9" w:rsidRPr="00462FD0">
        <w:rPr>
          <w:sz w:val="23"/>
          <w:szCs w:val="23"/>
        </w:rPr>
        <w:t>was undertaken on 28</w:t>
      </w:r>
      <w:r w:rsidR="008F7514" w:rsidRPr="00462FD0">
        <w:rPr>
          <w:sz w:val="23"/>
          <w:szCs w:val="23"/>
        </w:rPr>
        <w:t>-</w:t>
      </w:r>
      <w:r w:rsidR="003436E9" w:rsidRPr="00462FD0">
        <w:rPr>
          <w:sz w:val="23"/>
          <w:szCs w:val="23"/>
        </w:rPr>
        <w:t>29 April, 2014.</w:t>
      </w:r>
      <w:r w:rsidRPr="00462FD0">
        <w:rPr>
          <w:sz w:val="23"/>
          <w:szCs w:val="23"/>
        </w:rPr>
        <w:t xml:space="preserve"> </w:t>
      </w:r>
      <w:r w:rsidR="00805B16">
        <w:rPr>
          <w:sz w:val="23"/>
          <w:szCs w:val="23"/>
        </w:rPr>
        <w:t xml:space="preserve"> </w:t>
      </w:r>
      <w:r w:rsidR="005074AC" w:rsidRPr="00462FD0">
        <w:rPr>
          <w:sz w:val="23"/>
          <w:szCs w:val="23"/>
        </w:rPr>
        <w:t>With the Family Protection Act 2013</w:t>
      </w:r>
      <w:r w:rsidR="00805B16" w:rsidRPr="00805B16">
        <w:rPr>
          <w:sz w:val="23"/>
          <w:szCs w:val="23"/>
        </w:rPr>
        <w:t xml:space="preserve"> </w:t>
      </w:r>
      <w:r w:rsidR="00805B16" w:rsidRPr="00462FD0">
        <w:rPr>
          <w:sz w:val="23"/>
          <w:szCs w:val="23"/>
        </w:rPr>
        <w:t>soon to be introduced</w:t>
      </w:r>
      <w:r w:rsidR="00805B16">
        <w:rPr>
          <w:sz w:val="23"/>
          <w:szCs w:val="23"/>
        </w:rPr>
        <w:t xml:space="preserve"> in Tonga</w:t>
      </w:r>
      <w:r w:rsidR="005074AC" w:rsidRPr="00462FD0">
        <w:rPr>
          <w:sz w:val="23"/>
          <w:szCs w:val="23"/>
        </w:rPr>
        <w:t>, the purpose of the visit was to see whether stakeholders felt that training was adequate and whether there was reasonable confidence in the new family violence legislation. The visit consisted of</w:t>
      </w:r>
      <w:r w:rsidR="00C42684" w:rsidRPr="00462FD0">
        <w:rPr>
          <w:sz w:val="23"/>
          <w:szCs w:val="23"/>
        </w:rPr>
        <w:t xml:space="preserve"> a series of</w:t>
      </w:r>
      <w:r w:rsidR="005074AC" w:rsidRPr="00462FD0">
        <w:rPr>
          <w:sz w:val="23"/>
          <w:szCs w:val="23"/>
        </w:rPr>
        <w:t xml:space="preserve"> individual consultations </w:t>
      </w:r>
      <w:r w:rsidR="00C42684" w:rsidRPr="00462FD0">
        <w:rPr>
          <w:sz w:val="23"/>
          <w:szCs w:val="23"/>
        </w:rPr>
        <w:t xml:space="preserve">as well as a follow-up workshop for 21 participants </w:t>
      </w:r>
      <w:r w:rsidR="005074AC" w:rsidRPr="00462FD0">
        <w:rPr>
          <w:sz w:val="23"/>
          <w:szCs w:val="23"/>
        </w:rPr>
        <w:t xml:space="preserve">who had participated in the </w:t>
      </w:r>
      <w:r w:rsidR="00C42684" w:rsidRPr="00462FD0">
        <w:rPr>
          <w:sz w:val="23"/>
          <w:szCs w:val="23"/>
        </w:rPr>
        <w:t>first in-country</w:t>
      </w:r>
      <w:r w:rsidR="0050570F">
        <w:rPr>
          <w:sz w:val="23"/>
          <w:szCs w:val="23"/>
        </w:rPr>
        <w:t xml:space="preserve"> visit</w:t>
      </w:r>
      <w:r w:rsidR="00C42684" w:rsidRPr="00462FD0">
        <w:rPr>
          <w:sz w:val="23"/>
          <w:szCs w:val="23"/>
        </w:rPr>
        <w:t>.  This workshop</w:t>
      </w:r>
      <w:r w:rsidR="00F95828" w:rsidRPr="00462FD0">
        <w:rPr>
          <w:sz w:val="23"/>
          <w:szCs w:val="23"/>
        </w:rPr>
        <w:t xml:space="preserve"> enabled agencies to</w:t>
      </w:r>
      <w:r w:rsidR="00F926B7" w:rsidRPr="00462FD0">
        <w:rPr>
          <w:sz w:val="23"/>
          <w:szCs w:val="23"/>
        </w:rPr>
        <w:t xml:space="preserve"> discuss</w:t>
      </w:r>
      <w:r w:rsidR="00F95828" w:rsidRPr="00462FD0">
        <w:rPr>
          <w:sz w:val="23"/>
          <w:szCs w:val="23"/>
        </w:rPr>
        <w:t>:</w:t>
      </w:r>
      <w:r w:rsidR="00C42684" w:rsidRPr="00462FD0">
        <w:rPr>
          <w:sz w:val="23"/>
          <w:szCs w:val="23"/>
        </w:rPr>
        <w:t xml:space="preserve"> </w:t>
      </w:r>
      <w:r w:rsidR="005074AC" w:rsidRPr="00462FD0">
        <w:rPr>
          <w:sz w:val="23"/>
          <w:szCs w:val="23"/>
        </w:rPr>
        <w:t xml:space="preserve">the </w:t>
      </w:r>
      <w:r w:rsidR="00840D5E" w:rsidRPr="00462FD0">
        <w:rPr>
          <w:sz w:val="23"/>
          <w:szCs w:val="23"/>
        </w:rPr>
        <w:t xml:space="preserve"> </w:t>
      </w:r>
      <w:r w:rsidR="005074AC" w:rsidRPr="00462FD0">
        <w:rPr>
          <w:sz w:val="23"/>
          <w:szCs w:val="23"/>
        </w:rPr>
        <w:t>‘aspirations document’ develope</w:t>
      </w:r>
      <w:r w:rsidR="00C42684" w:rsidRPr="00462FD0">
        <w:rPr>
          <w:sz w:val="23"/>
          <w:szCs w:val="23"/>
        </w:rPr>
        <w:t>d</w:t>
      </w:r>
      <w:r w:rsidR="00F95828" w:rsidRPr="00462FD0">
        <w:rPr>
          <w:sz w:val="23"/>
          <w:szCs w:val="23"/>
        </w:rPr>
        <w:t xml:space="preserve"> during the first in-country visit;</w:t>
      </w:r>
      <w:r w:rsidR="00C42684" w:rsidRPr="00462FD0">
        <w:rPr>
          <w:sz w:val="23"/>
          <w:szCs w:val="23"/>
        </w:rPr>
        <w:t xml:space="preserve"> </w:t>
      </w:r>
      <w:r w:rsidR="005074AC" w:rsidRPr="00462FD0">
        <w:rPr>
          <w:sz w:val="23"/>
          <w:szCs w:val="23"/>
        </w:rPr>
        <w:t>share information on what training they are conducting on the new legislation</w:t>
      </w:r>
      <w:r w:rsidR="00F95828" w:rsidRPr="00462FD0">
        <w:rPr>
          <w:sz w:val="23"/>
          <w:szCs w:val="23"/>
        </w:rPr>
        <w:t xml:space="preserve">; </w:t>
      </w:r>
      <w:r w:rsidR="005074AC" w:rsidRPr="00462FD0">
        <w:rPr>
          <w:sz w:val="23"/>
          <w:szCs w:val="23"/>
        </w:rPr>
        <w:t>what they need to do to connect well with other agencies</w:t>
      </w:r>
      <w:r w:rsidR="00F95828" w:rsidRPr="00462FD0">
        <w:rPr>
          <w:sz w:val="23"/>
          <w:szCs w:val="23"/>
        </w:rPr>
        <w:t>; and what progress had been made and how participants viewed ‘the way forward’</w:t>
      </w:r>
      <w:r w:rsidR="005074AC" w:rsidRPr="00462FD0">
        <w:rPr>
          <w:sz w:val="23"/>
          <w:szCs w:val="23"/>
        </w:rPr>
        <w:t>.</w:t>
      </w:r>
      <w:r w:rsidR="00F926B7" w:rsidRPr="00462FD0">
        <w:rPr>
          <w:sz w:val="23"/>
          <w:szCs w:val="23"/>
        </w:rPr>
        <w:t xml:space="preserve"> </w:t>
      </w:r>
      <w:r w:rsidR="005074AC" w:rsidRPr="00462FD0">
        <w:rPr>
          <w:sz w:val="23"/>
          <w:szCs w:val="23"/>
        </w:rPr>
        <w:t xml:space="preserve"> </w:t>
      </w:r>
    </w:p>
    <w:p w14:paraId="43BA58CE" w14:textId="77777777" w:rsidR="005074AC" w:rsidRPr="00462FD0" w:rsidRDefault="005074AC" w:rsidP="00E00B47">
      <w:pPr>
        <w:spacing w:before="80"/>
        <w:ind w:left="482"/>
        <w:rPr>
          <w:sz w:val="23"/>
          <w:szCs w:val="23"/>
        </w:rPr>
      </w:pPr>
      <w:r w:rsidRPr="00462FD0">
        <w:rPr>
          <w:sz w:val="23"/>
          <w:szCs w:val="23"/>
        </w:rPr>
        <w:t xml:space="preserve">Formal feedback received indicated a high level of overall satisfaction with the workshop at over 86%, while the combined effectiveness of the facilitators, the </w:t>
      </w:r>
      <w:r w:rsidR="0047420A" w:rsidRPr="00462FD0">
        <w:rPr>
          <w:sz w:val="23"/>
          <w:szCs w:val="23"/>
        </w:rPr>
        <w:t>content,</w:t>
      </w:r>
      <w:r w:rsidRPr="00462FD0">
        <w:rPr>
          <w:sz w:val="23"/>
          <w:szCs w:val="23"/>
        </w:rPr>
        <w:t xml:space="preserve"> and the workshop was ranked at almost 92%. </w:t>
      </w:r>
    </w:p>
    <w:p w14:paraId="5EEDB6F8" w14:textId="4C00BE66" w:rsidR="0039412B" w:rsidRPr="0053435B" w:rsidRDefault="0053435B" w:rsidP="00FF2C4A">
      <w:pPr>
        <w:numPr>
          <w:ilvl w:val="0"/>
          <w:numId w:val="4"/>
        </w:numPr>
        <w:spacing w:before="80"/>
        <w:ind w:left="480" w:hanging="480"/>
        <w:rPr>
          <w:sz w:val="23"/>
          <w:szCs w:val="23"/>
        </w:rPr>
      </w:pPr>
      <w:r w:rsidRPr="0053435B">
        <w:rPr>
          <w:b/>
          <w:i/>
          <w:sz w:val="23"/>
          <w:szCs w:val="23"/>
        </w:rPr>
        <w:lastRenderedPageBreak/>
        <w:t>Next Steps</w:t>
      </w:r>
      <w:r w:rsidR="0039412B" w:rsidRPr="0053435B">
        <w:rPr>
          <w:b/>
          <w:i/>
          <w:sz w:val="23"/>
          <w:szCs w:val="23"/>
        </w:rPr>
        <w:t xml:space="preserve">: </w:t>
      </w:r>
      <w:r w:rsidR="00CA7B77" w:rsidRPr="00CA7B77">
        <w:rPr>
          <w:sz w:val="23"/>
          <w:szCs w:val="23"/>
        </w:rPr>
        <w:t xml:space="preserve">Further </w:t>
      </w:r>
      <w:r w:rsidRPr="0053435B">
        <w:rPr>
          <w:sz w:val="23"/>
          <w:szCs w:val="23"/>
        </w:rPr>
        <w:t xml:space="preserve">FV / YJ Workshops are scheduled for the Solomon Islands in August and </w:t>
      </w:r>
      <w:r w:rsidR="009437D6">
        <w:rPr>
          <w:sz w:val="23"/>
          <w:szCs w:val="23"/>
        </w:rPr>
        <w:t xml:space="preserve">                </w:t>
      </w:r>
      <w:r w:rsidRPr="0053435B">
        <w:rPr>
          <w:sz w:val="23"/>
          <w:szCs w:val="23"/>
        </w:rPr>
        <w:t>Niue in December, 2014</w:t>
      </w:r>
      <w:r w:rsidR="00CA7B77">
        <w:rPr>
          <w:sz w:val="23"/>
          <w:szCs w:val="23"/>
        </w:rPr>
        <w:t>. Follow-</w:t>
      </w:r>
      <w:r w:rsidR="00F63B06">
        <w:rPr>
          <w:sz w:val="23"/>
          <w:szCs w:val="23"/>
        </w:rPr>
        <w:t xml:space="preserve">up </w:t>
      </w:r>
      <w:r w:rsidR="008A1627">
        <w:rPr>
          <w:sz w:val="23"/>
          <w:szCs w:val="23"/>
        </w:rPr>
        <w:t>v</w:t>
      </w:r>
      <w:r w:rsidRPr="0053435B">
        <w:rPr>
          <w:sz w:val="23"/>
          <w:szCs w:val="23"/>
        </w:rPr>
        <w:t>isits for Palau, Cook Islands</w:t>
      </w:r>
      <w:r w:rsidR="00F63B06">
        <w:rPr>
          <w:sz w:val="23"/>
          <w:szCs w:val="23"/>
        </w:rPr>
        <w:t>,</w:t>
      </w:r>
      <w:r w:rsidRPr="0053435B">
        <w:rPr>
          <w:sz w:val="23"/>
          <w:szCs w:val="23"/>
        </w:rPr>
        <w:t xml:space="preserve"> and Solomon Islands are scheduled for later in the year.</w:t>
      </w:r>
    </w:p>
    <w:p w14:paraId="609123A8" w14:textId="77777777" w:rsidR="003436E9" w:rsidRDefault="003436E9" w:rsidP="00C83053">
      <w:pPr>
        <w:spacing w:before="80"/>
        <w:ind w:left="480"/>
        <w:rPr>
          <w:b/>
          <w:i/>
          <w:sz w:val="23"/>
          <w:szCs w:val="23"/>
        </w:rPr>
      </w:pPr>
    </w:p>
    <w:p w14:paraId="3B11BC86" w14:textId="77777777" w:rsidR="00C83053" w:rsidRPr="00A90950" w:rsidRDefault="00C83053" w:rsidP="00C83053">
      <w:pPr>
        <w:pStyle w:val="Heading3"/>
        <w:numPr>
          <w:ilvl w:val="0"/>
          <w:numId w:val="49"/>
        </w:numPr>
        <w:spacing w:after="120"/>
        <w:ind w:hanging="720"/>
        <w:rPr>
          <w:sz w:val="23"/>
          <w:szCs w:val="23"/>
        </w:rPr>
      </w:pPr>
      <w:bookmarkStart w:id="34" w:name="_Toc391469720"/>
      <w:r>
        <w:rPr>
          <w:sz w:val="23"/>
          <w:szCs w:val="23"/>
        </w:rPr>
        <w:t>Enabling Rights Project</w:t>
      </w:r>
      <w:bookmarkEnd w:id="34"/>
    </w:p>
    <w:p w14:paraId="327A2803" w14:textId="77777777" w:rsidR="00C83053" w:rsidRPr="00A5741D" w:rsidRDefault="00C83053" w:rsidP="00C83053">
      <w:pPr>
        <w:numPr>
          <w:ilvl w:val="0"/>
          <w:numId w:val="4"/>
        </w:numPr>
        <w:spacing w:before="80"/>
        <w:ind w:left="480" w:hanging="480"/>
        <w:rPr>
          <w:b/>
          <w:i/>
          <w:sz w:val="23"/>
          <w:szCs w:val="23"/>
        </w:rPr>
      </w:pPr>
      <w:r w:rsidRPr="00A5741D">
        <w:rPr>
          <w:b/>
          <w:i/>
          <w:sz w:val="23"/>
          <w:szCs w:val="23"/>
        </w:rPr>
        <w:t xml:space="preserve">Status: </w:t>
      </w:r>
      <w:r w:rsidR="00A5741D" w:rsidRPr="00A5741D">
        <w:rPr>
          <w:sz w:val="23"/>
          <w:szCs w:val="23"/>
        </w:rPr>
        <w:t>An initial scoping visit was undertaken</w:t>
      </w:r>
      <w:r w:rsidR="00F230C9">
        <w:rPr>
          <w:sz w:val="23"/>
          <w:szCs w:val="23"/>
        </w:rPr>
        <w:t xml:space="preserve"> in Kiribati</w:t>
      </w:r>
      <w:r w:rsidR="00A5741D" w:rsidRPr="00A5741D">
        <w:rPr>
          <w:sz w:val="23"/>
          <w:szCs w:val="23"/>
        </w:rPr>
        <w:t xml:space="preserve"> to inform t</w:t>
      </w:r>
      <w:r w:rsidR="00CA7B77" w:rsidRPr="00A5741D">
        <w:rPr>
          <w:sz w:val="23"/>
          <w:szCs w:val="23"/>
        </w:rPr>
        <w:t xml:space="preserve">he </w:t>
      </w:r>
      <w:r w:rsidR="00A5741D" w:rsidRPr="00A5741D">
        <w:rPr>
          <w:sz w:val="23"/>
          <w:szCs w:val="23"/>
        </w:rPr>
        <w:t xml:space="preserve">draft </w:t>
      </w:r>
      <w:r w:rsidR="00CA7B77" w:rsidRPr="00604306">
        <w:rPr>
          <w:i/>
          <w:sz w:val="23"/>
          <w:szCs w:val="23"/>
        </w:rPr>
        <w:t>Enabling Rights Toolkit</w:t>
      </w:r>
      <w:r w:rsidR="00A5741D" w:rsidRPr="00A5741D">
        <w:rPr>
          <w:sz w:val="23"/>
          <w:szCs w:val="23"/>
        </w:rPr>
        <w:t>.</w:t>
      </w:r>
    </w:p>
    <w:p w14:paraId="135DD1EF" w14:textId="77777777" w:rsidR="00C83053" w:rsidRPr="00F71C27" w:rsidRDefault="00C83053" w:rsidP="00F230C9">
      <w:pPr>
        <w:numPr>
          <w:ilvl w:val="0"/>
          <w:numId w:val="4"/>
        </w:numPr>
        <w:spacing w:before="80"/>
        <w:ind w:left="480" w:hanging="480"/>
        <w:rPr>
          <w:rFonts w:cs="Verdana"/>
          <w:bCs/>
          <w:sz w:val="23"/>
          <w:szCs w:val="23"/>
        </w:rPr>
      </w:pPr>
      <w:r w:rsidRPr="00F230C9">
        <w:rPr>
          <w:rFonts w:cs="Verdana"/>
          <w:b/>
          <w:bCs/>
          <w:i/>
          <w:sz w:val="23"/>
          <w:szCs w:val="23"/>
        </w:rPr>
        <w:t>Summary of progress:</w:t>
      </w:r>
      <w:r w:rsidRPr="00F230C9">
        <w:rPr>
          <w:rFonts w:cs="Verdana"/>
          <w:bCs/>
          <w:sz w:val="23"/>
          <w:szCs w:val="23"/>
        </w:rPr>
        <w:t xml:space="preserve"> </w:t>
      </w:r>
      <w:r w:rsidR="00F230C9" w:rsidRPr="00F230C9">
        <w:rPr>
          <w:rFonts w:cs="Verdana"/>
          <w:bCs/>
          <w:sz w:val="23"/>
          <w:szCs w:val="23"/>
        </w:rPr>
        <w:t xml:space="preserve">The purpose of the Project is to improve the responsiveness of courts to address the needs of marginalised beneficiaries. </w:t>
      </w:r>
      <w:r w:rsidR="0004079B">
        <w:rPr>
          <w:rFonts w:cs="Verdana"/>
          <w:bCs/>
          <w:sz w:val="23"/>
          <w:szCs w:val="23"/>
        </w:rPr>
        <w:t xml:space="preserve"> </w:t>
      </w:r>
      <w:r w:rsidR="00F230C9" w:rsidRPr="00F230C9">
        <w:rPr>
          <w:rFonts w:cs="Verdana"/>
          <w:bCs/>
          <w:sz w:val="23"/>
          <w:szCs w:val="23"/>
        </w:rPr>
        <w:t>From 18</w:t>
      </w:r>
      <w:r w:rsidR="0004079B">
        <w:rPr>
          <w:rFonts w:cs="Verdana"/>
          <w:bCs/>
          <w:sz w:val="23"/>
          <w:szCs w:val="23"/>
        </w:rPr>
        <w:t>-</w:t>
      </w:r>
      <w:r w:rsidR="00F230C9" w:rsidRPr="00F230C9">
        <w:rPr>
          <w:rFonts w:cs="Verdana"/>
          <w:bCs/>
          <w:sz w:val="23"/>
          <w:szCs w:val="23"/>
        </w:rPr>
        <w:t>26 May, 2014</w:t>
      </w:r>
      <w:r w:rsidR="0004079B">
        <w:rPr>
          <w:rFonts w:cs="Verdana"/>
          <w:bCs/>
          <w:sz w:val="23"/>
          <w:szCs w:val="23"/>
        </w:rPr>
        <w:t>,</w:t>
      </w:r>
      <w:r w:rsidR="00F230C9" w:rsidRPr="00F230C9">
        <w:rPr>
          <w:rFonts w:cs="Verdana"/>
          <w:bCs/>
          <w:sz w:val="23"/>
          <w:szCs w:val="23"/>
        </w:rPr>
        <w:t xml:space="preserve"> </w:t>
      </w:r>
      <w:r w:rsidR="0004079B">
        <w:rPr>
          <w:rFonts w:cs="Verdana"/>
          <w:bCs/>
          <w:sz w:val="23"/>
          <w:szCs w:val="23"/>
        </w:rPr>
        <w:t xml:space="preserve">the </w:t>
      </w:r>
      <w:r w:rsidR="00F230C9" w:rsidRPr="00F230C9">
        <w:rPr>
          <w:rFonts w:cs="Verdana"/>
          <w:bCs/>
          <w:sz w:val="23"/>
          <w:szCs w:val="23"/>
        </w:rPr>
        <w:t xml:space="preserve">Enabling Rights Adviser </w:t>
      </w:r>
      <w:r w:rsidR="0004079B" w:rsidRPr="00F230C9">
        <w:rPr>
          <w:rFonts w:cs="Verdana"/>
          <w:bCs/>
          <w:sz w:val="23"/>
          <w:szCs w:val="23"/>
        </w:rPr>
        <w:t xml:space="preserve">Dr Livingston Armytage </w:t>
      </w:r>
      <w:r w:rsidR="00AB35C6">
        <w:rPr>
          <w:rFonts w:cs="Verdana"/>
          <w:bCs/>
          <w:sz w:val="23"/>
          <w:szCs w:val="23"/>
        </w:rPr>
        <w:t>undertook the first of two in-</w:t>
      </w:r>
      <w:r w:rsidR="0004079B">
        <w:rPr>
          <w:rFonts w:cs="Verdana"/>
          <w:bCs/>
          <w:sz w:val="23"/>
          <w:szCs w:val="23"/>
        </w:rPr>
        <w:t xml:space="preserve">country </w:t>
      </w:r>
      <w:r w:rsidR="00F230C9" w:rsidRPr="00F230C9">
        <w:rPr>
          <w:rFonts w:cs="Verdana"/>
          <w:bCs/>
          <w:sz w:val="23"/>
          <w:szCs w:val="23"/>
        </w:rPr>
        <w:t>visit</w:t>
      </w:r>
      <w:r w:rsidR="0004079B">
        <w:rPr>
          <w:rFonts w:cs="Verdana"/>
          <w:bCs/>
          <w:sz w:val="23"/>
          <w:szCs w:val="23"/>
        </w:rPr>
        <w:t>s</w:t>
      </w:r>
      <w:r w:rsidR="00F230C9" w:rsidRPr="00F230C9">
        <w:rPr>
          <w:rFonts w:cs="Verdana"/>
          <w:bCs/>
          <w:sz w:val="23"/>
          <w:szCs w:val="23"/>
        </w:rPr>
        <w:t xml:space="preserve"> </w:t>
      </w:r>
      <w:r w:rsidR="0004079B">
        <w:rPr>
          <w:rFonts w:cs="Verdana"/>
          <w:bCs/>
          <w:sz w:val="23"/>
          <w:szCs w:val="23"/>
        </w:rPr>
        <w:t xml:space="preserve">to </w:t>
      </w:r>
      <w:r w:rsidR="00F230C9" w:rsidRPr="00F230C9">
        <w:rPr>
          <w:rFonts w:cs="Verdana"/>
          <w:bCs/>
          <w:sz w:val="23"/>
          <w:szCs w:val="23"/>
        </w:rPr>
        <w:t xml:space="preserve">Kiribati. The purpose of this initial visit was to </w:t>
      </w:r>
      <w:r w:rsidR="00AB35C6">
        <w:rPr>
          <w:rFonts w:cs="Verdana"/>
          <w:bCs/>
          <w:sz w:val="23"/>
          <w:szCs w:val="23"/>
        </w:rPr>
        <w:t>introduce the P</w:t>
      </w:r>
      <w:r w:rsidR="00F230C9">
        <w:rPr>
          <w:rFonts w:cs="Verdana"/>
          <w:bCs/>
          <w:sz w:val="23"/>
          <w:szCs w:val="23"/>
        </w:rPr>
        <w:t xml:space="preserve">roject to local stakeholders and </w:t>
      </w:r>
      <w:r w:rsidR="00F230C9" w:rsidRPr="00F230C9">
        <w:rPr>
          <w:rFonts w:cs="Verdana"/>
          <w:bCs/>
          <w:sz w:val="23"/>
          <w:szCs w:val="23"/>
        </w:rPr>
        <w:t>undertake a needs assessment of the situation of Unrepresented Litigants, a</w:t>
      </w:r>
      <w:r w:rsidR="00F230C9">
        <w:rPr>
          <w:rFonts w:cs="Verdana"/>
          <w:bCs/>
          <w:sz w:val="23"/>
          <w:szCs w:val="23"/>
        </w:rPr>
        <w:t>s well as</w:t>
      </w:r>
      <w:r w:rsidR="00F230C9" w:rsidRPr="00F230C9">
        <w:rPr>
          <w:rFonts w:cs="Verdana"/>
          <w:bCs/>
          <w:sz w:val="23"/>
          <w:szCs w:val="23"/>
        </w:rPr>
        <w:t xml:space="preserve"> to prepare for the further development of the draft </w:t>
      </w:r>
      <w:r w:rsidR="00F230C9" w:rsidRPr="00AB35C6">
        <w:rPr>
          <w:rFonts w:cs="Verdana"/>
          <w:bCs/>
          <w:i/>
          <w:sz w:val="23"/>
          <w:szCs w:val="23"/>
        </w:rPr>
        <w:t>Enabling Rights Toolkit</w:t>
      </w:r>
      <w:r w:rsidR="00F230C9" w:rsidRPr="00F230C9">
        <w:rPr>
          <w:rFonts w:cs="Verdana"/>
          <w:bCs/>
          <w:sz w:val="23"/>
          <w:szCs w:val="23"/>
        </w:rPr>
        <w:t>.</w:t>
      </w:r>
      <w:r w:rsidR="0004079B">
        <w:rPr>
          <w:rFonts w:cs="Verdana"/>
          <w:bCs/>
          <w:sz w:val="23"/>
          <w:szCs w:val="23"/>
        </w:rPr>
        <w:t xml:space="preserve"> </w:t>
      </w:r>
      <w:r w:rsidR="00F230C9" w:rsidRPr="00F230C9">
        <w:rPr>
          <w:rFonts w:cs="Verdana"/>
          <w:bCs/>
          <w:sz w:val="23"/>
          <w:szCs w:val="23"/>
        </w:rPr>
        <w:t xml:space="preserve"> During the one week visit</w:t>
      </w:r>
      <w:r w:rsidR="004E5BD0">
        <w:rPr>
          <w:rFonts w:cs="Verdana"/>
          <w:bCs/>
          <w:sz w:val="23"/>
          <w:szCs w:val="23"/>
        </w:rPr>
        <w:t>:</w:t>
      </w:r>
      <w:r w:rsidR="00F230C9" w:rsidRPr="00F230C9">
        <w:rPr>
          <w:rFonts w:cs="Verdana"/>
          <w:bCs/>
          <w:sz w:val="23"/>
          <w:szCs w:val="23"/>
        </w:rPr>
        <w:t xml:space="preserve"> in-depth interviews were conducted with </w:t>
      </w:r>
      <w:r w:rsidR="0004079B">
        <w:rPr>
          <w:rFonts w:cs="Verdana"/>
          <w:bCs/>
          <w:sz w:val="23"/>
          <w:szCs w:val="23"/>
        </w:rPr>
        <w:t xml:space="preserve">a total of </w:t>
      </w:r>
      <w:r w:rsidR="00F230C9" w:rsidRPr="00F230C9">
        <w:rPr>
          <w:rFonts w:cs="Verdana"/>
          <w:bCs/>
          <w:sz w:val="23"/>
          <w:szCs w:val="23"/>
        </w:rPr>
        <w:t xml:space="preserve">39 respondents </w:t>
      </w:r>
      <w:r w:rsidR="004E5BD0">
        <w:rPr>
          <w:rFonts w:cs="Verdana"/>
          <w:bCs/>
          <w:sz w:val="23"/>
          <w:szCs w:val="23"/>
        </w:rPr>
        <w:t>including the Chief Justice, judicial and court officers, and representatives of</w:t>
      </w:r>
      <w:r w:rsidR="00A66BF9">
        <w:rPr>
          <w:rFonts w:cs="Verdana"/>
          <w:bCs/>
          <w:sz w:val="23"/>
          <w:szCs w:val="23"/>
        </w:rPr>
        <w:t xml:space="preserve"> the Ministry for Women, Youth and Social Affairs, Kiribati Law Society Bursar and members of the community;</w:t>
      </w:r>
      <w:r w:rsidR="00F230C9" w:rsidRPr="00F230C9">
        <w:rPr>
          <w:rFonts w:cs="Verdana"/>
          <w:bCs/>
          <w:sz w:val="23"/>
          <w:szCs w:val="23"/>
        </w:rPr>
        <w:t xml:space="preserve"> proceedings in the, Bikenibeu (South Tarawa)</w:t>
      </w:r>
      <w:r w:rsidR="00BC7DFF">
        <w:rPr>
          <w:rFonts w:cs="Verdana"/>
          <w:bCs/>
          <w:sz w:val="23"/>
          <w:szCs w:val="23"/>
        </w:rPr>
        <w:t xml:space="preserve"> </w:t>
      </w:r>
      <w:r w:rsidR="00BC7DFF" w:rsidRPr="00F230C9">
        <w:rPr>
          <w:rFonts w:cs="Verdana"/>
          <w:bCs/>
          <w:sz w:val="23"/>
          <w:szCs w:val="23"/>
        </w:rPr>
        <w:t>Magistrates Court</w:t>
      </w:r>
      <w:r w:rsidR="00BC7DFF">
        <w:rPr>
          <w:rFonts w:cs="Verdana"/>
          <w:bCs/>
          <w:sz w:val="23"/>
          <w:szCs w:val="23"/>
        </w:rPr>
        <w:t xml:space="preserve"> were observed</w:t>
      </w:r>
      <w:r w:rsidR="00F230C9" w:rsidRPr="00F230C9">
        <w:rPr>
          <w:rFonts w:cs="Verdana"/>
          <w:bCs/>
          <w:sz w:val="23"/>
          <w:szCs w:val="23"/>
        </w:rPr>
        <w:t xml:space="preserve">; a community meeting was conducted at Buariki (North Tarawa); </w:t>
      </w:r>
      <w:r w:rsidR="00BC7DFF">
        <w:rPr>
          <w:rFonts w:cs="Verdana"/>
          <w:bCs/>
          <w:sz w:val="23"/>
          <w:szCs w:val="23"/>
        </w:rPr>
        <w:t>(</w:t>
      </w:r>
      <w:r w:rsidR="00F230C9" w:rsidRPr="00F230C9">
        <w:rPr>
          <w:rFonts w:cs="Verdana"/>
          <w:bCs/>
          <w:sz w:val="23"/>
          <w:szCs w:val="23"/>
        </w:rPr>
        <w:t>available</w:t>
      </w:r>
      <w:r w:rsidR="00BC7DFF">
        <w:rPr>
          <w:rFonts w:cs="Verdana"/>
          <w:bCs/>
          <w:sz w:val="23"/>
          <w:szCs w:val="23"/>
        </w:rPr>
        <w:t>)</w:t>
      </w:r>
      <w:r w:rsidR="00F230C9" w:rsidRPr="00F230C9">
        <w:rPr>
          <w:rFonts w:cs="Verdana"/>
          <w:bCs/>
          <w:sz w:val="23"/>
          <w:szCs w:val="23"/>
        </w:rPr>
        <w:t xml:space="preserve"> court statistics</w:t>
      </w:r>
      <w:r w:rsidR="00BC7DFF">
        <w:rPr>
          <w:rFonts w:cs="Verdana"/>
          <w:bCs/>
          <w:sz w:val="23"/>
          <w:szCs w:val="23"/>
        </w:rPr>
        <w:t xml:space="preserve"> were analysed</w:t>
      </w:r>
      <w:r w:rsidR="00F230C9" w:rsidRPr="00F230C9">
        <w:rPr>
          <w:rFonts w:cs="Verdana"/>
          <w:bCs/>
          <w:sz w:val="23"/>
          <w:szCs w:val="23"/>
        </w:rPr>
        <w:t xml:space="preserve">; and the Men’s Prison was </w:t>
      </w:r>
      <w:r w:rsidR="00BC7DFF">
        <w:rPr>
          <w:rFonts w:cs="Verdana"/>
          <w:bCs/>
          <w:sz w:val="23"/>
          <w:szCs w:val="23"/>
        </w:rPr>
        <w:t>visited</w:t>
      </w:r>
      <w:r w:rsidR="00BC7DFF" w:rsidRPr="00F230C9">
        <w:rPr>
          <w:rFonts w:cs="Verdana"/>
          <w:bCs/>
          <w:sz w:val="23"/>
          <w:szCs w:val="23"/>
        </w:rPr>
        <w:t xml:space="preserve"> </w:t>
      </w:r>
      <w:r w:rsidR="00F230C9" w:rsidRPr="00F230C9">
        <w:rPr>
          <w:rFonts w:cs="Verdana"/>
          <w:bCs/>
          <w:sz w:val="23"/>
          <w:szCs w:val="23"/>
        </w:rPr>
        <w:t>on Besio (South Tarawa).</w:t>
      </w:r>
      <w:r w:rsidR="00B110D0">
        <w:rPr>
          <w:rFonts w:cs="Verdana"/>
          <w:bCs/>
          <w:sz w:val="23"/>
          <w:szCs w:val="23"/>
        </w:rPr>
        <w:t xml:space="preserve"> </w:t>
      </w:r>
      <w:r w:rsidR="004E5BD0">
        <w:rPr>
          <w:rFonts w:cs="Verdana"/>
          <w:bCs/>
          <w:sz w:val="23"/>
          <w:szCs w:val="23"/>
        </w:rPr>
        <w:t xml:space="preserve"> </w:t>
      </w:r>
      <w:r w:rsidR="00B110D0">
        <w:rPr>
          <w:rFonts w:cs="Verdana"/>
          <w:bCs/>
          <w:sz w:val="23"/>
          <w:szCs w:val="23"/>
        </w:rPr>
        <w:t xml:space="preserve">The </w:t>
      </w:r>
      <w:r w:rsidR="00B110D0" w:rsidRPr="00F71C27">
        <w:rPr>
          <w:rFonts w:cs="Verdana"/>
          <w:bCs/>
          <w:sz w:val="23"/>
          <w:szCs w:val="23"/>
        </w:rPr>
        <w:t>findings from the interviews and observations will inform the further development of the Toolkit in terms of its audience, purpose</w:t>
      </w:r>
      <w:r w:rsidR="00D74AA1">
        <w:rPr>
          <w:rFonts w:cs="Verdana"/>
          <w:bCs/>
          <w:sz w:val="23"/>
          <w:szCs w:val="23"/>
        </w:rPr>
        <w:t>,</w:t>
      </w:r>
      <w:r w:rsidR="00B110D0" w:rsidRPr="00F71C27">
        <w:rPr>
          <w:rFonts w:cs="Verdana"/>
          <w:bCs/>
          <w:sz w:val="23"/>
          <w:szCs w:val="23"/>
        </w:rPr>
        <w:t xml:space="preserve"> and content. </w:t>
      </w:r>
    </w:p>
    <w:p w14:paraId="114B854F" w14:textId="77777777" w:rsidR="00C83053" w:rsidRPr="00F71C27" w:rsidRDefault="00CA7B77" w:rsidP="00C83053">
      <w:pPr>
        <w:numPr>
          <w:ilvl w:val="0"/>
          <w:numId w:val="4"/>
        </w:numPr>
        <w:spacing w:before="80"/>
        <w:ind w:left="480" w:hanging="480"/>
        <w:rPr>
          <w:sz w:val="23"/>
          <w:szCs w:val="23"/>
        </w:rPr>
      </w:pPr>
      <w:r w:rsidRPr="00F71C27">
        <w:rPr>
          <w:b/>
          <w:i/>
          <w:sz w:val="23"/>
          <w:szCs w:val="23"/>
        </w:rPr>
        <w:t>Next Steps</w:t>
      </w:r>
      <w:r w:rsidR="00C83053" w:rsidRPr="00F71C27">
        <w:rPr>
          <w:b/>
          <w:i/>
          <w:sz w:val="23"/>
          <w:szCs w:val="23"/>
        </w:rPr>
        <w:t xml:space="preserve">: </w:t>
      </w:r>
      <w:r w:rsidR="00D74AA1" w:rsidRPr="00D74AA1">
        <w:rPr>
          <w:sz w:val="23"/>
          <w:szCs w:val="23"/>
        </w:rPr>
        <w:t>The</w:t>
      </w:r>
      <w:r w:rsidR="00D74AA1">
        <w:rPr>
          <w:sz w:val="23"/>
          <w:szCs w:val="23"/>
        </w:rPr>
        <w:t xml:space="preserve"> draft</w:t>
      </w:r>
      <w:r w:rsidR="00D74AA1">
        <w:rPr>
          <w:b/>
          <w:i/>
          <w:sz w:val="23"/>
          <w:szCs w:val="23"/>
        </w:rPr>
        <w:t xml:space="preserve"> </w:t>
      </w:r>
      <w:r w:rsidR="00D74AA1" w:rsidRPr="00604306">
        <w:rPr>
          <w:i/>
          <w:sz w:val="23"/>
          <w:szCs w:val="23"/>
        </w:rPr>
        <w:t>Enabling Rights Toolkit</w:t>
      </w:r>
      <w:r w:rsidR="00D74AA1" w:rsidRPr="00F71C27">
        <w:rPr>
          <w:sz w:val="23"/>
          <w:szCs w:val="23"/>
        </w:rPr>
        <w:t xml:space="preserve"> </w:t>
      </w:r>
      <w:r w:rsidR="00D74AA1">
        <w:rPr>
          <w:sz w:val="23"/>
          <w:szCs w:val="23"/>
        </w:rPr>
        <w:t>will be revised and further developed</w:t>
      </w:r>
      <w:r w:rsidR="002272B1">
        <w:rPr>
          <w:sz w:val="23"/>
          <w:szCs w:val="23"/>
        </w:rPr>
        <w:t>.</w:t>
      </w:r>
      <w:r w:rsidR="00D74AA1">
        <w:rPr>
          <w:sz w:val="23"/>
          <w:szCs w:val="23"/>
        </w:rPr>
        <w:t xml:space="preserve"> </w:t>
      </w:r>
      <w:r w:rsidR="002272B1" w:rsidRPr="00F71C27">
        <w:rPr>
          <w:sz w:val="23"/>
          <w:szCs w:val="23"/>
        </w:rPr>
        <w:t xml:space="preserve">A </w:t>
      </w:r>
      <w:r w:rsidR="00D74AA1">
        <w:rPr>
          <w:sz w:val="23"/>
          <w:szCs w:val="23"/>
        </w:rPr>
        <w:t>second</w:t>
      </w:r>
      <w:r w:rsidR="00A5741D" w:rsidRPr="00F71C27">
        <w:rPr>
          <w:sz w:val="23"/>
          <w:szCs w:val="23"/>
        </w:rPr>
        <w:t xml:space="preserve"> visit to Kiribati is scheduled for early November</w:t>
      </w:r>
      <w:r w:rsidR="00D74AA1">
        <w:rPr>
          <w:sz w:val="23"/>
          <w:szCs w:val="23"/>
        </w:rPr>
        <w:t xml:space="preserve"> </w:t>
      </w:r>
      <w:r w:rsidR="002449DB" w:rsidRPr="00F71C27">
        <w:rPr>
          <w:sz w:val="23"/>
          <w:szCs w:val="23"/>
        </w:rPr>
        <w:t xml:space="preserve">2014 </w:t>
      </w:r>
      <w:r w:rsidR="00D74AA1">
        <w:rPr>
          <w:sz w:val="23"/>
          <w:szCs w:val="23"/>
        </w:rPr>
        <w:t xml:space="preserve">to pilot the </w:t>
      </w:r>
      <w:r w:rsidR="002449DB" w:rsidRPr="00B8650C">
        <w:rPr>
          <w:sz w:val="23"/>
          <w:szCs w:val="23"/>
        </w:rPr>
        <w:t>Toolkit</w:t>
      </w:r>
      <w:r w:rsidR="00F71C27" w:rsidRPr="00F71C27">
        <w:rPr>
          <w:sz w:val="23"/>
          <w:szCs w:val="23"/>
        </w:rPr>
        <w:t>.</w:t>
      </w:r>
    </w:p>
    <w:p w14:paraId="1945E61E" w14:textId="77777777" w:rsidR="00C83053" w:rsidRDefault="00C83053" w:rsidP="00C83053">
      <w:pPr>
        <w:spacing w:before="80"/>
        <w:ind w:left="480"/>
        <w:rPr>
          <w:b/>
          <w:i/>
          <w:sz w:val="23"/>
          <w:szCs w:val="23"/>
        </w:rPr>
      </w:pPr>
    </w:p>
    <w:p w14:paraId="2999CC24" w14:textId="77777777" w:rsidR="00C83053" w:rsidRPr="003E5425" w:rsidRDefault="00C83053" w:rsidP="00C83053">
      <w:pPr>
        <w:pStyle w:val="Heading3"/>
        <w:numPr>
          <w:ilvl w:val="0"/>
          <w:numId w:val="49"/>
        </w:numPr>
        <w:spacing w:after="120"/>
        <w:ind w:hanging="720"/>
        <w:rPr>
          <w:sz w:val="23"/>
          <w:szCs w:val="23"/>
        </w:rPr>
      </w:pPr>
      <w:bookmarkStart w:id="35" w:name="_Toc391469721"/>
      <w:r w:rsidRPr="003E5425">
        <w:rPr>
          <w:sz w:val="23"/>
          <w:szCs w:val="23"/>
        </w:rPr>
        <w:t>Public Information Project</w:t>
      </w:r>
      <w:bookmarkEnd w:id="35"/>
    </w:p>
    <w:p w14:paraId="0C39403F" w14:textId="77777777" w:rsidR="00C83053" w:rsidRPr="00BF4D53" w:rsidRDefault="00C83053" w:rsidP="00C83053">
      <w:pPr>
        <w:numPr>
          <w:ilvl w:val="0"/>
          <w:numId w:val="4"/>
        </w:numPr>
        <w:spacing w:before="80"/>
        <w:ind w:left="480" w:hanging="480"/>
        <w:rPr>
          <w:b/>
          <w:i/>
          <w:sz w:val="23"/>
          <w:szCs w:val="23"/>
        </w:rPr>
      </w:pPr>
      <w:r w:rsidRPr="00BF4D53">
        <w:rPr>
          <w:b/>
          <w:i/>
          <w:sz w:val="23"/>
          <w:szCs w:val="23"/>
        </w:rPr>
        <w:t xml:space="preserve">Status: </w:t>
      </w:r>
      <w:r w:rsidR="00C62A4D" w:rsidRPr="00BF4D53">
        <w:rPr>
          <w:sz w:val="23"/>
          <w:szCs w:val="23"/>
        </w:rPr>
        <w:t>An initial visit to Tuvalu was successfully undertaken to</w:t>
      </w:r>
      <w:r w:rsidR="00104D00" w:rsidRPr="00BF4D53">
        <w:rPr>
          <w:sz w:val="23"/>
          <w:szCs w:val="23"/>
        </w:rPr>
        <w:t xml:space="preserve"> commence piloting of</w:t>
      </w:r>
      <w:r w:rsidR="00C62A4D" w:rsidRPr="00BF4D53">
        <w:rPr>
          <w:sz w:val="23"/>
          <w:szCs w:val="23"/>
        </w:rPr>
        <w:t xml:space="preserve"> </w:t>
      </w:r>
      <w:r w:rsidR="0050570F" w:rsidRPr="00BF4D53">
        <w:rPr>
          <w:sz w:val="23"/>
          <w:szCs w:val="23"/>
        </w:rPr>
        <w:t xml:space="preserve">the </w:t>
      </w:r>
      <w:r w:rsidR="00C62A4D" w:rsidRPr="00BF4D53">
        <w:rPr>
          <w:sz w:val="23"/>
          <w:szCs w:val="23"/>
        </w:rPr>
        <w:t xml:space="preserve">draft </w:t>
      </w:r>
      <w:r w:rsidR="00C62A4D" w:rsidRPr="00BF4D53">
        <w:rPr>
          <w:i/>
          <w:sz w:val="23"/>
          <w:szCs w:val="23"/>
        </w:rPr>
        <w:t>Public Information Toolkit</w:t>
      </w:r>
      <w:r w:rsidR="00C62A4D" w:rsidRPr="00BF4D53">
        <w:rPr>
          <w:sz w:val="23"/>
          <w:szCs w:val="23"/>
        </w:rPr>
        <w:t>.</w:t>
      </w:r>
      <w:r w:rsidRPr="00BF4D53">
        <w:rPr>
          <w:sz w:val="23"/>
          <w:szCs w:val="23"/>
        </w:rPr>
        <w:t xml:space="preserve">  </w:t>
      </w:r>
    </w:p>
    <w:p w14:paraId="0B626916" w14:textId="77777777" w:rsidR="00C83053" w:rsidRPr="00BF4D53" w:rsidRDefault="00C83053" w:rsidP="00C83053">
      <w:pPr>
        <w:numPr>
          <w:ilvl w:val="0"/>
          <w:numId w:val="4"/>
        </w:numPr>
        <w:spacing w:before="80"/>
        <w:ind w:left="480" w:hanging="480"/>
        <w:rPr>
          <w:b/>
          <w:i/>
          <w:sz w:val="23"/>
          <w:szCs w:val="23"/>
        </w:rPr>
      </w:pPr>
      <w:r w:rsidRPr="00BF4D53">
        <w:rPr>
          <w:rFonts w:cs="Verdana"/>
          <w:b/>
          <w:bCs/>
          <w:i/>
          <w:sz w:val="23"/>
          <w:szCs w:val="23"/>
        </w:rPr>
        <w:t>Summary of progress:</w:t>
      </w:r>
      <w:r w:rsidRPr="00BF4D53">
        <w:rPr>
          <w:rFonts w:cs="Verdana"/>
          <w:bCs/>
          <w:sz w:val="23"/>
          <w:szCs w:val="23"/>
        </w:rPr>
        <w:t xml:space="preserve"> </w:t>
      </w:r>
      <w:r w:rsidR="003E5425" w:rsidRPr="00BF4D53">
        <w:rPr>
          <w:sz w:val="23"/>
          <w:szCs w:val="23"/>
        </w:rPr>
        <w:t>The Public Information Adviser, Ms Kerin Pillans visited Funafuti, Tuvalu from 9</w:t>
      </w:r>
      <w:r w:rsidR="00104D00" w:rsidRPr="00BF4D53">
        <w:rPr>
          <w:sz w:val="23"/>
          <w:szCs w:val="23"/>
        </w:rPr>
        <w:t>-</w:t>
      </w:r>
      <w:r w:rsidR="008A1627">
        <w:rPr>
          <w:sz w:val="23"/>
          <w:szCs w:val="23"/>
        </w:rPr>
        <w:t>27 June, 2014 to introduce the P</w:t>
      </w:r>
      <w:r w:rsidR="003E5425" w:rsidRPr="00BF4D53">
        <w:rPr>
          <w:sz w:val="23"/>
          <w:szCs w:val="23"/>
        </w:rPr>
        <w:t xml:space="preserve">roject to local stakeholders and gather information to inform the draft </w:t>
      </w:r>
      <w:r w:rsidR="003E5425" w:rsidRPr="00BF4D53">
        <w:rPr>
          <w:i/>
          <w:sz w:val="23"/>
          <w:szCs w:val="23"/>
        </w:rPr>
        <w:t>Public Information Toolkit</w:t>
      </w:r>
      <w:r w:rsidR="003E5425" w:rsidRPr="00BF4D53">
        <w:rPr>
          <w:sz w:val="23"/>
          <w:szCs w:val="23"/>
        </w:rPr>
        <w:t>.</w:t>
      </w:r>
      <w:r w:rsidR="002A490C" w:rsidRPr="00BF4D53">
        <w:rPr>
          <w:sz w:val="23"/>
          <w:szCs w:val="23"/>
        </w:rPr>
        <w:t xml:space="preserve">  </w:t>
      </w:r>
      <w:r w:rsidR="001A79E1" w:rsidRPr="00BF4D53">
        <w:rPr>
          <w:sz w:val="23"/>
          <w:szCs w:val="23"/>
        </w:rPr>
        <w:t xml:space="preserve">During the visit, consultations with </w:t>
      </w:r>
      <w:r w:rsidR="002A490C" w:rsidRPr="00BF4D53">
        <w:rPr>
          <w:sz w:val="23"/>
          <w:szCs w:val="23"/>
        </w:rPr>
        <w:t>the judiciary</w:t>
      </w:r>
      <w:r w:rsidR="001A79E1" w:rsidRPr="00BF4D53">
        <w:rPr>
          <w:sz w:val="23"/>
          <w:szCs w:val="23"/>
        </w:rPr>
        <w:t xml:space="preserve"> as well as broader engagement and </w:t>
      </w:r>
      <w:r w:rsidR="00695622" w:rsidRPr="00BF4D53">
        <w:rPr>
          <w:sz w:val="23"/>
          <w:szCs w:val="23"/>
        </w:rPr>
        <w:t>consultation with a wide range of justice sector and community representatives</w:t>
      </w:r>
      <w:r w:rsidR="001A79E1" w:rsidRPr="00BF4D53">
        <w:rPr>
          <w:rFonts w:cs="Verdana"/>
          <w:bCs/>
          <w:sz w:val="23"/>
          <w:szCs w:val="23"/>
        </w:rPr>
        <w:t xml:space="preserve">.  Further to these consultations, </w:t>
      </w:r>
      <w:r w:rsidR="001A79E1" w:rsidRPr="00BF4D53">
        <w:rPr>
          <w:sz w:val="23"/>
          <w:szCs w:val="23"/>
        </w:rPr>
        <w:t>5 public information needs areas were identified and small working</w:t>
      </w:r>
      <w:r w:rsidR="001A79E1" w:rsidRPr="00F7384A">
        <w:rPr>
          <w:sz w:val="23"/>
          <w:szCs w:val="23"/>
        </w:rPr>
        <w:t xml:space="preserve"> groups of interested local </w:t>
      </w:r>
      <w:r w:rsidR="00F7384A" w:rsidRPr="00F7384A">
        <w:rPr>
          <w:sz w:val="23"/>
          <w:szCs w:val="23"/>
        </w:rPr>
        <w:t>judicial and court officers</w:t>
      </w:r>
      <w:r w:rsidR="001A79E1" w:rsidRPr="00F7384A">
        <w:rPr>
          <w:sz w:val="23"/>
          <w:szCs w:val="23"/>
        </w:rPr>
        <w:t xml:space="preserve"> were established to </w:t>
      </w:r>
      <w:r w:rsidR="00F7384A" w:rsidRPr="00F7384A">
        <w:rPr>
          <w:sz w:val="23"/>
          <w:szCs w:val="23"/>
        </w:rPr>
        <w:t xml:space="preserve">further </w:t>
      </w:r>
      <w:r w:rsidR="001A79E1" w:rsidRPr="00F7384A">
        <w:rPr>
          <w:sz w:val="23"/>
          <w:szCs w:val="23"/>
        </w:rPr>
        <w:t xml:space="preserve">develop ideas and relevant </w:t>
      </w:r>
      <w:r w:rsidR="00F7384A" w:rsidRPr="00F7384A">
        <w:rPr>
          <w:sz w:val="23"/>
          <w:szCs w:val="23"/>
        </w:rPr>
        <w:t>information</w:t>
      </w:r>
      <w:r w:rsidR="001A79E1" w:rsidRPr="00F7384A">
        <w:rPr>
          <w:sz w:val="23"/>
          <w:szCs w:val="23"/>
        </w:rPr>
        <w:t xml:space="preserve"> on these topics</w:t>
      </w:r>
      <w:r w:rsidR="003E5425" w:rsidRPr="00F7384A">
        <w:rPr>
          <w:sz w:val="23"/>
          <w:szCs w:val="23"/>
        </w:rPr>
        <w:t xml:space="preserve">. </w:t>
      </w:r>
      <w:r w:rsidR="00F7384A" w:rsidRPr="00F7384A">
        <w:rPr>
          <w:sz w:val="23"/>
          <w:szCs w:val="23"/>
        </w:rPr>
        <w:t xml:space="preserve"> </w:t>
      </w:r>
      <w:r w:rsidR="003E5425" w:rsidRPr="00BF4D53">
        <w:rPr>
          <w:sz w:val="23"/>
          <w:szCs w:val="23"/>
        </w:rPr>
        <w:t xml:space="preserve">A total </w:t>
      </w:r>
      <w:r w:rsidR="003E5425" w:rsidRPr="003665E7">
        <w:rPr>
          <w:sz w:val="23"/>
          <w:szCs w:val="23"/>
        </w:rPr>
        <w:t xml:space="preserve">of </w:t>
      </w:r>
      <w:r w:rsidR="003665E7" w:rsidRPr="00B8650C">
        <w:rPr>
          <w:sz w:val="23"/>
          <w:szCs w:val="23"/>
        </w:rPr>
        <w:t xml:space="preserve">30 </w:t>
      </w:r>
      <w:r w:rsidR="003E5425" w:rsidRPr="003665E7">
        <w:rPr>
          <w:sz w:val="23"/>
          <w:szCs w:val="23"/>
        </w:rPr>
        <w:t>participants</w:t>
      </w:r>
      <w:r w:rsidR="00F7384A" w:rsidRPr="00BF4D53">
        <w:rPr>
          <w:sz w:val="23"/>
          <w:szCs w:val="23"/>
        </w:rPr>
        <w:t xml:space="preserve"> were involved </w:t>
      </w:r>
      <w:r w:rsidR="003665E7">
        <w:rPr>
          <w:sz w:val="23"/>
          <w:szCs w:val="23"/>
        </w:rPr>
        <w:t>across 3 workshops (Land and Island Court Magistrates)</w:t>
      </w:r>
      <w:r w:rsidR="00F7384A" w:rsidRPr="00BF4D53">
        <w:rPr>
          <w:sz w:val="23"/>
          <w:szCs w:val="23"/>
        </w:rPr>
        <w:t xml:space="preserve"> and </w:t>
      </w:r>
      <w:r w:rsidR="003665E7">
        <w:rPr>
          <w:sz w:val="23"/>
          <w:szCs w:val="23"/>
        </w:rPr>
        <w:t xml:space="preserve">13 </w:t>
      </w:r>
      <w:r w:rsidR="00F7384A" w:rsidRPr="00BF4D53">
        <w:rPr>
          <w:sz w:val="23"/>
          <w:szCs w:val="23"/>
        </w:rPr>
        <w:t>consultations</w:t>
      </w:r>
      <w:r w:rsidR="00B8650C">
        <w:rPr>
          <w:sz w:val="23"/>
          <w:szCs w:val="23"/>
        </w:rPr>
        <w:t xml:space="preserve"> / interviews</w:t>
      </w:r>
      <w:r w:rsidR="00F7384A" w:rsidRPr="00BF4D53">
        <w:rPr>
          <w:sz w:val="23"/>
          <w:szCs w:val="23"/>
        </w:rPr>
        <w:t xml:space="preserve"> </w:t>
      </w:r>
      <w:r w:rsidR="003665E7">
        <w:rPr>
          <w:sz w:val="23"/>
          <w:szCs w:val="23"/>
        </w:rPr>
        <w:t xml:space="preserve">were undertaken, including with the </w:t>
      </w:r>
      <w:r w:rsidR="003665E7">
        <w:t>MFAT Development Programme Coordinator, Director and Registrar of the Lands Court and Senior Magistrate.</w:t>
      </w:r>
    </w:p>
    <w:p w14:paraId="59662D4F" w14:textId="77777777" w:rsidR="00C83053" w:rsidRPr="00C95F25" w:rsidRDefault="00C62A4D" w:rsidP="00C83053">
      <w:pPr>
        <w:numPr>
          <w:ilvl w:val="0"/>
          <w:numId w:val="4"/>
        </w:numPr>
        <w:spacing w:before="80"/>
        <w:ind w:left="480" w:hanging="480"/>
        <w:rPr>
          <w:sz w:val="23"/>
          <w:szCs w:val="23"/>
        </w:rPr>
      </w:pPr>
      <w:r w:rsidRPr="00F7384A">
        <w:rPr>
          <w:b/>
          <w:i/>
          <w:sz w:val="23"/>
          <w:szCs w:val="23"/>
        </w:rPr>
        <w:t>Next Steps:</w:t>
      </w:r>
      <w:r w:rsidR="00C83053" w:rsidRPr="00F7384A">
        <w:rPr>
          <w:b/>
          <w:i/>
          <w:sz w:val="23"/>
          <w:szCs w:val="23"/>
        </w:rPr>
        <w:t xml:space="preserve"> </w:t>
      </w:r>
      <w:r w:rsidRPr="00F7384A">
        <w:rPr>
          <w:sz w:val="23"/>
          <w:szCs w:val="23"/>
        </w:rPr>
        <w:t>A follow</w:t>
      </w:r>
      <w:r w:rsidR="00824B2C">
        <w:rPr>
          <w:sz w:val="23"/>
          <w:szCs w:val="23"/>
        </w:rPr>
        <w:t>-</w:t>
      </w:r>
      <w:r w:rsidRPr="00F7384A">
        <w:rPr>
          <w:sz w:val="23"/>
          <w:szCs w:val="23"/>
        </w:rPr>
        <w:t xml:space="preserve">up visit to Tuvalu </w:t>
      </w:r>
      <w:r w:rsidR="00F7384A" w:rsidRPr="00F7384A">
        <w:rPr>
          <w:sz w:val="23"/>
          <w:szCs w:val="23"/>
        </w:rPr>
        <w:t xml:space="preserve">is </w:t>
      </w:r>
      <w:r w:rsidR="00824B2C">
        <w:rPr>
          <w:sz w:val="23"/>
          <w:szCs w:val="23"/>
        </w:rPr>
        <w:t xml:space="preserve">proposed and will </w:t>
      </w:r>
      <w:r w:rsidR="00D33449" w:rsidRPr="00F7384A">
        <w:rPr>
          <w:sz w:val="23"/>
          <w:szCs w:val="23"/>
        </w:rPr>
        <w:t>take place</w:t>
      </w:r>
      <w:r w:rsidR="00824B2C">
        <w:rPr>
          <w:sz w:val="23"/>
          <w:szCs w:val="23"/>
        </w:rPr>
        <w:t xml:space="preserve"> after the appointment of a new Resident Magistrate in Funafuti (the visit is tentatively scheduled for early-2015)</w:t>
      </w:r>
      <w:r w:rsidRPr="00C95F25">
        <w:rPr>
          <w:sz w:val="23"/>
          <w:szCs w:val="23"/>
        </w:rPr>
        <w:t>.</w:t>
      </w:r>
    </w:p>
    <w:p w14:paraId="3FE51201" w14:textId="77777777" w:rsidR="00C83053" w:rsidRPr="00C95F25" w:rsidRDefault="00C83053" w:rsidP="00C95F25">
      <w:pPr>
        <w:rPr>
          <w:sz w:val="23"/>
          <w:szCs w:val="23"/>
        </w:rPr>
      </w:pPr>
    </w:p>
    <w:p w14:paraId="51F09631" w14:textId="77777777" w:rsidR="0039412B" w:rsidRDefault="0039412B" w:rsidP="00BA4968">
      <w:pPr>
        <w:pStyle w:val="Heading2"/>
        <w:numPr>
          <w:ilvl w:val="0"/>
          <w:numId w:val="40"/>
        </w:numPr>
        <w:ind w:hanging="720"/>
      </w:pPr>
      <w:bookmarkStart w:id="36" w:name="_Toc391469722"/>
      <w:r w:rsidRPr="006D7204">
        <w:t>Component Two: Governance and Leadership</w:t>
      </w:r>
      <w:bookmarkEnd w:id="36"/>
    </w:p>
    <w:p w14:paraId="15BEA9E0" w14:textId="77777777" w:rsidR="0039412B" w:rsidRPr="007942C1" w:rsidRDefault="0039412B" w:rsidP="00A67223">
      <w:pPr>
        <w:rPr>
          <w:smallCaps/>
          <w:sz w:val="12"/>
          <w:szCs w:val="12"/>
        </w:rPr>
      </w:pPr>
    </w:p>
    <w:p w14:paraId="4E87A235" w14:textId="77777777" w:rsidR="0039412B" w:rsidRPr="00D33449" w:rsidRDefault="00ED6F7C" w:rsidP="00BA4968">
      <w:pPr>
        <w:pStyle w:val="Heading3"/>
        <w:numPr>
          <w:ilvl w:val="0"/>
          <w:numId w:val="50"/>
        </w:numPr>
        <w:spacing w:after="120"/>
        <w:ind w:hanging="720"/>
        <w:rPr>
          <w:sz w:val="23"/>
          <w:szCs w:val="23"/>
        </w:rPr>
      </w:pPr>
      <w:bookmarkStart w:id="37" w:name="_Toc391469723"/>
      <w:r w:rsidRPr="00D33449">
        <w:rPr>
          <w:sz w:val="23"/>
          <w:szCs w:val="23"/>
        </w:rPr>
        <w:t>Codes of Judicial Conduct</w:t>
      </w:r>
      <w:r w:rsidR="0039412B" w:rsidRPr="00D33449">
        <w:rPr>
          <w:sz w:val="23"/>
          <w:szCs w:val="23"/>
        </w:rPr>
        <w:t xml:space="preserve"> Project</w:t>
      </w:r>
      <w:bookmarkEnd w:id="37"/>
    </w:p>
    <w:p w14:paraId="4466AF0F" w14:textId="77777777" w:rsidR="0039412B" w:rsidRPr="002612DE" w:rsidRDefault="0039412B" w:rsidP="00FF2C4A">
      <w:pPr>
        <w:numPr>
          <w:ilvl w:val="0"/>
          <w:numId w:val="4"/>
        </w:numPr>
        <w:spacing w:before="80"/>
        <w:ind w:left="480" w:hanging="480"/>
        <w:rPr>
          <w:b/>
          <w:i/>
          <w:sz w:val="23"/>
          <w:szCs w:val="23"/>
        </w:rPr>
      </w:pPr>
      <w:r w:rsidRPr="00D33449">
        <w:rPr>
          <w:b/>
          <w:i/>
          <w:sz w:val="23"/>
          <w:szCs w:val="23"/>
        </w:rPr>
        <w:t xml:space="preserve">Status: </w:t>
      </w:r>
      <w:r w:rsidR="00F2007B">
        <w:rPr>
          <w:sz w:val="23"/>
          <w:szCs w:val="23"/>
        </w:rPr>
        <w:t xml:space="preserve">A draft </w:t>
      </w:r>
      <w:r w:rsidR="00F2007B" w:rsidRPr="00F2007B">
        <w:rPr>
          <w:i/>
          <w:sz w:val="23"/>
          <w:szCs w:val="23"/>
        </w:rPr>
        <w:t>Complaints Handling Toolkit</w:t>
      </w:r>
      <w:r w:rsidR="00F2007B">
        <w:rPr>
          <w:sz w:val="23"/>
          <w:szCs w:val="23"/>
        </w:rPr>
        <w:t xml:space="preserve"> has been developed</w:t>
      </w:r>
      <w:r w:rsidR="007712FC">
        <w:rPr>
          <w:sz w:val="23"/>
          <w:szCs w:val="23"/>
        </w:rPr>
        <w:t>.</w:t>
      </w:r>
    </w:p>
    <w:p w14:paraId="3256AA31" w14:textId="77777777" w:rsidR="00695622" w:rsidRPr="00695622" w:rsidRDefault="0039412B" w:rsidP="00695622">
      <w:pPr>
        <w:numPr>
          <w:ilvl w:val="0"/>
          <w:numId w:val="4"/>
        </w:numPr>
        <w:spacing w:before="80"/>
        <w:ind w:left="480" w:hanging="480"/>
        <w:rPr>
          <w:b/>
          <w:i/>
          <w:sz w:val="23"/>
          <w:szCs w:val="23"/>
        </w:rPr>
      </w:pPr>
      <w:r w:rsidRPr="002612DE">
        <w:rPr>
          <w:rFonts w:cs="Verdana"/>
          <w:b/>
          <w:bCs/>
          <w:i/>
          <w:sz w:val="23"/>
          <w:szCs w:val="23"/>
        </w:rPr>
        <w:t>Summary of progress:</w:t>
      </w:r>
      <w:r w:rsidRPr="002612DE">
        <w:rPr>
          <w:rFonts w:cs="Verdana"/>
          <w:bCs/>
          <w:sz w:val="23"/>
          <w:szCs w:val="23"/>
        </w:rPr>
        <w:t xml:space="preserve"> </w:t>
      </w:r>
      <w:r w:rsidR="00D33449" w:rsidRPr="002612DE">
        <w:rPr>
          <w:rFonts w:cs="Arial Narrow"/>
          <w:sz w:val="23"/>
          <w:szCs w:val="23"/>
        </w:rPr>
        <w:t xml:space="preserve">At the </w:t>
      </w:r>
      <w:r w:rsidR="00604306">
        <w:rPr>
          <w:rFonts w:cs="Arial Narrow"/>
          <w:sz w:val="23"/>
          <w:szCs w:val="23"/>
        </w:rPr>
        <w:t xml:space="preserve">Eighth </w:t>
      </w:r>
      <w:r w:rsidR="00D33449" w:rsidRPr="002612DE">
        <w:rPr>
          <w:rFonts w:cs="Arial Narrow"/>
          <w:sz w:val="23"/>
          <w:szCs w:val="23"/>
        </w:rPr>
        <w:t xml:space="preserve">PEC Meeting in Auckland, March 2014 the ‘Additional Activity’ </w:t>
      </w:r>
      <w:r w:rsidR="00D33449" w:rsidRPr="00125334">
        <w:rPr>
          <w:rFonts w:cs="Arial Narrow"/>
          <w:i/>
          <w:sz w:val="23"/>
          <w:szCs w:val="23"/>
        </w:rPr>
        <w:t>Complaints Handling Pilot Project</w:t>
      </w:r>
      <w:r w:rsidR="00D33449" w:rsidRPr="002612DE">
        <w:rPr>
          <w:rFonts w:cs="Arial Narrow"/>
          <w:sz w:val="23"/>
          <w:szCs w:val="23"/>
        </w:rPr>
        <w:t xml:space="preserve"> was approved for implementation. </w:t>
      </w:r>
      <w:r w:rsidR="007712FC">
        <w:rPr>
          <w:sz w:val="23"/>
          <w:szCs w:val="23"/>
        </w:rPr>
        <w:t xml:space="preserve"> This Project has been formally approved by MFAT under Letter of Variation 12, and will now be undertaken</w:t>
      </w:r>
      <w:r w:rsidR="007712FC" w:rsidRPr="002612DE">
        <w:rPr>
          <w:rFonts w:cs="Arial Narrow"/>
          <w:sz w:val="23"/>
          <w:szCs w:val="23"/>
        </w:rPr>
        <w:t xml:space="preserve"> </w:t>
      </w:r>
      <w:r w:rsidR="007712FC">
        <w:rPr>
          <w:rFonts w:cs="Arial Narrow"/>
          <w:sz w:val="23"/>
          <w:szCs w:val="23"/>
        </w:rPr>
        <w:t xml:space="preserve">in </w:t>
      </w:r>
      <w:r w:rsidR="00941702" w:rsidRPr="002612DE">
        <w:rPr>
          <w:rFonts w:cs="Arial Narrow"/>
          <w:sz w:val="23"/>
          <w:szCs w:val="23"/>
        </w:rPr>
        <w:t>Vanuatu</w:t>
      </w:r>
      <w:r w:rsidR="00675874" w:rsidRPr="002612DE">
        <w:rPr>
          <w:rFonts w:cs="Arial Narrow"/>
          <w:sz w:val="23"/>
          <w:szCs w:val="23"/>
        </w:rPr>
        <w:t xml:space="preserve">. </w:t>
      </w:r>
      <w:r w:rsidR="00695622">
        <w:rPr>
          <w:rFonts w:cs="Arial Narrow"/>
          <w:sz w:val="23"/>
          <w:szCs w:val="23"/>
        </w:rPr>
        <w:t xml:space="preserve"> Additionally, the Tuvalu Code of Judicial Conduct was also updated and distributed to local magistrates in conjunction with the Adviser’s visit to Funafuti under the </w:t>
      </w:r>
      <w:r w:rsidR="00695622" w:rsidRPr="00695622">
        <w:rPr>
          <w:sz w:val="23"/>
          <w:szCs w:val="23"/>
        </w:rPr>
        <w:t>Public Information Project</w:t>
      </w:r>
      <w:r w:rsidR="00695622">
        <w:rPr>
          <w:sz w:val="23"/>
          <w:szCs w:val="23"/>
        </w:rPr>
        <w:t>.</w:t>
      </w:r>
    </w:p>
    <w:p w14:paraId="41CBE82D" w14:textId="4E7079E2" w:rsidR="0039412B" w:rsidRPr="002612DE" w:rsidRDefault="00264798" w:rsidP="00FF2C4A">
      <w:pPr>
        <w:numPr>
          <w:ilvl w:val="0"/>
          <w:numId w:val="4"/>
        </w:numPr>
        <w:spacing w:before="80"/>
        <w:ind w:left="480" w:hanging="480"/>
        <w:rPr>
          <w:sz w:val="23"/>
          <w:szCs w:val="23"/>
        </w:rPr>
      </w:pPr>
      <w:r w:rsidRPr="002612DE">
        <w:rPr>
          <w:b/>
          <w:i/>
          <w:sz w:val="23"/>
          <w:szCs w:val="23"/>
        </w:rPr>
        <w:lastRenderedPageBreak/>
        <w:t>Next Steps</w:t>
      </w:r>
      <w:r w:rsidR="0039412B" w:rsidRPr="002612DE">
        <w:rPr>
          <w:b/>
          <w:i/>
          <w:sz w:val="23"/>
          <w:szCs w:val="23"/>
        </w:rPr>
        <w:t xml:space="preserve">: </w:t>
      </w:r>
      <w:r w:rsidRPr="002612DE">
        <w:rPr>
          <w:sz w:val="23"/>
          <w:szCs w:val="23"/>
        </w:rPr>
        <w:t>The Code of Judicial Conduct Adviser</w:t>
      </w:r>
      <w:r w:rsidR="00604306">
        <w:rPr>
          <w:sz w:val="23"/>
          <w:szCs w:val="23"/>
        </w:rPr>
        <w:t>, Ms Kerin Pillans</w:t>
      </w:r>
      <w:r w:rsidRPr="002612DE">
        <w:rPr>
          <w:sz w:val="23"/>
          <w:szCs w:val="23"/>
        </w:rPr>
        <w:t xml:space="preserve"> is scheduled to visit </w:t>
      </w:r>
      <w:r w:rsidR="009437D6">
        <w:rPr>
          <w:sz w:val="23"/>
          <w:szCs w:val="23"/>
        </w:rPr>
        <w:t xml:space="preserve">                     </w:t>
      </w:r>
      <w:r w:rsidRPr="002612DE">
        <w:rPr>
          <w:sz w:val="23"/>
          <w:szCs w:val="23"/>
        </w:rPr>
        <w:t>Vanuatu from 30 June</w:t>
      </w:r>
      <w:r w:rsidR="007712FC">
        <w:rPr>
          <w:sz w:val="23"/>
          <w:szCs w:val="23"/>
        </w:rPr>
        <w:t>-</w:t>
      </w:r>
      <w:r w:rsidRPr="002612DE">
        <w:rPr>
          <w:sz w:val="23"/>
          <w:szCs w:val="23"/>
        </w:rPr>
        <w:t xml:space="preserve">18 July 2014 to pilot the draft </w:t>
      </w:r>
      <w:r w:rsidRPr="00604306">
        <w:rPr>
          <w:i/>
          <w:sz w:val="23"/>
          <w:szCs w:val="23"/>
        </w:rPr>
        <w:t>Complain</w:t>
      </w:r>
      <w:r w:rsidR="00675874" w:rsidRPr="00604306">
        <w:rPr>
          <w:i/>
          <w:sz w:val="23"/>
          <w:szCs w:val="23"/>
        </w:rPr>
        <w:t>t</w:t>
      </w:r>
      <w:r w:rsidRPr="00604306">
        <w:rPr>
          <w:i/>
          <w:sz w:val="23"/>
          <w:szCs w:val="23"/>
        </w:rPr>
        <w:t>s Handling Toolkit</w:t>
      </w:r>
      <w:r w:rsidRPr="002612DE">
        <w:rPr>
          <w:sz w:val="23"/>
          <w:szCs w:val="23"/>
        </w:rPr>
        <w:t xml:space="preserve">. </w:t>
      </w:r>
    </w:p>
    <w:p w14:paraId="4696E009" w14:textId="77777777" w:rsidR="0039412B" w:rsidRPr="002612DE" w:rsidRDefault="0039412B" w:rsidP="009E41BE">
      <w:pPr>
        <w:rPr>
          <w:sz w:val="23"/>
          <w:szCs w:val="23"/>
        </w:rPr>
      </w:pPr>
    </w:p>
    <w:p w14:paraId="251DA35F" w14:textId="77777777" w:rsidR="0039412B" w:rsidRPr="002612DE" w:rsidRDefault="0039412B" w:rsidP="00BA4968">
      <w:pPr>
        <w:pStyle w:val="Heading3"/>
        <w:numPr>
          <w:ilvl w:val="0"/>
          <w:numId w:val="50"/>
        </w:numPr>
        <w:spacing w:after="120"/>
        <w:ind w:hanging="720"/>
        <w:rPr>
          <w:sz w:val="23"/>
          <w:szCs w:val="23"/>
        </w:rPr>
      </w:pPr>
      <w:bookmarkStart w:id="38" w:name="_Toc391469724"/>
      <w:r w:rsidRPr="002612DE">
        <w:rPr>
          <w:sz w:val="23"/>
          <w:szCs w:val="23"/>
        </w:rPr>
        <w:t xml:space="preserve">Regional Governance </w:t>
      </w:r>
      <w:r w:rsidR="00ED6F7C" w:rsidRPr="002612DE">
        <w:rPr>
          <w:sz w:val="23"/>
          <w:szCs w:val="23"/>
        </w:rPr>
        <w:t xml:space="preserve">and </w:t>
      </w:r>
      <w:r w:rsidRPr="002612DE">
        <w:rPr>
          <w:sz w:val="23"/>
          <w:szCs w:val="23"/>
        </w:rPr>
        <w:t xml:space="preserve">Leadership </w:t>
      </w:r>
      <w:r w:rsidR="00ED6F7C" w:rsidRPr="002612DE">
        <w:rPr>
          <w:sz w:val="23"/>
          <w:szCs w:val="23"/>
        </w:rPr>
        <w:t>Meetings</w:t>
      </w:r>
      <w:bookmarkEnd w:id="38"/>
    </w:p>
    <w:p w14:paraId="7D112EC7" w14:textId="77777777" w:rsidR="0039412B" w:rsidRPr="002612DE" w:rsidRDefault="0039412B" w:rsidP="00FF2C4A">
      <w:pPr>
        <w:numPr>
          <w:ilvl w:val="0"/>
          <w:numId w:val="4"/>
        </w:numPr>
        <w:spacing w:before="80"/>
        <w:ind w:left="480" w:hanging="480"/>
        <w:rPr>
          <w:sz w:val="23"/>
          <w:szCs w:val="23"/>
        </w:rPr>
      </w:pPr>
      <w:r w:rsidRPr="002612DE">
        <w:rPr>
          <w:b/>
          <w:i/>
          <w:sz w:val="23"/>
          <w:szCs w:val="23"/>
        </w:rPr>
        <w:t>Status:</w:t>
      </w:r>
      <w:r w:rsidRPr="002612DE">
        <w:rPr>
          <w:sz w:val="23"/>
          <w:szCs w:val="23"/>
        </w:rPr>
        <w:t xml:space="preserve"> </w:t>
      </w:r>
      <w:r w:rsidR="00CE5872" w:rsidRPr="002612DE">
        <w:rPr>
          <w:sz w:val="23"/>
          <w:szCs w:val="23"/>
        </w:rPr>
        <w:t>During the reporting period two regional governance and leadership meetings were conducted in Auckland.</w:t>
      </w:r>
      <w:r w:rsidRPr="002612DE">
        <w:rPr>
          <w:sz w:val="23"/>
          <w:szCs w:val="23"/>
        </w:rPr>
        <w:t xml:space="preserve">  </w:t>
      </w:r>
    </w:p>
    <w:p w14:paraId="173C7C23" w14:textId="77777777" w:rsidR="0039412B" w:rsidRPr="00B031D0" w:rsidRDefault="0039412B" w:rsidP="00FF2C4A">
      <w:pPr>
        <w:numPr>
          <w:ilvl w:val="0"/>
          <w:numId w:val="4"/>
        </w:numPr>
        <w:spacing w:before="80"/>
        <w:ind w:left="480" w:hanging="480"/>
        <w:rPr>
          <w:sz w:val="23"/>
          <w:szCs w:val="23"/>
        </w:rPr>
      </w:pPr>
      <w:r w:rsidRPr="002612DE">
        <w:rPr>
          <w:rFonts w:cs="Verdana"/>
          <w:b/>
          <w:bCs/>
          <w:i/>
          <w:sz w:val="23"/>
          <w:szCs w:val="23"/>
        </w:rPr>
        <w:t>Summary of progress:</w:t>
      </w:r>
      <w:r w:rsidRPr="002612DE">
        <w:rPr>
          <w:rFonts w:cs="Verdana"/>
          <w:bCs/>
          <w:sz w:val="23"/>
          <w:szCs w:val="23"/>
        </w:rPr>
        <w:t xml:space="preserve"> </w:t>
      </w:r>
      <w:r w:rsidR="00CE5872" w:rsidRPr="002612DE">
        <w:rPr>
          <w:sz w:val="23"/>
          <w:szCs w:val="23"/>
        </w:rPr>
        <w:t>The Eighth PJDP Phase 2 PEC Meeting and</w:t>
      </w:r>
      <w:r w:rsidR="00764481">
        <w:rPr>
          <w:sz w:val="23"/>
          <w:szCs w:val="23"/>
        </w:rPr>
        <w:t xml:space="preserve"> the</w:t>
      </w:r>
      <w:r w:rsidR="00CE5872" w:rsidRPr="002612DE">
        <w:rPr>
          <w:sz w:val="23"/>
          <w:szCs w:val="23"/>
        </w:rPr>
        <w:t xml:space="preserve"> Sixth Chief Justices’ Leadership Workshop were </w:t>
      </w:r>
      <w:r w:rsidR="00764481">
        <w:rPr>
          <w:sz w:val="23"/>
          <w:szCs w:val="23"/>
        </w:rPr>
        <w:t xml:space="preserve">both </w:t>
      </w:r>
      <w:r w:rsidR="00CE5872" w:rsidRPr="002612DE">
        <w:rPr>
          <w:sz w:val="23"/>
          <w:szCs w:val="23"/>
        </w:rPr>
        <w:t>hel</w:t>
      </w:r>
      <w:r w:rsidR="00CE5872" w:rsidRPr="00CE5872">
        <w:rPr>
          <w:sz w:val="23"/>
          <w:szCs w:val="23"/>
        </w:rPr>
        <w:t xml:space="preserve">d in Auckland in March 2014. </w:t>
      </w:r>
      <w:r w:rsidR="00764481">
        <w:rPr>
          <w:sz w:val="23"/>
          <w:szCs w:val="23"/>
        </w:rPr>
        <w:t xml:space="preserve"> </w:t>
      </w:r>
      <w:r w:rsidR="00CE5872" w:rsidRPr="00CE5872">
        <w:rPr>
          <w:sz w:val="23"/>
          <w:szCs w:val="23"/>
        </w:rPr>
        <w:t>Please refer to the Eighth Quarterly Progress Report for further detail</w:t>
      </w:r>
      <w:r w:rsidR="00764481">
        <w:rPr>
          <w:sz w:val="23"/>
          <w:szCs w:val="23"/>
        </w:rPr>
        <w:t>s</w:t>
      </w:r>
      <w:r w:rsidR="00CE5872" w:rsidRPr="00B031D0">
        <w:rPr>
          <w:sz w:val="23"/>
          <w:szCs w:val="23"/>
        </w:rPr>
        <w:t>.</w:t>
      </w:r>
    </w:p>
    <w:p w14:paraId="0672F74D" w14:textId="77777777" w:rsidR="0039412B" w:rsidRPr="00B031D0" w:rsidRDefault="00CE5872" w:rsidP="00FF2C4A">
      <w:pPr>
        <w:numPr>
          <w:ilvl w:val="0"/>
          <w:numId w:val="4"/>
        </w:numPr>
        <w:spacing w:before="80"/>
        <w:ind w:left="480" w:hanging="480"/>
        <w:rPr>
          <w:sz w:val="23"/>
          <w:szCs w:val="23"/>
        </w:rPr>
      </w:pPr>
      <w:r w:rsidRPr="00B031D0">
        <w:rPr>
          <w:b/>
          <w:i/>
          <w:sz w:val="23"/>
          <w:szCs w:val="23"/>
        </w:rPr>
        <w:t>Next Steps</w:t>
      </w:r>
      <w:r w:rsidR="0039412B" w:rsidRPr="00B031D0">
        <w:rPr>
          <w:b/>
          <w:i/>
          <w:sz w:val="23"/>
          <w:szCs w:val="23"/>
        </w:rPr>
        <w:t xml:space="preserve">: </w:t>
      </w:r>
      <w:r w:rsidR="00764481" w:rsidRPr="00B031D0">
        <w:rPr>
          <w:sz w:val="23"/>
          <w:szCs w:val="23"/>
        </w:rPr>
        <w:t xml:space="preserve">The </w:t>
      </w:r>
      <w:r w:rsidRPr="00B031D0">
        <w:rPr>
          <w:sz w:val="23"/>
          <w:szCs w:val="23"/>
        </w:rPr>
        <w:t xml:space="preserve">Ninth PJDP Phase 2 PEC Meeting </w:t>
      </w:r>
      <w:r w:rsidR="00764481">
        <w:rPr>
          <w:sz w:val="23"/>
          <w:szCs w:val="23"/>
        </w:rPr>
        <w:t xml:space="preserve">(23-25 October, 2014) </w:t>
      </w:r>
      <w:r w:rsidR="00764481" w:rsidRPr="00B031D0">
        <w:rPr>
          <w:sz w:val="23"/>
          <w:szCs w:val="23"/>
        </w:rPr>
        <w:t xml:space="preserve">and </w:t>
      </w:r>
      <w:r w:rsidR="00764481">
        <w:rPr>
          <w:sz w:val="23"/>
          <w:szCs w:val="23"/>
        </w:rPr>
        <w:t xml:space="preserve">the </w:t>
      </w:r>
      <w:r w:rsidR="00764481" w:rsidRPr="00B031D0">
        <w:rPr>
          <w:sz w:val="23"/>
          <w:szCs w:val="23"/>
        </w:rPr>
        <w:t xml:space="preserve">Sixth National Coordinators’ Leadership Workshop </w:t>
      </w:r>
      <w:r w:rsidR="00764481">
        <w:rPr>
          <w:sz w:val="23"/>
          <w:szCs w:val="23"/>
        </w:rPr>
        <w:t>(20-22 October, 2014) are both scheduled to be held in Rarotonga, Cook Islands</w:t>
      </w:r>
      <w:r w:rsidR="00B031D0" w:rsidRPr="00B031D0">
        <w:rPr>
          <w:sz w:val="23"/>
          <w:szCs w:val="23"/>
        </w:rPr>
        <w:t>.</w:t>
      </w:r>
      <w:r w:rsidR="00764481" w:rsidRPr="00764481">
        <w:rPr>
          <w:sz w:val="23"/>
          <w:szCs w:val="23"/>
        </w:rPr>
        <w:t xml:space="preserve"> </w:t>
      </w:r>
      <w:r w:rsidR="00764481">
        <w:rPr>
          <w:sz w:val="23"/>
          <w:szCs w:val="23"/>
        </w:rPr>
        <w:t xml:space="preserve"> </w:t>
      </w:r>
      <w:r w:rsidR="00764481" w:rsidRPr="00CE5872">
        <w:rPr>
          <w:sz w:val="23"/>
          <w:szCs w:val="23"/>
        </w:rPr>
        <w:t xml:space="preserve">Travel and logistical arrangements are </w:t>
      </w:r>
      <w:r w:rsidR="00701576">
        <w:rPr>
          <w:sz w:val="23"/>
          <w:szCs w:val="23"/>
        </w:rPr>
        <w:t>currently underway</w:t>
      </w:r>
      <w:r w:rsidR="00764481" w:rsidRPr="00CE5872">
        <w:rPr>
          <w:sz w:val="23"/>
          <w:szCs w:val="23"/>
        </w:rPr>
        <w:t xml:space="preserve"> for </w:t>
      </w:r>
      <w:r w:rsidR="00701576">
        <w:rPr>
          <w:sz w:val="23"/>
          <w:szCs w:val="23"/>
        </w:rPr>
        <w:t>both activities.</w:t>
      </w:r>
    </w:p>
    <w:p w14:paraId="0385FB60" w14:textId="77777777" w:rsidR="0039412B" w:rsidRPr="003B6EA0" w:rsidRDefault="0039412B" w:rsidP="003B6EA0">
      <w:pPr>
        <w:rPr>
          <w:b/>
          <w:sz w:val="23"/>
          <w:szCs w:val="23"/>
        </w:rPr>
      </w:pPr>
    </w:p>
    <w:p w14:paraId="46094068" w14:textId="77777777" w:rsidR="0039412B" w:rsidRPr="00D108BA" w:rsidRDefault="0039412B" w:rsidP="00BA4968">
      <w:pPr>
        <w:pStyle w:val="Heading3"/>
        <w:numPr>
          <w:ilvl w:val="0"/>
          <w:numId w:val="50"/>
        </w:numPr>
        <w:spacing w:after="120"/>
        <w:ind w:hanging="720"/>
        <w:rPr>
          <w:sz w:val="23"/>
          <w:szCs w:val="23"/>
        </w:rPr>
      </w:pPr>
      <w:bookmarkStart w:id="39" w:name="_Toc391469725"/>
      <w:r w:rsidRPr="00D108BA">
        <w:rPr>
          <w:sz w:val="23"/>
          <w:szCs w:val="23"/>
        </w:rPr>
        <w:t>Responsive Fund Mechanism</w:t>
      </w:r>
      <w:bookmarkEnd w:id="39"/>
    </w:p>
    <w:p w14:paraId="6BF8A7E6" w14:textId="23E5F418" w:rsidR="0039412B" w:rsidRPr="00D25EF8" w:rsidRDefault="00416AAC" w:rsidP="00FF2C4A">
      <w:pPr>
        <w:numPr>
          <w:ilvl w:val="0"/>
          <w:numId w:val="4"/>
        </w:numPr>
        <w:spacing w:before="80"/>
        <w:ind w:left="480" w:hanging="480"/>
        <w:rPr>
          <w:b/>
          <w:i/>
          <w:sz w:val="23"/>
          <w:szCs w:val="23"/>
        </w:rPr>
      </w:pPr>
      <w:r>
        <w:rPr>
          <w:noProof/>
          <w:highlight w:val="yellow"/>
        </w:rPr>
        <mc:AlternateContent>
          <mc:Choice Requires="wps">
            <w:drawing>
              <wp:anchor distT="0" distB="0" distL="114300" distR="114300" simplePos="0" relativeHeight="251665920" behindDoc="1" locked="0" layoutInCell="1" allowOverlap="1" wp14:anchorId="118B9F7F" wp14:editId="260616F9">
                <wp:simplePos x="0" y="0"/>
                <wp:positionH relativeFrom="column">
                  <wp:posOffset>3511550</wp:posOffset>
                </wp:positionH>
                <wp:positionV relativeFrom="paragraph">
                  <wp:posOffset>620883</wp:posOffset>
                </wp:positionV>
                <wp:extent cx="2226310" cy="1834515"/>
                <wp:effectExtent l="0" t="0" r="97790" b="89535"/>
                <wp:wrapTight wrapText="bothSides">
                  <wp:wrapPolygon edited="0">
                    <wp:start x="0" y="0"/>
                    <wp:lineTo x="0" y="21757"/>
                    <wp:lineTo x="370" y="22430"/>
                    <wp:lineTo x="22364" y="22430"/>
                    <wp:lineTo x="22364" y="897"/>
                    <wp:lineTo x="21994" y="0"/>
                    <wp:lineTo x="0" y="0"/>
                  </wp:wrapPolygon>
                </wp:wrapTight>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1834515"/>
                        </a:xfrm>
                        <a:prstGeom prst="rect">
                          <a:avLst/>
                        </a:prstGeom>
                        <a:solidFill>
                          <a:srgbClr val="1F497D">
                            <a:lumMod val="20000"/>
                            <a:lumOff val="80000"/>
                          </a:srgbClr>
                        </a:solidFill>
                        <a:ln w="6350">
                          <a:solidFill>
                            <a:srgbClr val="969696"/>
                          </a:solidFill>
                          <a:miter lim="800000"/>
                          <a:headEnd/>
                          <a:tailEnd/>
                        </a:ln>
                        <a:effectLst>
                          <a:outerShdw dist="107763" dir="2700000" algn="ctr" rotWithShape="0">
                            <a:srgbClr val="808080">
                              <a:alpha val="50000"/>
                            </a:srgbClr>
                          </a:outerShdw>
                        </a:effectLst>
                      </wps:spPr>
                      <wps:txbx>
                        <w:txbxContent>
                          <w:p w14:paraId="6E68EABF" w14:textId="77777777" w:rsidR="0070135D" w:rsidRPr="00175031" w:rsidRDefault="0070135D" w:rsidP="006F335E">
                            <w:pPr>
                              <w:spacing w:before="80"/>
                              <w:jc w:val="center"/>
                              <w:rPr>
                                <w:rFonts w:ascii="Garamond" w:hAnsi="Garamond"/>
                                <w:i/>
                                <w:szCs w:val="25"/>
                              </w:rPr>
                            </w:pPr>
                            <w:r w:rsidRPr="00175031">
                              <w:rPr>
                                <w:rFonts w:ascii="Garamond" w:hAnsi="Garamond"/>
                                <w:i/>
                                <w:szCs w:val="25"/>
                              </w:rPr>
                              <w:t>“In October last year, I reported to you that despite our efforts in mediation, we had not seen the fruits of our efforts.       I am happy to report that Chuan’s second trip here has been a game changer. I want to thank you and the PJDP for helping us launch a court-annex mediation program.”</w:t>
                            </w:r>
                          </w:p>
                          <w:p w14:paraId="4A02A5B6" w14:textId="77777777" w:rsidR="0070135D" w:rsidRDefault="0070135D" w:rsidP="00175031">
                            <w:pPr>
                              <w:spacing w:before="130" w:after="80"/>
                              <w:jc w:val="center"/>
                              <w:rPr>
                                <w:i/>
                                <w:sz w:val="20"/>
                                <w:szCs w:val="20"/>
                              </w:rPr>
                            </w:pPr>
                            <w:r>
                              <w:rPr>
                                <w:i/>
                                <w:sz w:val="20"/>
                                <w:szCs w:val="20"/>
                              </w:rPr>
                              <w:t>Chief Justice Arthur Ngiraklsong, Palau</w:t>
                            </w:r>
                          </w:p>
                          <w:p w14:paraId="629C0890" w14:textId="77777777" w:rsidR="0070135D" w:rsidRPr="00840D5E" w:rsidRDefault="0070135D" w:rsidP="006F335E">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18B9F7F" id="_x0000_s1027" type="#_x0000_t202" style="position:absolute;left:0;text-align:left;margin-left:276.5pt;margin-top:48.9pt;width:175.3pt;height:144.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" fillcolor="#c6d9f1" strokecolor="#969696" strokeweight=".5pt">
                <v:shadow on="t" opacity=".5" offset="6pt,6pt"/>
                <v:textbox>
                  <w:txbxContent>
                    <w:p w14:paraId="6E68EABF" w14:textId="77777777" w:rsidR="0070135D" w:rsidRPr="00175031" w:rsidRDefault="0070135D" w:rsidP="006F335E">
                      <w:pPr>
                        <w:spacing w:before="80"/>
                        <w:jc w:val="center"/>
                        <w:rPr>
                          <w:rFonts w:ascii="Garamond" w:hAnsi="Garamond"/>
                          <w:i/>
                          <w:szCs w:val="25"/>
                        </w:rPr>
                      </w:pPr>
                      <w:r w:rsidRPr="00175031">
                        <w:rPr>
                          <w:rFonts w:ascii="Garamond" w:hAnsi="Garamond"/>
                          <w:i/>
                          <w:szCs w:val="25"/>
                        </w:rPr>
                        <w:t>“In October last year, I reported to you that despite our efforts in mediation, we had not seen the fruits of our efforts.       I am happy to report that Chuan’s second trip here has been a game changer. I want to thank you and the PJDP for helping us launch a court-annex mediation program.”</w:t>
                      </w:r>
                    </w:p>
                    <w:p w14:paraId="4A02A5B6" w14:textId="77777777" w:rsidR="0070135D" w:rsidRDefault="0070135D" w:rsidP="00175031">
                      <w:pPr>
                        <w:spacing w:before="130" w:after="80"/>
                        <w:jc w:val="center"/>
                        <w:rPr>
                          <w:i/>
                          <w:sz w:val="20"/>
                          <w:szCs w:val="20"/>
                        </w:rPr>
                      </w:pPr>
                      <w:r>
                        <w:rPr>
                          <w:i/>
                          <w:sz w:val="20"/>
                          <w:szCs w:val="20"/>
                        </w:rPr>
                        <w:t>Chief Justice Arthur Ngiraklsong, Palau</w:t>
                      </w:r>
                    </w:p>
                    <w:p w14:paraId="629C0890" w14:textId="77777777" w:rsidR="0070135D" w:rsidRPr="00840D5E" w:rsidRDefault="0070135D" w:rsidP="006F335E">
                      <w:pPr>
                        <w:jc w:val="center"/>
                        <w:rPr>
                          <w:sz w:val="20"/>
                          <w:szCs w:val="20"/>
                        </w:rPr>
                      </w:pPr>
                    </w:p>
                  </w:txbxContent>
                </v:textbox>
                <w10:wrap type="tight"/>
              </v:shape>
            </w:pict>
          </mc:Fallback>
        </mc:AlternateContent>
      </w:r>
      <w:r w:rsidR="0039412B" w:rsidRPr="00D108BA">
        <w:rPr>
          <w:b/>
          <w:i/>
          <w:sz w:val="23"/>
          <w:szCs w:val="23"/>
        </w:rPr>
        <w:t>Status:</w:t>
      </w:r>
      <w:r w:rsidR="0039412B" w:rsidRPr="00D108BA">
        <w:rPr>
          <w:sz w:val="23"/>
          <w:szCs w:val="23"/>
        </w:rPr>
        <w:t xml:space="preserve"> </w:t>
      </w:r>
      <w:r w:rsidR="006F574A" w:rsidRPr="00D108BA">
        <w:rPr>
          <w:sz w:val="23"/>
          <w:szCs w:val="23"/>
        </w:rPr>
        <w:t>Since the commencement of the 24-mo</w:t>
      </w:r>
      <w:r w:rsidR="00D108BA" w:rsidRPr="00D108BA">
        <w:rPr>
          <w:sz w:val="23"/>
          <w:szCs w:val="23"/>
        </w:rPr>
        <w:t>nth Extension Plan</w:t>
      </w:r>
      <w:r w:rsidR="008A1627">
        <w:rPr>
          <w:sz w:val="23"/>
          <w:szCs w:val="23"/>
        </w:rPr>
        <w:t xml:space="preserve"> on 1 July</w:t>
      </w:r>
      <w:r w:rsidR="00D108BA">
        <w:rPr>
          <w:sz w:val="23"/>
          <w:szCs w:val="23"/>
        </w:rPr>
        <w:t xml:space="preserve"> 2013</w:t>
      </w:r>
      <w:r w:rsidR="009E0643">
        <w:rPr>
          <w:sz w:val="23"/>
          <w:szCs w:val="23"/>
        </w:rPr>
        <w:t>,</w:t>
      </w:r>
      <w:r w:rsidR="00D108BA" w:rsidRPr="00D108BA">
        <w:rPr>
          <w:sz w:val="23"/>
          <w:szCs w:val="23"/>
        </w:rPr>
        <w:t xml:space="preserve"> </w:t>
      </w:r>
      <w:r w:rsidR="00D108BA" w:rsidRPr="00D25EF8">
        <w:rPr>
          <w:sz w:val="23"/>
          <w:szCs w:val="23"/>
        </w:rPr>
        <w:t xml:space="preserve">19 </w:t>
      </w:r>
      <w:r w:rsidR="009E0643">
        <w:rPr>
          <w:sz w:val="23"/>
          <w:szCs w:val="23"/>
        </w:rPr>
        <w:t xml:space="preserve">Responsive Fund </w:t>
      </w:r>
      <w:r w:rsidR="00D108BA" w:rsidRPr="00D25EF8">
        <w:rPr>
          <w:sz w:val="23"/>
          <w:szCs w:val="23"/>
        </w:rPr>
        <w:t>applications have been approved</w:t>
      </w:r>
      <w:r w:rsidR="009E0643">
        <w:rPr>
          <w:sz w:val="23"/>
          <w:szCs w:val="23"/>
        </w:rPr>
        <w:t xml:space="preserve">, with </w:t>
      </w:r>
      <w:r w:rsidR="00BF4D53">
        <w:rPr>
          <w:sz w:val="23"/>
          <w:szCs w:val="23"/>
        </w:rPr>
        <w:t xml:space="preserve">a </w:t>
      </w:r>
      <w:r w:rsidR="00D108BA" w:rsidRPr="00D25EF8">
        <w:rPr>
          <w:sz w:val="23"/>
          <w:szCs w:val="23"/>
        </w:rPr>
        <w:t>total</w:t>
      </w:r>
      <w:r w:rsidR="00BF4D53">
        <w:rPr>
          <w:sz w:val="23"/>
          <w:szCs w:val="23"/>
        </w:rPr>
        <w:t xml:space="preserve"> of</w:t>
      </w:r>
      <w:r w:rsidR="00D108BA" w:rsidRPr="00D25EF8">
        <w:rPr>
          <w:sz w:val="23"/>
          <w:szCs w:val="23"/>
        </w:rPr>
        <w:t xml:space="preserve"> </w:t>
      </w:r>
      <w:r w:rsidR="00670AE3">
        <w:rPr>
          <w:sz w:val="23"/>
          <w:szCs w:val="23"/>
        </w:rPr>
        <w:t>15</w:t>
      </w:r>
      <w:r w:rsidR="00D108BA" w:rsidRPr="00D25EF8">
        <w:rPr>
          <w:sz w:val="23"/>
          <w:szCs w:val="23"/>
        </w:rPr>
        <w:t xml:space="preserve"> activities completed.</w:t>
      </w:r>
      <w:r w:rsidR="00BF4D53">
        <w:rPr>
          <w:sz w:val="23"/>
          <w:szCs w:val="23"/>
        </w:rPr>
        <w:t xml:space="preserve"> </w:t>
      </w:r>
      <w:r w:rsidR="00A412A4">
        <w:rPr>
          <w:sz w:val="23"/>
          <w:szCs w:val="23"/>
        </w:rPr>
        <w:t xml:space="preserve">The majority of funds approved have been allocated or </w:t>
      </w:r>
      <w:r w:rsidR="00B77BB5">
        <w:rPr>
          <w:sz w:val="23"/>
          <w:szCs w:val="23"/>
        </w:rPr>
        <w:t>spent</w:t>
      </w:r>
      <w:r w:rsidR="00A412A4">
        <w:rPr>
          <w:sz w:val="23"/>
          <w:szCs w:val="23"/>
        </w:rPr>
        <w:t>.  As a result, no new applications can be supported at this time.</w:t>
      </w:r>
    </w:p>
    <w:p w14:paraId="3D4E25C1" w14:textId="77777777" w:rsidR="0039412B" w:rsidRPr="00D25EF8" w:rsidRDefault="0039412B" w:rsidP="00FF2C4A">
      <w:pPr>
        <w:numPr>
          <w:ilvl w:val="0"/>
          <w:numId w:val="4"/>
        </w:numPr>
        <w:spacing w:before="80"/>
        <w:ind w:left="480" w:hanging="480"/>
      </w:pPr>
      <w:r w:rsidRPr="00D25EF8">
        <w:rPr>
          <w:b/>
          <w:i/>
          <w:sz w:val="23"/>
          <w:szCs w:val="23"/>
        </w:rPr>
        <w:t xml:space="preserve">Summary </w:t>
      </w:r>
      <w:r w:rsidRPr="00D25EF8">
        <w:rPr>
          <w:rFonts w:cs="Verdana"/>
          <w:b/>
          <w:bCs/>
          <w:i/>
          <w:sz w:val="23"/>
          <w:szCs w:val="23"/>
        </w:rPr>
        <w:t>of progress</w:t>
      </w:r>
      <w:r w:rsidRPr="00D25EF8">
        <w:rPr>
          <w:b/>
          <w:i/>
          <w:sz w:val="23"/>
          <w:szCs w:val="23"/>
        </w:rPr>
        <w:t>:</w:t>
      </w:r>
      <w:r w:rsidR="00D108BA" w:rsidRPr="00D25EF8">
        <w:rPr>
          <w:sz w:val="23"/>
          <w:szCs w:val="23"/>
        </w:rPr>
        <w:t xml:space="preserve"> During t</w:t>
      </w:r>
      <w:r w:rsidR="00D25EF8" w:rsidRPr="00D25EF8">
        <w:rPr>
          <w:sz w:val="23"/>
          <w:szCs w:val="23"/>
        </w:rPr>
        <w:t>he reporting period a total</w:t>
      </w:r>
      <w:r w:rsidR="00B77BB5">
        <w:rPr>
          <w:sz w:val="23"/>
          <w:szCs w:val="23"/>
        </w:rPr>
        <w:t xml:space="preserve"> of</w:t>
      </w:r>
      <w:r w:rsidR="00D25EF8" w:rsidRPr="00D25EF8">
        <w:rPr>
          <w:sz w:val="23"/>
          <w:szCs w:val="23"/>
        </w:rPr>
        <w:t xml:space="preserve"> </w:t>
      </w:r>
      <w:r w:rsidR="0085470F">
        <w:rPr>
          <w:sz w:val="23"/>
          <w:szCs w:val="23"/>
        </w:rPr>
        <w:t>six applications were received.  Five</w:t>
      </w:r>
      <w:r w:rsidR="00D108BA" w:rsidRPr="00D25EF8">
        <w:rPr>
          <w:sz w:val="23"/>
          <w:szCs w:val="23"/>
        </w:rPr>
        <w:t xml:space="preserve"> applications </w:t>
      </w:r>
      <w:r w:rsidR="0085470F">
        <w:rPr>
          <w:sz w:val="23"/>
          <w:szCs w:val="23"/>
        </w:rPr>
        <w:t xml:space="preserve">have been </w:t>
      </w:r>
      <w:r w:rsidR="00D108BA" w:rsidRPr="00D25EF8">
        <w:rPr>
          <w:sz w:val="23"/>
          <w:szCs w:val="23"/>
        </w:rPr>
        <w:t>approved</w:t>
      </w:r>
      <w:r w:rsidR="0085470F">
        <w:rPr>
          <w:sz w:val="23"/>
          <w:szCs w:val="23"/>
        </w:rPr>
        <w:t xml:space="preserve"> </w:t>
      </w:r>
      <w:r w:rsidR="00D25EF8" w:rsidRPr="00D25EF8">
        <w:rPr>
          <w:sz w:val="23"/>
          <w:szCs w:val="23"/>
        </w:rPr>
        <w:t xml:space="preserve">with </w:t>
      </w:r>
      <w:r w:rsidR="0085470F">
        <w:rPr>
          <w:sz w:val="23"/>
          <w:szCs w:val="23"/>
        </w:rPr>
        <w:t xml:space="preserve">the approval process for the </w:t>
      </w:r>
      <w:r w:rsidR="00D25EF8" w:rsidRPr="00D25EF8">
        <w:rPr>
          <w:sz w:val="23"/>
          <w:szCs w:val="23"/>
        </w:rPr>
        <w:t xml:space="preserve">1 remaining </w:t>
      </w:r>
      <w:proofErr w:type="gramStart"/>
      <w:r w:rsidR="0085470F">
        <w:rPr>
          <w:sz w:val="23"/>
          <w:szCs w:val="23"/>
        </w:rPr>
        <w:t>application</w:t>
      </w:r>
      <w:proofErr w:type="gramEnd"/>
      <w:r w:rsidR="0085470F">
        <w:rPr>
          <w:sz w:val="23"/>
          <w:szCs w:val="23"/>
        </w:rPr>
        <w:t xml:space="preserve"> still </w:t>
      </w:r>
      <w:r w:rsidR="00D25EF8" w:rsidRPr="00D25EF8">
        <w:rPr>
          <w:sz w:val="23"/>
          <w:szCs w:val="23"/>
        </w:rPr>
        <w:t xml:space="preserve">under </w:t>
      </w:r>
      <w:r w:rsidR="0085470F">
        <w:rPr>
          <w:sz w:val="23"/>
          <w:szCs w:val="23"/>
        </w:rPr>
        <w:t>way</w:t>
      </w:r>
      <w:r w:rsidR="00D108BA" w:rsidRPr="00D25EF8">
        <w:rPr>
          <w:sz w:val="23"/>
          <w:szCs w:val="23"/>
        </w:rPr>
        <w:t xml:space="preserve">. </w:t>
      </w:r>
      <w:r w:rsidR="0085470F">
        <w:rPr>
          <w:sz w:val="23"/>
          <w:szCs w:val="23"/>
        </w:rPr>
        <w:t xml:space="preserve"> </w:t>
      </w:r>
      <w:r w:rsidR="0085470F" w:rsidRPr="00D25EF8">
        <w:rPr>
          <w:sz w:val="23"/>
          <w:szCs w:val="23"/>
        </w:rPr>
        <w:t xml:space="preserve">Approved </w:t>
      </w:r>
      <w:r w:rsidR="00D25EF8" w:rsidRPr="00D25EF8">
        <w:rPr>
          <w:sz w:val="23"/>
          <w:szCs w:val="23"/>
        </w:rPr>
        <w:t>applications include: Island Court Justices Orientation Training in Sola</w:t>
      </w:r>
      <w:r w:rsidR="0085470F">
        <w:rPr>
          <w:sz w:val="23"/>
          <w:szCs w:val="23"/>
        </w:rPr>
        <w:t xml:space="preserve"> (</w:t>
      </w:r>
      <w:r w:rsidR="00D25EF8" w:rsidRPr="00D25EF8">
        <w:rPr>
          <w:sz w:val="23"/>
          <w:szCs w:val="23"/>
        </w:rPr>
        <w:t>Vanuatu</w:t>
      </w:r>
      <w:r w:rsidR="0085470F">
        <w:rPr>
          <w:sz w:val="23"/>
          <w:szCs w:val="23"/>
        </w:rPr>
        <w:t>)</w:t>
      </w:r>
      <w:r w:rsidR="00D25EF8" w:rsidRPr="00D25EF8">
        <w:rPr>
          <w:sz w:val="23"/>
          <w:szCs w:val="23"/>
        </w:rPr>
        <w:t xml:space="preserve">; a Judicial Administration Workshop on Time Standards </w:t>
      </w:r>
      <w:r w:rsidR="0085470F">
        <w:rPr>
          <w:sz w:val="23"/>
          <w:szCs w:val="23"/>
        </w:rPr>
        <w:t>(</w:t>
      </w:r>
      <w:r w:rsidR="00D25EF8" w:rsidRPr="00D25EF8">
        <w:rPr>
          <w:sz w:val="23"/>
          <w:szCs w:val="23"/>
        </w:rPr>
        <w:t xml:space="preserve">Federated States of Micronesia); a </w:t>
      </w:r>
      <w:r w:rsidR="00B77BB5">
        <w:rPr>
          <w:sz w:val="23"/>
          <w:szCs w:val="23"/>
        </w:rPr>
        <w:t>Judgment</w:t>
      </w:r>
      <w:r w:rsidR="00B77BB5" w:rsidRPr="00D25EF8">
        <w:rPr>
          <w:sz w:val="23"/>
          <w:szCs w:val="23"/>
        </w:rPr>
        <w:t xml:space="preserve"> </w:t>
      </w:r>
      <w:r w:rsidR="00D25EF8" w:rsidRPr="00D25EF8">
        <w:rPr>
          <w:sz w:val="23"/>
          <w:szCs w:val="23"/>
        </w:rPr>
        <w:t xml:space="preserve">Writing Workshop for Magistrates and Island Court Judges </w:t>
      </w:r>
      <w:r w:rsidR="0085470F">
        <w:rPr>
          <w:sz w:val="23"/>
          <w:szCs w:val="23"/>
        </w:rPr>
        <w:t>(</w:t>
      </w:r>
      <w:r w:rsidR="00D25EF8" w:rsidRPr="00D25EF8">
        <w:rPr>
          <w:sz w:val="23"/>
          <w:szCs w:val="23"/>
        </w:rPr>
        <w:t>Vanuatu</w:t>
      </w:r>
      <w:r w:rsidR="0085470F">
        <w:rPr>
          <w:sz w:val="23"/>
          <w:szCs w:val="23"/>
        </w:rPr>
        <w:t>)</w:t>
      </w:r>
      <w:r w:rsidR="00D25EF8" w:rsidRPr="00D25EF8">
        <w:rPr>
          <w:sz w:val="23"/>
          <w:szCs w:val="23"/>
        </w:rPr>
        <w:t xml:space="preserve">; and </w:t>
      </w:r>
      <w:r w:rsidR="00A412A4">
        <w:rPr>
          <w:sz w:val="23"/>
          <w:szCs w:val="23"/>
        </w:rPr>
        <w:t xml:space="preserve">Support to </w:t>
      </w:r>
      <w:r w:rsidR="00D25EF8" w:rsidRPr="00D25EF8">
        <w:rPr>
          <w:sz w:val="23"/>
          <w:szCs w:val="23"/>
        </w:rPr>
        <w:t>attend the 19</w:t>
      </w:r>
      <w:r w:rsidR="00D25EF8" w:rsidRPr="00D25EF8">
        <w:rPr>
          <w:sz w:val="23"/>
          <w:szCs w:val="23"/>
          <w:vertAlign w:val="superscript"/>
        </w:rPr>
        <w:t>th</w:t>
      </w:r>
      <w:r w:rsidR="00D25EF8" w:rsidRPr="00D25EF8">
        <w:rPr>
          <w:sz w:val="23"/>
          <w:szCs w:val="23"/>
        </w:rPr>
        <w:t xml:space="preserve"> Meeting of the South Pacific Council of Youth and Children’s Courts</w:t>
      </w:r>
      <w:r w:rsidR="00A412A4">
        <w:rPr>
          <w:sz w:val="23"/>
          <w:szCs w:val="23"/>
        </w:rPr>
        <w:t xml:space="preserve"> (</w:t>
      </w:r>
      <w:r w:rsidR="00A412A4" w:rsidRPr="00D25EF8">
        <w:rPr>
          <w:sz w:val="23"/>
          <w:szCs w:val="23"/>
        </w:rPr>
        <w:t>Cook Islands</w:t>
      </w:r>
      <w:r w:rsidR="00A412A4">
        <w:rPr>
          <w:sz w:val="23"/>
          <w:szCs w:val="23"/>
        </w:rPr>
        <w:t>)</w:t>
      </w:r>
      <w:r w:rsidR="00D25EF8" w:rsidRPr="00D25EF8">
        <w:rPr>
          <w:sz w:val="23"/>
          <w:szCs w:val="23"/>
        </w:rPr>
        <w:t>.</w:t>
      </w:r>
      <w:r w:rsidR="006F335E" w:rsidRPr="006F335E">
        <w:rPr>
          <w:rFonts w:ascii="Times New Roman" w:hAnsi="Times New Roman"/>
          <w:lang w:eastAsia="ja-JP"/>
        </w:rPr>
        <w:t xml:space="preserve"> </w:t>
      </w:r>
    </w:p>
    <w:p w14:paraId="7A0B390C" w14:textId="77777777" w:rsidR="00D108BA" w:rsidRPr="00D108BA" w:rsidRDefault="00D108BA" w:rsidP="00D108BA">
      <w:pPr>
        <w:numPr>
          <w:ilvl w:val="0"/>
          <w:numId w:val="4"/>
        </w:numPr>
        <w:spacing w:before="80"/>
        <w:ind w:left="480" w:hanging="480"/>
        <w:rPr>
          <w:b/>
          <w:i/>
          <w:sz w:val="23"/>
          <w:szCs w:val="23"/>
        </w:rPr>
      </w:pPr>
      <w:r w:rsidRPr="00D25EF8">
        <w:rPr>
          <w:b/>
          <w:i/>
          <w:sz w:val="23"/>
          <w:szCs w:val="23"/>
        </w:rPr>
        <w:t>Next Steps:</w:t>
      </w:r>
      <w:r w:rsidRPr="00D25EF8">
        <w:rPr>
          <w:sz w:val="23"/>
          <w:szCs w:val="23"/>
        </w:rPr>
        <w:t xml:space="preserve"> </w:t>
      </w:r>
      <w:r w:rsidR="00807E3B">
        <w:rPr>
          <w:sz w:val="23"/>
          <w:szCs w:val="23"/>
        </w:rPr>
        <w:t xml:space="preserve">The </w:t>
      </w:r>
      <w:r w:rsidR="00A412A4">
        <w:rPr>
          <w:sz w:val="23"/>
          <w:szCs w:val="23"/>
        </w:rPr>
        <w:t>PJDP Team will continue to provide support for all ongoing activities, as required</w:t>
      </w:r>
      <w:r w:rsidR="00604306">
        <w:rPr>
          <w:sz w:val="23"/>
          <w:szCs w:val="23"/>
        </w:rPr>
        <w:t xml:space="preserve">. </w:t>
      </w:r>
    </w:p>
    <w:p w14:paraId="1B987CB2" w14:textId="77777777" w:rsidR="0039412B" w:rsidRPr="007942C1" w:rsidRDefault="0039412B" w:rsidP="00802C7B">
      <w:pPr>
        <w:rPr>
          <w:b/>
          <w:sz w:val="23"/>
          <w:szCs w:val="23"/>
        </w:rPr>
      </w:pPr>
    </w:p>
    <w:p w14:paraId="43F46B8A" w14:textId="77777777" w:rsidR="0039412B" w:rsidRPr="005231DB" w:rsidRDefault="0039412B" w:rsidP="00BA4968">
      <w:pPr>
        <w:pStyle w:val="Heading3"/>
        <w:numPr>
          <w:ilvl w:val="0"/>
          <w:numId w:val="50"/>
        </w:numPr>
        <w:spacing w:after="120"/>
        <w:ind w:hanging="720"/>
        <w:rPr>
          <w:sz w:val="23"/>
          <w:szCs w:val="23"/>
        </w:rPr>
      </w:pPr>
      <w:bookmarkStart w:id="40" w:name="_Toc391469726"/>
      <w:r w:rsidRPr="00A90950">
        <w:rPr>
          <w:sz w:val="23"/>
          <w:szCs w:val="23"/>
        </w:rPr>
        <w:t xml:space="preserve">National Judicial </w:t>
      </w:r>
      <w:r w:rsidRPr="005231DB">
        <w:rPr>
          <w:sz w:val="23"/>
          <w:szCs w:val="23"/>
        </w:rPr>
        <w:t>Development Committee</w:t>
      </w:r>
      <w:r w:rsidR="000B72ED">
        <w:rPr>
          <w:sz w:val="23"/>
          <w:szCs w:val="23"/>
        </w:rPr>
        <w:t xml:space="preserve"> </w:t>
      </w:r>
      <w:r w:rsidRPr="005231DB">
        <w:rPr>
          <w:sz w:val="23"/>
          <w:szCs w:val="23"/>
        </w:rPr>
        <w:t>Project</w:t>
      </w:r>
      <w:bookmarkEnd w:id="40"/>
    </w:p>
    <w:p w14:paraId="12CE73CA" w14:textId="77777777" w:rsidR="0039412B" w:rsidRPr="005231DB" w:rsidRDefault="0039412B" w:rsidP="00FF2C4A">
      <w:pPr>
        <w:numPr>
          <w:ilvl w:val="0"/>
          <w:numId w:val="4"/>
        </w:numPr>
        <w:spacing w:before="80"/>
        <w:ind w:left="480" w:hanging="480"/>
        <w:rPr>
          <w:b/>
          <w:i/>
          <w:sz w:val="23"/>
          <w:szCs w:val="23"/>
        </w:rPr>
      </w:pPr>
      <w:r w:rsidRPr="005231DB">
        <w:rPr>
          <w:b/>
          <w:i/>
          <w:sz w:val="23"/>
          <w:szCs w:val="23"/>
        </w:rPr>
        <w:t>Status:</w:t>
      </w:r>
      <w:r w:rsidRPr="005231DB">
        <w:rPr>
          <w:sz w:val="23"/>
          <w:szCs w:val="23"/>
        </w:rPr>
        <w:t xml:space="preserve"> </w:t>
      </w:r>
      <w:r w:rsidR="0013018C" w:rsidRPr="005231DB">
        <w:rPr>
          <w:sz w:val="23"/>
          <w:szCs w:val="23"/>
        </w:rPr>
        <w:t xml:space="preserve">The </w:t>
      </w:r>
      <w:r w:rsidR="000B72ED">
        <w:rPr>
          <w:sz w:val="23"/>
          <w:szCs w:val="23"/>
        </w:rPr>
        <w:t xml:space="preserve">approved </w:t>
      </w:r>
      <w:r w:rsidR="000B72ED" w:rsidRPr="001E5C77">
        <w:rPr>
          <w:i/>
          <w:sz w:val="23"/>
          <w:szCs w:val="23"/>
        </w:rPr>
        <w:t>National Judicial Development Committee (</w:t>
      </w:r>
      <w:r w:rsidR="0013018C" w:rsidRPr="001E5C77">
        <w:rPr>
          <w:i/>
          <w:sz w:val="23"/>
          <w:szCs w:val="23"/>
        </w:rPr>
        <w:t>NJDC</w:t>
      </w:r>
      <w:r w:rsidR="000B72ED" w:rsidRPr="001E5C77">
        <w:rPr>
          <w:i/>
          <w:sz w:val="23"/>
          <w:szCs w:val="23"/>
        </w:rPr>
        <w:t>)</w:t>
      </w:r>
      <w:r w:rsidR="0013018C" w:rsidRPr="001E5C77">
        <w:rPr>
          <w:i/>
          <w:sz w:val="23"/>
          <w:szCs w:val="23"/>
        </w:rPr>
        <w:t xml:space="preserve"> Toolkit</w:t>
      </w:r>
      <w:r w:rsidR="0013018C" w:rsidRPr="005231DB">
        <w:rPr>
          <w:sz w:val="23"/>
          <w:szCs w:val="23"/>
        </w:rPr>
        <w:t xml:space="preserve"> </w:t>
      </w:r>
      <w:r w:rsidR="000B72ED">
        <w:rPr>
          <w:sz w:val="23"/>
          <w:szCs w:val="23"/>
        </w:rPr>
        <w:t>Project has successfully</w:t>
      </w:r>
      <w:r w:rsidR="000B72ED" w:rsidRPr="005231DB">
        <w:rPr>
          <w:sz w:val="23"/>
          <w:szCs w:val="23"/>
        </w:rPr>
        <w:t xml:space="preserve"> </w:t>
      </w:r>
      <w:r w:rsidR="000B72ED">
        <w:rPr>
          <w:sz w:val="23"/>
          <w:szCs w:val="23"/>
        </w:rPr>
        <w:t xml:space="preserve">been </w:t>
      </w:r>
      <w:r w:rsidR="0013018C" w:rsidRPr="005231DB">
        <w:rPr>
          <w:sz w:val="23"/>
          <w:szCs w:val="23"/>
        </w:rPr>
        <w:t>implemented in the Cook Islands</w:t>
      </w:r>
      <w:r w:rsidR="000B72ED">
        <w:rPr>
          <w:sz w:val="23"/>
          <w:szCs w:val="23"/>
        </w:rPr>
        <w:t xml:space="preserve"> in this period</w:t>
      </w:r>
      <w:r w:rsidR="006F0271" w:rsidRPr="005231DB">
        <w:rPr>
          <w:sz w:val="23"/>
          <w:szCs w:val="23"/>
        </w:rPr>
        <w:t xml:space="preserve">. </w:t>
      </w:r>
    </w:p>
    <w:p w14:paraId="153CBA04" w14:textId="77777777" w:rsidR="0067760C" w:rsidRDefault="0039412B" w:rsidP="00397AED">
      <w:pPr>
        <w:numPr>
          <w:ilvl w:val="0"/>
          <w:numId w:val="4"/>
        </w:numPr>
        <w:spacing w:before="80"/>
        <w:ind w:left="480" w:hanging="480"/>
        <w:rPr>
          <w:sz w:val="23"/>
          <w:szCs w:val="23"/>
        </w:rPr>
      </w:pPr>
      <w:r w:rsidRPr="005231DB">
        <w:rPr>
          <w:rFonts w:cs="Verdana"/>
          <w:b/>
          <w:bCs/>
          <w:i/>
          <w:sz w:val="23"/>
          <w:szCs w:val="23"/>
        </w:rPr>
        <w:t>Summary of progress:</w:t>
      </w:r>
      <w:r w:rsidRPr="005231DB">
        <w:rPr>
          <w:rFonts w:cs="Verdana"/>
          <w:bCs/>
          <w:sz w:val="23"/>
          <w:szCs w:val="23"/>
        </w:rPr>
        <w:t xml:space="preserve"> </w:t>
      </w:r>
      <w:r w:rsidR="00397AED" w:rsidRPr="005231DB">
        <w:rPr>
          <w:sz w:val="23"/>
          <w:szCs w:val="23"/>
        </w:rPr>
        <w:t>From 26</w:t>
      </w:r>
      <w:r w:rsidR="00CE5D58">
        <w:rPr>
          <w:sz w:val="23"/>
          <w:szCs w:val="23"/>
        </w:rPr>
        <w:t>-</w:t>
      </w:r>
      <w:r w:rsidR="00397AED" w:rsidRPr="005231DB">
        <w:rPr>
          <w:sz w:val="23"/>
          <w:szCs w:val="23"/>
        </w:rPr>
        <w:t>30 May, 2014</w:t>
      </w:r>
      <w:r w:rsidR="002C6409">
        <w:rPr>
          <w:sz w:val="23"/>
          <w:szCs w:val="23"/>
        </w:rPr>
        <w:t>,</w:t>
      </w:r>
      <w:r w:rsidR="00397AED" w:rsidRPr="005231DB">
        <w:rPr>
          <w:sz w:val="23"/>
          <w:szCs w:val="23"/>
        </w:rPr>
        <w:t xml:space="preserve"> the</w:t>
      </w:r>
      <w:r w:rsidR="006F0271" w:rsidRPr="005231DB">
        <w:rPr>
          <w:sz w:val="23"/>
          <w:szCs w:val="23"/>
        </w:rPr>
        <w:t xml:space="preserve"> NJDC A</w:t>
      </w:r>
      <w:r w:rsidRPr="005231DB">
        <w:rPr>
          <w:sz w:val="23"/>
          <w:szCs w:val="23"/>
        </w:rPr>
        <w:t>dviser</w:t>
      </w:r>
      <w:r w:rsidR="00604306">
        <w:rPr>
          <w:sz w:val="23"/>
          <w:szCs w:val="23"/>
        </w:rPr>
        <w:t>, Mr Christopher Roper</w:t>
      </w:r>
      <w:r w:rsidR="00397AED" w:rsidRPr="005231DB">
        <w:rPr>
          <w:sz w:val="23"/>
          <w:szCs w:val="23"/>
        </w:rPr>
        <w:t xml:space="preserve"> worked with the Cook Islands NJDC to </w:t>
      </w:r>
      <w:r w:rsidR="002C6409">
        <w:rPr>
          <w:sz w:val="23"/>
          <w:szCs w:val="23"/>
        </w:rPr>
        <w:t>implement</w:t>
      </w:r>
      <w:r w:rsidR="002C6409" w:rsidRPr="005231DB">
        <w:rPr>
          <w:sz w:val="23"/>
          <w:szCs w:val="23"/>
        </w:rPr>
        <w:t xml:space="preserve"> </w:t>
      </w:r>
      <w:r w:rsidR="00397AED" w:rsidRPr="005231DB">
        <w:rPr>
          <w:sz w:val="23"/>
          <w:szCs w:val="23"/>
        </w:rPr>
        <w:t xml:space="preserve">the Toolkit </w:t>
      </w:r>
      <w:r w:rsidR="002C6409">
        <w:rPr>
          <w:sz w:val="23"/>
          <w:szCs w:val="23"/>
        </w:rPr>
        <w:t xml:space="preserve">and </w:t>
      </w:r>
      <w:r w:rsidR="00397AED" w:rsidRPr="005231DB">
        <w:rPr>
          <w:sz w:val="23"/>
          <w:szCs w:val="23"/>
        </w:rPr>
        <w:t>develop their first Professional Development</w:t>
      </w:r>
      <w:r w:rsidR="00397AED" w:rsidRPr="00397AED">
        <w:rPr>
          <w:sz w:val="23"/>
          <w:szCs w:val="23"/>
        </w:rPr>
        <w:t xml:space="preserve"> Plan.</w:t>
      </w:r>
      <w:r w:rsidR="00800C8E">
        <w:rPr>
          <w:sz w:val="23"/>
          <w:szCs w:val="23"/>
        </w:rPr>
        <w:t xml:space="preserve"> Several meetings with the NJDC were undertaken to introduce the Toolkit, </w:t>
      </w:r>
      <w:r w:rsidR="002C6409">
        <w:rPr>
          <w:sz w:val="23"/>
          <w:szCs w:val="23"/>
        </w:rPr>
        <w:t xml:space="preserve">identify development needs, </w:t>
      </w:r>
      <w:r w:rsidR="00800C8E">
        <w:rPr>
          <w:sz w:val="23"/>
          <w:szCs w:val="23"/>
        </w:rPr>
        <w:t xml:space="preserve">brainstorm ideas and categorise the responses to </w:t>
      </w:r>
      <w:r w:rsidR="002C6409">
        <w:rPr>
          <w:sz w:val="23"/>
          <w:szCs w:val="23"/>
        </w:rPr>
        <w:t>in</w:t>
      </w:r>
      <w:r w:rsidR="00800C8E">
        <w:rPr>
          <w:sz w:val="23"/>
          <w:szCs w:val="23"/>
        </w:rPr>
        <w:t xml:space="preserve">form the </w:t>
      </w:r>
      <w:r w:rsidR="002C6409">
        <w:rPr>
          <w:sz w:val="23"/>
          <w:szCs w:val="23"/>
        </w:rPr>
        <w:t xml:space="preserve">drafting of the </w:t>
      </w:r>
      <w:r w:rsidR="00800C8E">
        <w:rPr>
          <w:sz w:val="23"/>
          <w:szCs w:val="23"/>
        </w:rPr>
        <w:t xml:space="preserve">Professional Development Plan. </w:t>
      </w:r>
      <w:r w:rsidR="004C3766">
        <w:rPr>
          <w:sz w:val="23"/>
          <w:szCs w:val="23"/>
        </w:rPr>
        <w:t>The Plan references the Cook Islands Bench Book for further detail. Discussions resulted in amendments being made to the Bench Book and procedures set in place for regular updates to be made and communicated to the NJDC and Ministry of Justice.</w:t>
      </w:r>
    </w:p>
    <w:p w14:paraId="55B8F6AE" w14:textId="77777777" w:rsidR="00397AED" w:rsidRPr="0067760C" w:rsidRDefault="005231DB" w:rsidP="004C3766">
      <w:pPr>
        <w:spacing w:before="80"/>
        <w:ind w:left="480"/>
        <w:rPr>
          <w:sz w:val="23"/>
          <w:szCs w:val="23"/>
        </w:rPr>
      </w:pPr>
      <w:r>
        <w:rPr>
          <w:sz w:val="23"/>
          <w:szCs w:val="23"/>
        </w:rPr>
        <w:t>T</w:t>
      </w:r>
      <w:r w:rsidRPr="0067760C">
        <w:rPr>
          <w:sz w:val="23"/>
          <w:szCs w:val="23"/>
        </w:rPr>
        <w:t>he Toolkit was amended in line with l</w:t>
      </w:r>
      <w:r w:rsidR="00AB4078" w:rsidRPr="0067760C">
        <w:rPr>
          <w:sz w:val="23"/>
          <w:szCs w:val="23"/>
        </w:rPr>
        <w:t>essons learnt during</w:t>
      </w:r>
      <w:r w:rsidRPr="0067760C">
        <w:rPr>
          <w:sz w:val="23"/>
          <w:szCs w:val="23"/>
        </w:rPr>
        <w:t xml:space="preserve"> implementation in the Cook Islands. </w:t>
      </w:r>
      <w:r w:rsidR="002C6409">
        <w:rPr>
          <w:sz w:val="23"/>
          <w:szCs w:val="23"/>
        </w:rPr>
        <w:t xml:space="preserve"> </w:t>
      </w:r>
      <w:r w:rsidR="00C82AE1" w:rsidRPr="0067760C">
        <w:rPr>
          <w:sz w:val="23"/>
          <w:szCs w:val="23"/>
        </w:rPr>
        <w:t>All inputs under this activity are now complete.</w:t>
      </w:r>
    </w:p>
    <w:p w14:paraId="33DC5923" w14:textId="77777777" w:rsidR="0039412B" w:rsidRPr="0067760C" w:rsidRDefault="0039412B" w:rsidP="00FF2C4A">
      <w:pPr>
        <w:numPr>
          <w:ilvl w:val="0"/>
          <w:numId w:val="4"/>
        </w:numPr>
        <w:spacing w:before="80"/>
        <w:ind w:left="480" w:hanging="480"/>
      </w:pPr>
      <w:r w:rsidRPr="0067760C">
        <w:rPr>
          <w:b/>
          <w:i/>
          <w:sz w:val="23"/>
          <w:szCs w:val="23"/>
        </w:rPr>
        <w:t xml:space="preserve">Outcomes: </w:t>
      </w:r>
      <w:r w:rsidRPr="0067760C">
        <w:rPr>
          <w:sz w:val="23"/>
          <w:szCs w:val="23"/>
        </w:rPr>
        <w:t xml:space="preserve">The </w:t>
      </w:r>
      <w:r w:rsidR="009B6DE6">
        <w:rPr>
          <w:i/>
          <w:sz w:val="23"/>
          <w:szCs w:val="23"/>
        </w:rPr>
        <w:t>NJDC</w:t>
      </w:r>
      <w:r w:rsidRPr="0067760C">
        <w:rPr>
          <w:i/>
          <w:sz w:val="23"/>
          <w:szCs w:val="23"/>
        </w:rPr>
        <w:t xml:space="preserve"> Toolkit</w:t>
      </w:r>
      <w:r w:rsidRPr="0067760C">
        <w:rPr>
          <w:sz w:val="23"/>
          <w:szCs w:val="23"/>
        </w:rPr>
        <w:t xml:space="preserve"> has been </w:t>
      </w:r>
      <w:r w:rsidR="00397AED" w:rsidRPr="0067760C">
        <w:rPr>
          <w:sz w:val="23"/>
          <w:szCs w:val="23"/>
        </w:rPr>
        <w:t xml:space="preserve">further refined </w:t>
      </w:r>
      <w:r w:rsidR="008139F7">
        <w:rPr>
          <w:sz w:val="23"/>
          <w:szCs w:val="23"/>
        </w:rPr>
        <w:t>in light of the</w:t>
      </w:r>
      <w:r w:rsidR="00397AED" w:rsidRPr="0067760C">
        <w:rPr>
          <w:sz w:val="23"/>
          <w:szCs w:val="23"/>
        </w:rPr>
        <w:t xml:space="preserve"> </w:t>
      </w:r>
      <w:r w:rsidR="0067760C" w:rsidRPr="0067760C">
        <w:rPr>
          <w:sz w:val="23"/>
          <w:szCs w:val="23"/>
        </w:rPr>
        <w:t>implementation</w:t>
      </w:r>
      <w:r w:rsidR="00397AED" w:rsidRPr="0067760C">
        <w:rPr>
          <w:sz w:val="23"/>
          <w:szCs w:val="23"/>
        </w:rPr>
        <w:t xml:space="preserve"> </w:t>
      </w:r>
      <w:r w:rsidR="008139F7">
        <w:rPr>
          <w:sz w:val="23"/>
          <w:szCs w:val="23"/>
        </w:rPr>
        <w:t xml:space="preserve">experience </w:t>
      </w:r>
      <w:r w:rsidR="00397AED" w:rsidRPr="0067760C">
        <w:rPr>
          <w:sz w:val="23"/>
          <w:szCs w:val="23"/>
        </w:rPr>
        <w:t>in the Cook Islands</w:t>
      </w:r>
      <w:r w:rsidR="0067760C" w:rsidRPr="0067760C">
        <w:rPr>
          <w:sz w:val="23"/>
          <w:szCs w:val="23"/>
        </w:rPr>
        <w:t xml:space="preserve">, and </w:t>
      </w:r>
      <w:r w:rsidR="008139F7">
        <w:rPr>
          <w:sz w:val="23"/>
          <w:szCs w:val="23"/>
        </w:rPr>
        <w:t>will shortly be</w:t>
      </w:r>
      <w:r w:rsidR="0067760C" w:rsidRPr="0067760C">
        <w:rPr>
          <w:sz w:val="23"/>
          <w:szCs w:val="23"/>
        </w:rPr>
        <w:t xml:space="preserve"> </w:t>
      </w:r>
      <w:r w:rsidR="008139F7">
        <w:rPr>
          <w:sz w:val="23"/>
          <w:szCs w:val="23"/>
        </w:rPr>
        <w:t xml:space="preserve">made </w:t>
      </w:r>
      <w:r w:rsidR="0067760C" w:rsidRPr="0067760C">
        <w:rPr>
          <w:sz w:val="23"/>
          <w:szCs w:val="23"/>
        </w:rPr>
        <w:t>available to all PJDP Pacific Island Countries through the PJDP website. The input strengthened the capabilit</w:t>
      </w:r>
      <w:r w:rsidR="002C6409">
        <w:rPr>
          <w:sz w:val="23"/>
          <w:szCs w:val="23"/>
        </w:rPr>
        <w:t>y</w:t>
      </w:r>
      <w:r w:rsidR="0067760C" w:rsidRPr="0067760C">
        <w:rPr>
          <w:sz w:val="23"/>
          <w:szCs w:val="23"/>
        </w:rPr>
        <w:t xml:space="preserve"> of </w:t>
      </w:r>
      <w:r w:rsidR="002C6409">
        <w:rPr>
          <w:sz w:val="23"/>
          <w:szCs w:val="23"/>
        </w:rPr>
        <w:t xml:space="preserve">the </w:t>
      </w:r>
      <w:r w:rsidR="0067760C" w:rsidRPr="0067760C">
        <w:rPr>
          <w:sz w:val="23"/>
          <w:szCs w:val="23"/>
        </w:rPr>
        <w:t xml:space="preserve">Cook Islands NJDC to strategically plan and </w:t>
      </w:r>
      <w:r w:rsidR="002C6409">
        <w:rPr>
          <w:sz w:val="23"/>
          <w:szCs w:val="23"/>
        </w:rPr>
        <w:t xml:space="preserve">implement </w:t>
      </w:r>
      <w:r w:rsidR="001662AD">
        <w:rPr>
          <w:sz w:val="23"/>
          <w:szCs w:val="23"/>
        </w:rPr>
        <w:t xml:space="preserve">the </w:t>
      </w:r>
      <w:r w:rsidR="002C6409">
        <w:rPr>
          <w:sz w:val="23"/>
          <w:szCs w:val="23"/>
        </w:rPr>
        <w:t xml:space="preserve">ongoing </w:t>
      </w:r>
      <w:r w:rsidR="0067760C" w:rsidRPr="0067760C">
        <w:rPr>
          <w:sz w:val="23"/>
          <w:szCs w:val="23"/>
        </w:rPr>
        <w:t xml:space="preserve">professional development </w:t>
      </w:r>
      <w:r w:rsidR="001662AD">
        <w:rPr>
          <w:sz w:val="23"/>
          <w:szCs w:val="23"/>
        </w:rPr>
        <w:t xml:space="preserve">activities for </w:t>
      </w:r>
      <w:r w:rsidR="0067760C" w:rsidRPr="0067760C">
        <w:rPr>
          <w:sz w:val="23"/>
          <w:szCs w:val="23"/>
        </w:rPr>
        <w:t>J</w:t>
      </w:r>
      <w:r w:rsidR="001662AD">
        <w:rPr>
          <w:sz w:val="23"/>
          <w:szCs w:val="23"/>
        </w:rPr>
        <w:t xml:space="preserve">ustice of the </w:t>
      </w:r>
      <w:r w:rsidR="0067760C" w:rsidRPr="0067760C">
        <w:rPr>
          <w:sz w:val="23"/>
          <w:szCs w:val="23"/>
        </w:rPr>
        <w:t>P</w:t>
      </w:r>
      <w:r w:rsidR="001662AD">
        <w:rPr>
          <w:sz w:val="23"/>
          <w:szCs w:val="23"/>
        </w:rPr>
        <w:t>eace</w:t>
      </w:r>
      <w:r w:rsidR="0067760C" w:rsidRPr="0067760C">
        <w:rPr>
          <w:sz w:val="23"/>
          <w:szCs w:val="23"/>
        </w:rPr>
        <w:t>.</w:t>
      </w:r>
    </w:p>
    <w:p w14:paraId="27546B15" w14:textId="77777777" w:rsidR="00ED6F7C" w:rsidRPr="00C82AE1" w:rsidRDefault="00ED6F7C" w:rsidP="00ED6F7C">
      <w:pPr>
        <w:pStyle w:val="Heading3"/>
        <w:numPr>
          <w:ilvl w:val="0"/>
          <w:numId w:val="50"/>
        </w:numPr>
        <w:spacing w:after="120"/>
        <w:ind w:hanging="720"/>
        <w:rPr>
          <w:sz w:val="23"/>
          <w:szCs w:val="23"/>
        </w:rPr>
      </w:pPr>
      <w:bookmarkStart w:id="41" w:name="_Toc391469727"/>
      <w:r>
        <w:rPr>
          <w:sz w:val="23"/>
          <w:szCs w:val="23"/>
        </w:rPr>
        <w:lastRenderedPageBreak/>
        <w:t>P</w:t>
      </w:r>
      <w:r w:rsidRPr="00C82AE1">
        <w:rPr>
          <w:sz w:val="23"/>
          <w:szCs w:val="23"/>
        </w:rPr>
        <w:t>roject Management Toolkit</w:t>
      </w:r>
      <w:bookmarkEnd w:id="41"/>
    </w:p>
    <w:p w14:paraId="6C9CD686" w14:textId="77777777" w:rsidR="00ED6F7C" w:rsidRPr="00C82AE1" w:rsidRDefault="00ED6F7C" w:rsidP="00ED6F7C">
      <w:pPr>
        <w:numPr>
          <w:ilvl w:val="0"/>
          <w:numId w:val="4"/>
        </w:numPr>
        <w:spacing w:before="80"/>
        <w:ind w:left="480" w:hanging="480"/>
        <w:rPr>
          <w:b/>
          <w:i/>
          <w:sz w:val="23"/>
          <w:szCs w:val="23"/>
        </w:rPr>
      </w:pPr>
      <w:r w:rsidRPr="00C82AE1">
        <w:rPr>
          <w:b/>
          <w:i/>
          <w:sz w:val="23"/>
          <w:szCs w:val="23"/>
        </w:rPr>
        <w:t>Status:</w:t>
      </w:r>
      <w:r w:rsidRPr="00C82AE1">
        <w:rPr>
          <w:sz w:val="23"/>
          <w:szCs w:val="23"/>
        </w:rPr>
        <w:t xml:space="preserve"> </w:t>
      </w:r>
      <w:r w:rsidR="007855FF" w:rsidRPr="00C82AE1">
        <w:rPr>
          <w:sz w:val="23"/>
          <w:szCs w:val="23"/>
        </w:rPr>
        <w:t xml:space="preserve">A draft </w:t>
      </w:r>
      <w:r w:rsidR="007855FF" w:rsidRPr="00125334">
        <w:rPr>
          <w:i/>
          <w:sz w:val="23"/>
          <w:szCs w:val="23"/>
        </w:rPr>
        <w:t>Project Management Toolkit</w:t>
      </w:r>
      <w:r w:rsidR="007855FF" w:rsidRPr="00C82AE1">
        <w:rPr>
          <w:sz w:val="23"/>
          <w:szCs w:val="23"/>
        </w:rPr>
        <w:t xml:space="preserve"> has been developed</w:t>
      </w:r>
      <w:r w:rsidR="00807E3B" w:rsidRPr="00807E3B">
        <w:rPr>
          <w:sz w:val="23"/>
          <w:szCs w:val="23"/>
        </w:rPr>
        <w:t xml:space="preserve"> </w:t>
      </w:r>
      <w:r w:rsidR="00807E3B">
        <w:rPr>
          <w:sz w:val="23"/>
          <w:szCs w:val="23"/>
        </w:rPr>
        <w:t>in preparation for piloting</w:t>
      </w:r>
      <w:r w:rsidR="007855FF" w:rsidRPr="00C82AE1">
        <w:rPr>
          <w:sz w:val="23"/>
          <w:szCs w:val="23"/>
        </w:rPr>
        <w:t>.</w:t>
      </w:r>
      <w:r w:rsidRPr="00C82AE1">
        <w:rPr>
          <w:sz w:val="23"/>
          <w:szCs w:val="23"/>
        </w:rPr>
        <w:t xml:space="preserve">  </w:t>
      </w:r>
    </w:p>
    <w:p w14:paraId="57DEC0F9" w14:textId="77777777" w:rsidR="00A41091" w:rsidRPr="00FA115B" w:rsidRDefault="00317134" w:rsidP="00212ED6">
      <w:pPr>
        <w:numPr>
          <w:ilvl w:val="0"/>
          <w:numId w:val="4"/>
        </w:numPr>
        <w:spacing w:before="80"/>
        <w:ind w:left="480" w:hanging="480"/>
        <w:rPr>
          <w:sz w:val="23"/>
          <w:szCs w:val="23"/>
        </w:rPr>
      </w:pPr>
      <w:r w:rsidRPr="00FA115B">
        <w:rPr>
          <w:rFonts w:cs="Verdana"/>
          <w:b/>
          <w:bCs/>
          <w:i/>
          <w:sz w:val="23"/>
          <w:szCs w:val="23"/>
        </w:rPr>
        <w:t xml:space="preserve">Summary of progress: </w:t>
      </w:r>
      <w:r w:rsidR="00A41091" w:rsidRPr="00FA115B">
        <w:rPr>
          <w:rFonts w:cs="Arial"/>
          <w:szCs w:val="23"/>
        </w:rPr>
        <w:t xml:space="preserve">This toolkit has been developed </w:t>
      </w:r>
      <w:r w:rsidR="00FA115B" w:rsidRPr="00FA115B">
        <w:rPr>
          <w:rFonts w:cs="Arial"/>
          <w:szCs w:val="23"/>
        </w:rPr>
        <w:t>as</w:t>
      </w:r>
      <w:r w:rsidR="00A41091" w:rsidRPr="00FA115B">
        <w:rPr>
          <w:rFonts w:cs="Arial"/>
          <w:szCs w:val="23"/>
        </w:rPr>
        <w:t xml:space="preserve"> a practical resource for PJDP partner courts to become more self-reliant in leading, developing, conducting, monitoring, and reporting on projects for which they are responsible.  The toolkit explains key processes involved in managing projects and provides a range of adaptable tools so that those managing and administering ongoing judicial and court development within the PJDP’s partner courts can have greater confidence in undertaking their responsibilities.</w:t>
      </w:r>
    </w:p>
    <w:p w14:paraId="179DF8AF" w14:textId="77777777" w:rsidR="00ED6F7C" w:rsidRPr="00C82AE1" w:rsidRDefault="007855FF" w:rsidP="00ED6F7C">
      <w:pPr>
        <w:numPr>
          <w:ilvl w:val="0"/>
          <w:numId w:val="4"/>
        </w:numPr>
        <w:spacing w:before="80"/>
        <w:ind w:left="480" w:hanging="480"/>
      </w:pPr>
      <w:r w:rsidRPr="00C82AE1">
        <w:rPr>
          <w:b/>
          <w:i/>
          <w:sz w:val="23"/>
          <w:szCs w:val="23"/>
        </w:rPr>
        <w:t>Next Steps</w:t>
      </w:r>
      <w:r w:rsidR="00ED6F7C" w:rsidRPr="00C82AE1">
        <w:rPr>
          <w:b/>
          <w:i/>
          <w:sz w:val="23"/>
          <w:szCs w:val="23"/>
        </w:rPr>
        <w:t xml:space="preserve">: </w:t>
      </w:r>
      <w:r w:rsidRPr="00C82AE1">
        <w:rPr>
          <w:sz w:val="23"/>
          <w:szCs w:val="23"/>
        </w:rPr>
        <w:t xml:space="preserve">The </w:t>
      </w:r>
      <w:r w:rsidR="0013018C" w:rsidRPr="00604306">
        <w:rPr>
          <w:i/>
          <w:sz w:val="23"/>
          <w:szCs w:val="23"/>
        </w:rPr>
        <w:t xml:space="preserve">Project Management </w:t>
      </w:r>
      <w:r w:rsidRPr="00604306">
        <w:rPr>
          <w:i/>
          <w:sz w:val="23"/>
          <w:szCs w:val="23"/>
        </w:rPr>
        <w:t>Toolkit</w:t>
      </w:r>
      <w:r w:rsidRPr="00C82AE1">
        <w:rPr>
          <w:sz w:val="23"/>
          <w:szCs w:val="23"/>
        </w:rPr>
        <w:t xml:space="preserve"> </w:t>
      </w:r>
      <w:r w:rsidR="00807E3B">
        <w:rPr>
          <w:sz w:val="23"/>
          <w:szCs w:val="23"/>
        </w:rPr>
        <w:t>will be piloted in one partner court</w:t>
      </w:r>
      <w:r w:rsidRPr="00C82AE1">
        <w:rPr>
          <w:sz w:val="23"/>
          <w:szCs w:val="23"/>
        </w:rPr>
        <w:t xml:space="preserve">. </w:t>
      </w:r>
      <w:r w:rsidR="00807E3B">
        <w:rPr>
          <w:sz w:val="23"/>
          <w:szCs w:val="23"/>
        </w:rPr>
        <w:t xml:space="preserve"> No partner court has as yet been identified in which to pilot this toolkit</w:t>
      </w:r>
      <w:r w:rsidR="00B77BB5">
        <w:rPr>
          <w:sz w:val="23"/>
          <w:szCs w:val="23"/>
        </w:rPr>
        <w:t>;</w:t>
      </w:r>
      <w:r w:rsidR="00807E3B">
        <w:rPr>
          <w:sz w:val="23"/>
          <w:szCs w:val="23"/>
        </w:rPr>
        <w:t xml:space="preserve"> however, </w:t>
      </w:r>
      <w:r w:rsidR="008017EB">
        <w:rPr>
          <w:sz w:val="23"/>
          <w:szCs w:val="23"/>
        </w:rPr>
        <w:t xml:space="preserve">based on the </w:t>
      </w:r>
      <w:r w:rsidR="008017EB" w:rsidRPr="009B6DE6">
        <w:rPr>
          <w:i/>
          <w:sz w:val="23"/>
          <w:szCs w:val="23"/>
        </w:rPr>
        <w:t>Additional In-PIC Activity Priorities</w:t>
      </w:r>
      <w:r w:rsidR="008017EB" w:rsidRPr="00C82AE1">
        <w:rPr>
          <w:sz w:val="23"/>
          <w:szCs w:val="23"/>
        </w:rPr>
        <w:t xml:space="preserve"> </w:t>
      </w:r>
      <w:r w:rsidR="008017EB">
        <w:rPr>
          <w:sz w:val="23"/>
          <w:szCs w:val="23"/>
        </w:rPr>
        <w:t xml:space="preserve">approved by the PEC in March, both </w:t>
      </w:r>
      <w:r w:rsidRPr="00C82AE1">
        <w:rPr>
          <w:sz w:val="23"/>
          <w:szCs w:val="23"/>
        </w:rPr>
        <w:t xml:space="preserve">PNG </w:t>
      </w:r>
      <w:r w:rsidR="003D36C4">
        <w:rPr>
          <w:sz w:val="23"/>
          <w:szCs w:val="23"/>
        </w:rPr>
        <w:t xml:space="preserve">and Tuvalu have </w:t>
      </w:r>
      <w:r w:rsidRPr="00C82AE1">
        <w:rPr>
          <w:sz w:val="23"/>
          <w:szCs w:val="23"/>
        </w:rPr>
        <w:t>indicated interest</w:t>
      </w:r>
      <w:r w:rsidR="008017EB">
        <w:rPr>
          <w:sz w:val="23"/>
          <w:szCs w:val="23"/>
        </w:rPr>
        <w:t xml:space="preserve"> as ‘pilot courts’.</w:t>
      </w:r>
      <w:r w:rsidRPr="00C82AE1">
        <w:rPr>
          <w:sz w:val="23"/>
          <w:szCs w:val="23"/>
        </w:rPr>
        <w:t xml:space="preserve"> </w:t>
      </w:r>
      <w:r w:rsidR="008017EB">
        <w:rPr>
          <w:sz w:val="23"/>
          <w:szCs w:val="23"/>
        </w:rPr>
        <w:t xml:space="preserve"> Discussions will be undertaken with both courts in coming months</w:t>
      </w:r>
      <w:r w:rsidRPr="00C82AE1">
        <w:rPr>
          <w:sz w:val="23"/>
          <w:szCs w:val="23"/>
        </w:rPr>
        <w:t xml:space="preserve">. </w:t>
      </w:r>
    </w:p>
    <w:p w14:paraId="225A1E74" w14:textId="77777777" w:rsidR="00A818E8" w:rsidRPr="00441E66" w:rsidRDefault="00A818E8" w:rsidP="00C93887">
      <w:pPr>
        <w:rPr>
          <w:sz w:val="23"/>
          <w:szCs w:val="23"/>
        </w:rPr>
      </w:pPr>
    </w:p>
    <w:p w14:paraId="764F098D" w14:textId="77777777" w:rsidR="0039412B" w:rsidRDefault="0039412B" w:rsidP="00BA4968">
      <w:pPr>
        <w:pStyle w:val="Heading2"/>
        <w:numPr>
          <w:ilvl w:val="0"/>
          <w:numId w:val="40"/>
        </w:numPr>
        <w:ind w:hanging="720"/>
      </w:pPr>
      <w:bookmarkStart w:id="42" w:name="_Toc391469728"/>
      <w:r w:rsidRPr="00C82AE1">
        <w:t>Component</w:t>
      </w:r>
      <w:r w:rsidRPr="008C672A">
        <w:t xml:space="preserve"> Three: Systems and Processes</w:t>
      </w:r>
      <w:bookmarkEnd w:id="42"/>
    </w:p>
    <w:p w14:paraId="512E5604" w14:textId="77777777" w:rsidR="0039412B" w:rsidRPr="00F71B7D" w:rsidRDefault="0039412B">
      <w:pPr>
        <w:ind w:left="709" w:hanging="709"/>
        <w:rPr>
          <w:smallCaps/>
          <w:sz w:val="8"/>
          <w:szCs w:val="12"/>
        </w:rPr>
      </w:pPr>
    </w:p>
    <w:p w14:paraId="79A6B197" w14:textId="77777777" w:rsidR="0039412B" w:rsidRPr="007F5D44" w:rsidRDefault="0039412B" w:rsidP="00BA4968">
      <w:pPr>
        <w:pStyle w:val="Heading3"/>
        <w:numPr>
          <w:ilvl w:val="0"/>
          <w:numId w:val="48"/>
        </w:numPr>
        <w:spacing w:after="120"/>
        <w:ind w:hanging="720"/>
        <w:rPr>
          <w:sz w:val="23"/>
          <w:szCs w:val="23"/>
        </w:rPr>
      </w:pPr>
      <w:bookmarkStart w:id="43" w:name="_Toc391469729"/>
      <w:r w:rsidRPr="00A90950">
        <w:rPr>
          <w:sz w:val="23"/>
          <w:szCs w:val="23"/>
        </w:rPr>
        <w:t>J</w:t>
      </w:r>
      <w:r w:rsidRPr="007F5D44">
        <w:rPr>
          <w:sz w:val="23"/>
          <w:szCs w:val="23"/>
        </w:rPr>
        <w:t>udicial Administration Project</w:t>
      </w:r>
      <w:bookmarkEnd w:id="43"/>
    </w:p>
    <w:p w14:paraId="0AF7DB67" w14:textId="77777777" w:rsidR="0039412B" w:rsidRPr="006255F9" w:rsidRDefault="0039412B" w:rsidP="00FF2C4A">
      <w:pPr>
        <w:numPr>
          <w:ilvl w:val="0"/>
          <w:numId w:val="4"/>
        </w:numPr>
        <w:spacing w:before="80"/>
        <w:ind w:left="480" w:hanging="480"/>
        <w:rPr>
          <w:b/>
          <w:i/>
          <w:sz w:val="23"/>
          <w:szCs w:val="23"/>
        </w:rPr>
      </w:pPr>
      <w:r w:rsidRPr="007F5D44">
        <w:rPr>
          <w:b/>
          <w:i/>
          <w:sz w:val="23"/>
          <w:szCs w:val="23"/>
        </w:rPr>
        <w:t>Status:</w:t>
      </w:r>
      <w:r w:rsidRPr="007F5D44">
        <w:rPr>
          <w:sz w:val="23"/>
          <w:szCs w:val="23"/>
        </w:rPr>
        <w:t xml:space="preserve">  </w:t>
      </w:r>
      <w:r w:rsidR="007F5D44" w:rsidRPr="007F5D44">
        <w:rPr>
          <w:sz w:val="23"/>
          <w:szCs w:val="23"/>
        </w:rPr>
        <w:t>Inputs in the Marshall Islands</w:t>
      </w:r>
      <w:r w:rsidR="00125334">
        <w:rPr>
          <w:sz w:val="23"/>
          <w:szCs w:val="23"/>
        </w:rPr>
        <w:t>,</w:t>
      </w:r>
      <w:r w:rsidR="007F5D44" w:rsidRPr="007F5D44">
        <w:rPr>
          <w:sz w:val="23"/>
          <w:szCs w:val="23"/>
        </w:rPr>
        <w:t xml:space="preserve"> Federated States of Micronesia</w:t>
      </w:r>
      <w:r w:rsidR="00125334">
        <w:rPr>
          <w:sz w:val="23"/>
          <w:szCs w:val="23"/>
        </w:rPr>
        <w:t>, and Samoa</w:t>
      </w:r>
      <w:r w:rsidR="007F5D44" w:rsidRPr="007F5D44">
        <w:rPr>
          <w:sz w:val="23"/>
          <w:szCs w:val="23"/>
        </w:rPr>
        <w:t xml:space="preserve"> have been </w:t>
      </w:r>
      <w:r w:rsidR="00371127">
        <w:rPr>
          <w:sz w:val="23"/>
          <w:szCs w:val="23"/>
        </w:rPr>
        <w:t xml:space="preserve">successfully </w:t>
      </w:r>
      <w:r w:rsidR="007F5D44" w:rsidRPr="007F5D44">
        <w:rPr>
          <w:sz w:val="23"/>
          <w:szCs w:val="23"/>
        </w:rPr>
        <w:t xml:space="preserve">conducted under the </w:t>
      </w:r>
      <w:r w:rsidR="007F5D44" w:rsidRPr="00125334">
        <w:rPr>
          <w:sz w:val="23"/>
          <w:szCs w:val="23"/>
        </w:rPr>
        <w:t>Time Standards</w:t>
      </w:r>
      <w:r w:rsidRPr="00125334">
        <w:rPr>
          <w:i/>
          <w:sz w:val="23"/>
          <w:szCs w:val="23"/>
        </w:rPr>
        <w:t xml:space="preserve"> </w:t>
      </w:r>
      <w:r w:rsidR="00125334">
        <w:rPr>
          <w:sz w:val="23"/>
          <w:szCs w:val="23"/>
        </w:rPr>
        <w:t>Project</w:t>
      </w:r>
      <w:r w:rsidR="00371127">
        <w:rPr>
          <w:sz w:val="23"/>
          <w:szCs w:val="23"/>
        </w:rPr>
        <w:t xml:space="preserve">. </w:t>
      </w:r>
      <w:r w:rsidR="00125334">
        <w:rPr>
          <w:sz w:val="23"/>
          <w:szCs w:val="23"/>
        </w:rPr>
        <w:t xml:space="preserve"> Development and piloting of the </w:t>
      </w:r>
      <w:r w:rsidR="00B30495" w:rsidRPr="00125334">
        <w:rPr>
          <w:i/>
          <w:sz w:val="23"/>
          <w:szCs w:val="23"/>
        </w:rPr>
        <w:t>Backlog Reduction and Delay Prevention</w:t>
      </w:r>
      <w:r w:rsidR="00371127" w:rsidRPr="00125334">
        <w:rPr>
          <w:i/>
          <w:sz w:val="23"/>
          <w:szCs w:val="23"/>
        </w:rPr>
        <w:t xml:space="preserve"> Toolkit</w:t>
      </w:r>
      <w:r w:rsidR="00371127">
        <w:rPr>
          <w:sz w:val="23"/>
          <w:szCs w:val="23"/>
        </w:rPr>
        <w:t xml:space="preserve"> has </w:t>
      </w:r>
      <w:r w:rsidR="00104B8A">
        <w:rPr>
          <w:sz w:val="23"/>
          <w:szCs w:val="23"/>
        </w:rPr>
        <w:t>commenced with a second visit being undertaken to</w:t>
      </w:r>
      <w:r w:rsidR="00371127" w:rsidRPr="006255F9">
        <w:rPr>
          <w:sz w:val="23"/>
          <w:szCs w:val="23"/>
        </w:rPr>
        <w:t xml:space="preserve"> Vanuatu. The Information Technology Online Forum (ITOF) has </w:t>
      </w:r>
      <w:r w:rsidR="00FA4C0D">
        <w:rPr>
          <w:sz w:val="23"/>
          <w:szCs w:val="23"/>
        </w:rPr>
        <w:t>also been develop</w:t>
      </w:r>
      <w:r w:rsidR="00980585">
        <w:rPr>
          <w:sz w:val="23"/>
          <w:szCs w:val="23"/>
        </w:rPr>
        <w:t>ed</w:t>
      </w:r>
      <w:r w:rsidR="00FA4C0D">
        <w:rPr>
          <w:sz w:val="23"/>
          <w:szCs w:val="23"/>
        </w:rPr>
        <w:t xml:space="preserve">, </w:t>
      </w:r>
      <w:r w:rsidR="00371127" w:rsidRPr="006255F9">
        <w:rPr>
          <w:sz w:val="23"/>
          <w:szCs w:val="23"/>
        </w:rPr>
        <w:t>tested and launched</w:t>
      </w:r>
      <w:r w:rsidR="00FA4C0D">
        <w:rPr>
          <w:sz w:val="23"/>
          <w:szCs w:val="23"/>
        </w:rPr>
        <w:t>.</w:t>
      </w:r>
      <w:r w:rsidR="00371127" w:rsidRPr="006255F9">
        <w:rPr>
          <w:sz w:val="23"/>
          <w:szCs w:val="23"/>
        </w:rPr>
        <w:t xml:space="preserve"> </w:t>
      </w:r>
      <w:r w:rsidR="00FA4C0D">
        <w:rPr>
          <w:sz w:val="23"/>
          <w:szCs w:val="23"/>
        </w:rPr>
        <w:t xml:space="preserve"> </w:t>
      </w:r>
    </w:p>
    <w:p w14:paraId="61A8C779" w14:textId="77777777" w:rsidR="0039412B" w:rsidRPr="006255F9" w:rsidRDefault="0039412B" w:rsidP="00FF2C4A">
      <w:pPr>
        <w:numPr>
          <w:ilvl w:val="0"/>
          <w:numId w:val="4"/>
        </w:numPr>
        <w:spacing w:before="80"/>
        <w:ind w:left="480" w:hanging="480"/>
        <w:rPr>
          <w:b/>
          <w:i/>
          <w:sz w:val="23"/>
          <w:szCs w:val="23"/>
        </w:rPr>
      </w:pPr>
      <w:r w:rsidRPr="006255F9">
        <w:rPr>
          <w:rFonts w:cs="Verdana"/>
          <w:b/>
          <w:bCs/>
          <w:i/>
          <w:sz w:val="23"/>
          <w:szCs w:val="23"/>
        </w:rPr>
        <w:t>Summary of progress:</w:t>
      </w:r>
      <w:r w:rsidRPr="006255F9">
        <w:rPr>
          <w:rFonts w:cs="Verdana"/>
          <w:bCs/>
          <w:sz w:val="23"/>
          <w:szCs w:val="23"/>
        </w:rPr>
        <w:t xml:space="preserve"> </w:t>
      </w:r>
      <w:r w:rsidR="006255F9" w:rsidRPr="006255F9">
        <w:rPr>
          <w:sz w:val="23"/>
          <w:szCs w:val="23"/>
        </w:rPr>
        <w:t xml:space="preserve">during the reporting period the following progress has been </w:t>
      </w:r>
      <w:r w:rsidR="00CE1D11">
        <w:rPr>
          <w:sz w:val="23"/>
          <w:szCs w:val="23"/>
        </w:rPr>
        <w:t>made</w:t>
      </w:r>
      <w:r w:rsidR="006255F9" w:rsidRPr="006255F9">
        <w:rPr>
          <w:sz w:val="23"/>
          <w:szCs w:val="23"/>
        </w:rPr>
        <w:t>:</w:t>
      </w:r>
    </w:p>
    <w:p w14:paraId="22F94A9F" w14:textId="77777777" w:rsidR="00022CD3" w:rsidRPr="00980585" w:rsidRDefault="006255F9" w:rsidP="006255F9">
      <w:pPr>
        <w:pStyle w:val="ListParagraph"/>
        <w:numPr>
          <w:ilvl w:val="0"/>
          <w:numId w:val="56"/>
        </w:numPr>
        <w:spacing w:before="80"/>
        <w:ind w:left="851"/>
        <w:rPr>
          <w:rFonts w:ascii="Arial Narrow" w:hAnsi="Arial Narrow"/>
          <w:b/>
          <w:i/>
          <w:sz w:val="23"/>
          <w:szCs w:val="23"/>
        </w:rPr>
      </w:pPr>
      <w:r w:rsidRPr="005E4381">
        <w:rPr>
          <w:rFonts w:ascii="Arial Narrow" w:hAnsi="Arial Narrow"/>
          <w:b/>
          <w:i/>
          <w:sz w:val="23"/>
          <w:szCs w:val="23"/>
        </w:rPr>
        <w:t>Time Standards Toolkit Implementation:</w:t>
      </w:r>
      <w:r w:rsidR="00D9783E">
        <w:rPr>
          <w:rFonts w:ascii="Arial Narrow" w:hAnsi="Arial Narrow"/>
          <w:sz w:val="23"/>
          <w:szCs w:val="23"/>
        </w:rPr>
        <w:t xml:space="preserve"> The </w:t>
      </w:r>
      <w:r w:rsidR="00022CD3" w:rsidRPr="00980585">
        <w:rPr>
          <w:rFonts w:ascii="Arial Narrow" w:hAnsi="Arial Narrow"/>
          <w:i/>
          <w:sz w:val="23"/>
          <w:szCs w:val="23"/>
        </w:rPr>
        <w:t>Time Standards Toolkit</w:t>
      </w:r>
      <w:r w:rsidR="00022CD3">
        <w:rPr>
          <w:rFonts w:ascii="Arial Narrow" w:hAnsi="Arial Narrow"/>
          <w:sz w:val="23"/>
          <w:szCs w:val="23"/>
        </w:rPr>
        <w:t xml:space="preserve"> was implemented in: </w:t>
      </w:r>
      <w:r w:rsidR="00D9783E">
        <w:rPr>
          <w:rFonts w:ascii="Arial Narrow" w:hAnsi="Arial Narrow"/>
          <w:sz w:val="23"/>
          <w:szCs w:val="23"/>
        </w:rPr>
        <w:t>the Marshall Islands (14 April</w:t>
      </w:r>
      <w:r w:rsidR="00507463">
        <w:rPr>
          <w:rFonts w:ascii="Arial Narrow" w:hAnsi="Arial Narrow"/>
          <w:sz w:val="23"/>
          <w:szCs w:val="23"/>
        </w:rPr>
        <w:t>-</w:t>
      </w:r>
      <w:r w:rsidR="00D9783E">
        <w:rPr>
          <w:rFonts w:ascii="Arial Narrow" w:hAnsi="Arial Narrow"/>
          <w:sz w:val="23"/>
          <w:szCs w:val="23"/>
        </w:rPr>
        <w:t>8 May, 2014); Federated States of Micronesia (7</w:t>
      </w:r>
      <w:r w:rsidR="00507463">
        <w:rPr>
          <w:rFonts w:ascii="Arial Narrow" w:hAnsi="Arial Narrow"/>
          <w:sz w:val="23"/>
          <w:szCs w:val="23"/>
        </w:rPr>
        <w:t>-</w:t>
      </w:r>
      <w:r w:rsidR="00D9783E">
        <w:rPr>
          <w:rFonts w:ascii="Arial Narrow" w:hAnsi="Arial Narrow"/>
          <w:sz w:val="23"/>
          <w:szCs w:val="23"/>
        </w:rPr>
        <w:t>27 May, 2014)</w:t>
      </w:r>
      <w:r w:rsidR="00022CD3">
        <w:rPr>
          <w:rFonts w:ascii="Arial Narrow" w:hAnsi="Arial Narrow"/>
          <w:sz w:val="23"/>
          <w:szCs w:val="23"/>
        </w:rPr>
        <w:t>;</w:t>
      </w:r>
      <w:r w:rsidR="00D9783E">
        <w:rPr>
          <w:rFonts w:ascii="Arial Narrow" w:hAnsi="Arial Narrow"/>
          <w:sz w:val="23"/>
          <w:szCs w:val="23"/>
        </w:rPr>
        <w:t xml:space="preserve"> and Samoa (16 June</w:t>
      </w:r>
      <w:r w:rsidR="00507463">
        <w:rPr>
          <w:rFonts w:ascii="Arial Narrow" w:hAnsi="Arial Narrow"/>
          <w:sz w:val="23"/>
          <w:szCs w:val="23"/>
        </w:rPr>
        <w:t>-</w:t>
      </w:r>
      <w:r w:rsidR="00D9783E">
        <w:rPr>
          <w:rFonts w:ascii="Arial Narrow" w:hAnsi="Arial Narrow"/>
          <w:sz w:val="23"/>
          <w:szCs w:val="23"/>
        </w:rPr>
        <w:t>4 July, 2014).</w:t>
      </w:r>
      <w:r w:rsidR="00B30495">
        <w:rPr>
          <w:rFonts w:ascii="Arial Narrow" w:hAnsi="Arial Narrow"/>
          <w:sz w:val="23"/>
          <w:szCs w:val="23"/>
        </w:rPr>
        <w:t xml:space="preserve"> </w:t>
      </w:r>
    </w:p>
    <w:p w14:paraId="50B06B2F" w14:textId="77777777" w:rsidR="00022CD3" w:rsidRPr="0041349C" w:rsidRDefault="00022CD3" w:rsidP="00980585">
      <w:pPr>
        <w:pStyle w:val="ListParagraph"/>
        <w:numPr>
          <w:ilvl w:val="1"/>
          <w:numId w:val="56"/>
        </w:numPr>
        <w:spacing w:before="80"/>
        <w:ind w:left="1134" w:hanging="283"/>
        <w:rPr>
          <w:rFonts w:ascii="Arial Narrow" w:hAnsi="Arial Narrow"/>
          <w:sz w:val="23"/>
          <w:szCs w:val="23"/>
        </w:rPr>
      </w:pPr>
      <w:r w:rsidRPr="0041349C">
        <w:rPr>
          <w:rFonts w:ascii="Arial Narrow" w:hAnsi="Arial Narrow"/>
          <w:sz w:val="23"/>
          <w:szCs w:val="23"/>
        </w:rPr>
        <w:t xml:space="preserve">In the Marshall Islands </w:t>
      </w:r>
      <w:r w:rsidR="003665E7" w:rsidRPr="0041349C">
        <w:rPr>
          <w:rFonts w:ascii="Arial Narrow" w:hAnsi="Arial Narrow"/>
          <w:sz w:val="23"/>
          <w:szCs w:val="23"/>
        </w:rPr>
        <w:t xml:space="preserve">workshops were conducted to </w:t>
      </w:r>
      <w:r w:rsidR="00F85554">
        <w:rPr>
          <w:rFonts w:ascii="Arial Narrow" w:hAnsi="Arial Narrow"/>
          <w:sz w:val="23"/>
          <w:szCs w:val="23"/>
        </w:rPr>
        <w:t xml:space="preserve">inform </w:t>
      </w:r>
      <w:r w:rsidR="003665E7" w:rsidRPr="0041349C">
        <w:rPr>
          <w:rFonts w:ascii="Arial Narrow" w:hAnsi="Arial Narrow"/>
          <w:sz w:val="23"/>
          <w:szCs w:val="23"/>
        </w:rPr>
        <w:t>participants about timeliness o</w:t>
      </w:r>
      <w:r w:rsidR="003665E7" w:rsidRPr="003665E7">
        <w:rPr>
          <w:rFonts w:ascii="Arial Narrow" w:hAnsi="Arial Narrow"/>
          <w:sz w:val="23"/>
          <w:szCs w:val="23"/>
        </w:rPr>
        <w:t xml:space="preserve">bligations </w:t>
      </w:r>
      <w:r w:rsidR="00F85554">
        <w:rPr>
          <w:rFonts w:ascii="Arial Narrow" w:hAnsi="Arial Narrow"/>
          <w:sz w:val="23"/>
          <w:szCs w:val="23"/>
        </w:rPr>
        <w:t xml:space="preserve">in managing cases </w:t>
      </w:r>
      <w:r w:rsidR="003665E7" w:rsidRPr="003665E7">
        <w:rPr>
          <w:rFonts w:ascii="Arial Narrow" w:hAnsi="Arial Narrow"/>
          <w:sz w:val="23"/>
          <w:szCs w:val="23"/>
        </w:rPr>
        <w:t xml:space="preserve">and to </w:t>
      </w:r>
      <w:r w:rsidR="00F85554">
        <w:rPr>
          <w:rFonts w:ascii="Arial Narrow" w:hAnsi="Arial Narrow"/>
          <w:sz w:val="23"/>
          <w:szCs w:val="23"/>
        </w:rPr>
        <w:t xml:space="preserve">develop </w:t>
      </w:r>
      <w:r w:rsidR="003665E7" w:rsidRPr="003665E7">
        <w:rPr>
          <w:rFonts w:ascii="Arial Narrow" w:hAnsi="Arial Narrow"/>
          <w:sz w:val="23"/>
          <w:szCs w:val="23"/>
        </w:rPr>
        <w:t xml:space="preserve">16 </w:t>
      </w:r>
      <w:r w:rsidR="003665E7">
        <w:rPr>
          <w:rFonts w:ascii="Arial Narrow" w:hAnsi="Arial Narrow"/>
          <w:sz w:val="23"/>
          <w:szCs w:val="23"/>
        </w:rPr>
        <w:t>t</w:t>
      </w:r>
      <w:r w:rsidR="003665E7" w:rsidRPr="003665E7">
        <w:rPr>
          <w:rFonts w:ascii="Arial Narrow" w:hAnsi="Arial Narrow"/>
          <w:sz w:val="23"/>
          <w:szCs w:val="23"/>
        </w:rPr>
        <w:t xml:space="preserve">ime </w:t>
      </w:r>
      <w:r w:rsidR="003665E7">
        <w:rPr>
          <w:rFonts w:ascii="Arial Narrow" w:hAnsi="Arial Narrow"/>
          <w:sz w:val="23"/>
          <w:szCs w:val="23"/>
        </w:rPr>
        <w:t>g</w:t>
      </w:r>
      <w:r w:rsidR="003665E7" w:rsidRPr="003665E7">
        <w:rPr>
          <w:rFonts w:ascii="Arial Narrow" w:hAnsi="Arial Narrow"/>
          <w:sz w:val="23"/>
          <w:szCs w:val="23"/>
        </w:rPr>
        <w:t>oals</w:t>
      </w:r>
      <w:r w:rsidR="003665E7" w:rsidRPr="0041349C">
        <w:rPr>
          <w:rFonts w:ascii="Arial Narrow" w:hAnsi="Arial Narrow"/>
          <w:sz w:val="23"/>
          <w:szCs w:val="23"/>
        </w:rPr>
        <w:t xml:space="preserve"> </w:t>
      </w:r>
      <w:r w:rsidR="003665E7">
        <w:rPr>
          <w:rFonts w:ascii="Arial Narrow" w:hAnsi="Arial Narrow"/>
          <w:sz w:val="23"/>
          <w:szCs w:val="23"/>
        </w:rPr>
        <w:t>f</w:t>
      </w:r>
      <w:r w:rsidR="003665E7" w:rsidRPr="0041349C">
        <w:rPr>
          <w:rFonts w:ascii="Arial Narrow" w:hAnsi="Arial Narrow"/>
          <w:sz w:val="23"/>
          <w:szCs w:val="23"/>
        </w:rPr>
        <w:t xml:space="preserve">or the High Court, District Court and Traditional Rights Court. </w:t>
      </w:r>
      <w:r w:rsidR="00F85554">
        <w:rPr>
          <w:rFonts w:ascii="Arial Narrow" w:hAnsi="Arial Narrow"/>
          <w:sz w:val="23"/>
          <w:szCs w:val="23"/>
        </w:rPr>
        <w:t xml:space="preserve"> </w:t>
      </w:r>
      <w:r w:rsidR="003665E7" w:rsidRPr="0041349C">
        <w:rPr>
          <w:rFonts w:ascii="Arial Narrow" w:hAnsi="Arial Narrow"/>
          <w:sz w:val="23"/>
          <w:szCs w:val="23"/>
        </w:rPr>
        <w:t xml:space="preserve">A delay reduction plan was </w:t>
      </w:r>
      <w:r w:rsidR="00F85554">
        <w:rPr>
          <w:rFonts w:ascii="Arial Narrow" w:hAnsi="Arial Narrow"/>
          <w:sz w:val="23"/>
          <w:szCs w:val="23"/>
        </w:rPr>
        <w:t xml:space="preserve">also </w:t>
      </w:r>
      <w:r w:rsidR="003665E7" w:rsidRPr="0041349C">
        <w:rPr>
          <w:rFonts w:ascii="Arial Narrow" w:hAnsi="Arial Narrow"/>
          <w:sz w:val="23"/>
          <w:szCs w:val="23"/>
        </w:rPr>
        <w:t>agreed for the Traditional Rights Court, with an adjournment policy, new pre-trial conference notice</w:t>
      </w:r>
      <w:r w:rsidR="00F85554">
        <w:rPr>
          <w:rFonts w:ascii="Arial Narrow" w:hAnsi="Arial Narrow"/>
          <w:sz w:val="23"/>
          <w:szCs w:val="23"/>
        </w:rPr>
        <w:t>,</w:t>
      </w:r>
      <w:r w:rsidR="003665E7" w:rsidRPr="0041349C">
        <w:rPr>
          <w:rFonts w:ascii="Arial Narrow" w:hAnsi="Arial Narrow"/>
          <w:sz w:val="23"/>
          <w:szCs w:val="23"/>
        </w:rPr>
        <w:t xml:space="preserve"> and actions taken to develop more efficient pre-trial and calendaring of proceedings.  Delay in the District Court was identified and initiatives to reduce delay agreed including </w:t>
      </w:r>
      <w:r w:rsidR="00F85554">
        <w:rPr>
          <w:rFonts w:ascii="Arial Narrow" w:hAnsi="Arial Narrow"/>
          <w:sz w:val="23"/>
          <w:szCs w:val="23"/>
        </w:rPr>
        <w:t xml:space="preserve">a review by </w:t>
      </w:r>
      <w:r w:rsidR="003665E7" w:rsidRPr="0041349C">
        <w:rPr>
          <w:rFonts w:ascii="Arial Narrow" w:hAnsi="Arial Narrow"/>
          <w:sz w:val="23"/>
          <w:szCs w:val="23"/>
        </w:rPr>
        <w:t xml:space="preserve">the Attorney General </w:t>
      </w:r>
      <w:r w:rsidR="00F85554">
        <w:rPr>
          <w:rFonts w:ascii="Arial Narrow" w:hAnsi="Arial Narrow"/>
          <w:sz w:val="23"/>
          <w:szCs w:val="23"/>
        </w:rPr>
        <w:t xml:space="preserve">of </w:t>
      </w:r>
      <w:r w:rsidR="003665E7" w:rsidRPr="0041349C">
        <w:rPr>
          <w:rFonts w:ascii="Arial Narrow" w:hAnsi="Arial Narrow"/>
          <w:sz w:val="23"/>
          <w:szCs w:val="23"/>
        </w:rPr>
        <w:t xml:space="preserve">police citations. </w:t>
      </w:r>
      <w:r w:rsidR="00A071C3">
        <w:rPr>
          <w:rFonts w:ascii="Arial Narrow" w:hAnsi="Arial Narrow"/>
          <w:sz w:val="23"/>
          <w:szCs w:val="23"/>
        </w:rPr>
        <w:t xml:space="preserve">Further </w:t>
      </w:r>
      <w:r w:rsidR="00A071C3" w:rsidRPr="00A071C3">
        <w:rPr>
          <w:rFonts w:ascii="Arial Narrow" w:hAnsi="Arial Narrow"/>
          <w:sz w:val="23"/>
          <w:szCs w:val="23"/>
        </w:rPr>
        <w:t xml:space="preserve">the </w:t>
      </w:r>
      <w:r w:rsidR="003665E7" w:rsidRPr="0041349C">
        <w:rPr>
          <w:rFonts w:ascii="Arial Narrow" w:hAnsi="Arial Narrow"/>
          <w:sz w:val="23"/>
          <w:szCs w:val="23"/>
        </w:rPr>
        <w:t>entire caseload of the High Court was reviewed and action has commenced to eliminate areas of delay.</w:t>
      </w:r>
      <w:r w:rsidR="00A071C3">
        <w:rPr>
          <w:rFonts w:ascii="Arial Narrow" w:hAnsi="Arial Narrow"/>
          <w:sz w:val="23"/>
          <w:szCs w:val="23"/>
        </w:rPr>
        <w:t xml:space="preserve"> </w:t>
      </w:r>
      <w:r w:rsidR="003665E7" w:rsidRPr="0041349C">
        <w:rPr>
          <w:rFonts w:ascii="Arial Narrow" w:hAnsi="Arial Narrow"/>
          <w:sz w:val="23"/>
          <w:szCs w:val="23"/>
        </w:rPr>
        <w:t xml:space="preserve"> Acceptance was high and improvements have already </w:t>
      </w:r>
      <w:r w:rsidR="00A071C3">
        <w:rPr>
          <w:rFonts w:ascii="Arial Narrow" w:hAnsi="Arial Narrow"/>
          <w:sz w:val="23"/>
          <w:szCs w:val="23"/>
        </w:rPr>
        <w:t xml:space="preserve">been commenced </w:t>
      </w:r>
      <w:r w:rsidR="003665E7" w:rsidRPr="0041349C">
        <w:rPr>
          <w:rFonts w:ascii="Arial Narrow" w:hAnsi="Arial Narrow"/>
          <w:sz w:val="23"/>
          <w:szCs w:val="23"/>
        </w:rPr>
        <w:t>in some areas.</w:t>
      </w:r>
    </w:p>
    <w:p w14:paraId="1B0CD779" w14:textId="77777777" w:rsidR="00022CD3" w:rsidRPr="00980585" w:rsidRDefault="00B30495" w:rsidP="00980585">
      <w:pPr>
        <w:pStyle w:val="ListParagraph"/>
        <w:numPr>
          <w:ilvl w:val="1"/>
          <w:numId w:val="56"/>
        </w:numPr>
        <w:spacing w:before="80"/>
        <w:ind w:left="1134" w:hanging="283"/>
        <w:rPr>
          <w:rFonts w:ascii="Arial Narrow" w:hAnsi="Arial Narrow"/>
          <w:b/>
          <w:i/>
          <w:sz w:val="23"/>
          <w:szCs w:val="23"/>
        </w:rPr>
      </w:pPr>
      <w:r>
        <w:rPr>
          <w:rFonts w:ascii="Arial Narrow" w:hAnsi="Arial Narrow"/>
          <w:sz w:val="23"/>
          <w:szCs w:val="23"/>
        </w:rPr>
        <w:t xml:space="preserve">In FSM significant progress was achieved in promulgating time goals for criminal and civil case types, including land matters, for all State Supreme Courts. </w:t>
      </w:r>
      <w:r w:rsidR="00022CD3">
        <w:rPr>
          <w:rFonts w:ascii="Arial Narrow" w:hAnsi="Arial Narrow"/>
          <w:sz w:val="23"/>
          <w:szCs w:val="23"/>
        </w:rPr>
        <w:t xml:space="preserve"> </w:t>
      </w:r>
      <w:r>
        <w:rPr>
          <w:rFonts w:ascii="Arial Narrow" w:hAnsi="Arial Narrow"/>
          <w:sz w:val="23"/>
          <w:szCs w:val="23"/>
        </w:rPr>
        <w:t xml:space="preserve">Draft time standards for </w:t>
      </w:r>
      <w:r w:rsidR="004D3C36" w:rsidRPr="0041349C">
        <w:rPr>
          <w:rFonts w:ascii="Arial Narrow" w:hAnsi="Arial Narrow"/>
          <w:sz w:val="23"/>
          <w:szCs w:val="23"/>
        </w:rPr>
        <w:t>all courts were promulgated and all judges and court personnel trained. As a result of these workshops</w:t>
      </w:r>
      <w:r w:rsidR="00A071C3">
        <w:rPr>
          <w:rFonts w:ascii="Arial Narrow" w:hAnsi="Arial Narrow"/>
          <w:sz w:val="23"/>
          <w:szCs w:val="23"/>
        </w:rPr>
        <w:t>,</w:t>
      </w:r>
      <w:r w:rsidR="004D3C36" w:rsidRPr="0041349C">
        <w:rPr>
          <w:rFonts w:ascii="Arial Narrow" w:hAnsi="Arial Narrow"/>
          <w:sz w:val="23"/>
          <w:szCs w:val="23"/>
        </w:rPr>
        <w:t xml:space="preserve"> the courts experiencing delay are reported to be undergoing a vigorous effort to identify delayed cases and to dispose of them. </w:t>
      </w:r>
      <w:r w:rsidR="00A071C3">
        <w:rPr>
          <w:rFonts w:ascii="Arial Narrow" w:hAnsi="Arial Narrow"/>
          <w:sz w:val="23"/>
          <w:szCs w:val="23"/>
        </w:rPr>
        <w:t xml:space="preserve"> </w:t>
      </w:r>
      <w:r w:rsidR="004D3C36" w:rsidRPr="0041349C">
        <w:rPr>
          <w:rFonts w:ascii="Arial Narrow" w:hAnsi="Arial Narrow"/>
          <w:sz w:val="23"/>
          <w:szCs w:val="23"/>
        </w:rPr>
        <w:t xml:space="preserve">Agreement was reached </w:t>
      </w:r>
      <w:r w:rsidR="00A071C3">
        <w:rPr>
          <w:rFonts w:ascii="Arial Narrow" w:hAnsi="Arial Narrow"/>
          <w:sz w:val="23"/>
          <w:szCs w:val="23"/>
        </w:rPr>
        <w:t xml:space="preserve">among </w:t>
      </w:r>
      <w:r w:rsidR="004D3C36" w:rsidRPr="0041349C">
        <w:rPr>
          <w:rFonts w:ascii="Arial Narrow" w:hAnsi="Arial Narrow"/>
          <w:sz w:val="23"/>
          <w:szCs w:val="23"/>
        </w:rPr>
        <w:t xml:space="preserve">all state and national courts to produce annual reports in line with the </w:t>
      </w:r>
      <w:r w:rsidR="004D3C36">
        <w:rPr>
          <w:rFonts w:ascii="Arial Narrow" w:hAnsi="Arial Narrow"/>
          <w:sz w:val="23"/>
          <w:szCs w:val="23"/>
        </w:rPr>
        <w:t>15</w:t>
      </w:r>
      <w:r w:rsidR="004D3C36" w:rsidRPr="0041349C">
        <w:rPr>
          <w:rFonts w:ascii="Arial Narrow" w:hAnsi="Arial Narrow"/>
          <w:sz w:val="23"/>
          <w:szCs w:val="23"/>
        </w:rPr>
        <w:t xml:space="preserve"> Cook Island Indicators. </w:t>
      </w:r>
      <w:r w:rsidR="00A071C3">
        <w:rPr>
          <w:rFonts w:ascii="Arial Narrow" w:hAnsi="Arial Narrow"/>
          <w:sz w:val="23"/>
          <w:szCs w:val="23"/>
        </w:rPr>
        <w:t xml:space="preserve"> </w:t>
      </w:r>
      <w:r w:rsidR="0041349C" w:rsidRPr="0041349C">
        <w:rPr>
          <w:rFonts w:ascii="Arial Narrow" w:hAnsi="Arial Narrow"/>
          <w:sz w:val="23"/>
          <w:szCs w:val="23"/>
        </w:rPr>
        <w:t>Co</w:t>
      </w:r>
      <w:r w:rsidR="004D3C36" w:rsidRPr="0041349C">
        <w:rPr>
          <w:rFonts w:ascii="Arial Narrow" w:hAnsi="Arial Narrow"/>
          <w:sz w:val="23"/>
          <w:szCs w:val="23"/>
        </w:rPr>
        <w:t xml:space="preserve">-ordination between the national and state judiciaries </w:t>
      </w:r>
      <w:r w:rsidR="0041349C">
        <w:rPr>
          <w:rFonts w:ascii="Arial Narrow" w:hAnsi="Arial Narrow"/>
          <w:sz w:val="23"/>
          <w:szCs w:val="23"/>
        </w:rPr>
        <w:t xml:space="preserve">therefore has been </w:t>
      </w:r>
      <w:r w:rsidR="004D3C36" w:rsidRPr="0041349C">
        <w:rPr>
          <w:rFonts w:ascii="Arial Narrow" w:hAnsi="Arial Narrow"/>
          <w:sz w:val="23"/>
          <w:szCs w:val="23"/>
        </w:rPr>
        <w:t>improved.</w:t>
      </w:r>
    </w:p>
    <w:p w14:paraId="56B2F7ED" w14:textId="77777777" w:rsidR="006255F9" w:rsidRPr="0041349C" w:rsidRDefault="00022CD3" w:rsidP="00980585">
      <w:pPr>
        <w:pStyle w:val="ListParagraph"/>
        <w:numPr>
          <w:ilvl w:val="1"/>
          <w:numId w:val="56"/>
        </w:numPr>
        <w:spacing w:before="80"/>
        <w:ind w:left="1134" w:hanging="283"/>
        <w:rPr>
          <w:rFonts w:ascii="Arial Narrow" w:hAnsi="Arial Narrow"/>
          <w:sz w:val="23"/>
          <w:szCs w:val="23"/>
        </w:rPr>
      </w:pPr>
      <w:r w:rsidRPr="0041349C">
        <w:rPr>
          <w:rFonts w:ascii="Arial Narrow" w:hAnsi="Arial Narrow"/>
          <w:sz w:val="23"/>
          <w:szCs w:val="23"/>
        </w:rPr>
        <w:t xml:space="preserve">In Samoa </w:t>
      </w:r>
      <w:r w:rsidR="004D3C36">
        <w:rPr>
          <w:rFonts w:ascii="Arial Narrow" w:hAnsi="Arial Narrow"/>
          <w:sz w:val="23"/>
          <w:szCs w:val="23"/>
        </w:rPr>
        <w:t>t</w:t>
      </w:r>
      <w:r w:rsidR="004D3C36" w:rsidRPr="004D3C36">
        <w:rPr>
          <w:rFonts w:ascii="Arial Narrow" w:hAnsi="Arial Narrow"/>
          <w:sz w:val="23"/>
          <w:szCs w:val="23"/>
        </w:rPr>
        <w:t xml:space="preserve">ime </w:t>
      </w:r>
      <w:r w:rsidR="004D3C36">
        <w:rPr>
          <w:rFonts w:ascii="Arial Narrow" w:hAnsi="Arial Narrow"/>
          <w:sz w:val="23"/>
          <w:szCs w:val="23"/>
        </w:rPr>
        <w:t>g</w:t>
      </w:r>
      <w:r w:rsidR="004D3C36" w:rsidRPr="0041349C">
        <w:rPr>
          <w:rFonts w:ascii="Arial Narrow" w:hAnsi="Arial Narrow"/>
          <w:sz w:val="23"/>
          <w:szCs w:val="23"/>
        </w:rPr>
        <w:t xml:space="preserve">oals have been promulgated for the Supreme and District Court and </w:t>
      </w:r>
      <w:r w:rsidR="0041349C">
        <w:rPr>
          <w:rFonts w:ascii="Arial Narrow" w:hAnsi="Arial Narrow"/>
          <w:sz w:val="23"/>
          <w:szCs w:val="23"/>
        </w:rPr>
        <w:t xml:space="preserve">initial </w:t>
      </w:r>
      <w:r w:rsidR="004D3C36" w:rsidRPr="0041349C">
        <w:rPr>
          <w:rFonts w:ascii="Arial Narrow" w:hAnsi="Arial Narrow"/>
          <w:sz w:val="23"/>
          <w:szCs w:val="23"/>
        </w:rPr>
        <w:t>stakeholder workshops concluded.  Work is progressing with the Land and Titles Court of Samoa to train all lay justices and court personnel in the court.  Addressing areas of delay identified in the Land and Titles Court has commenced using time goals. </w:t>
      </w:r>
    </w:p>
    <w:p w14:paraId="2ADE1711" w14:textId="1CEFA3A0" w:rsidR="006255F9" w:rsidRDefault="00B30495" w:rsidP="006255F9">
      <w:pPr>
        <w:pStyle w:val="ListParagraph"/>
        <w:numPr>
          <w:ilvl w:val="0"/>
          <w:numId w:val="56"/>
        </w:numPr>
        <w:spacing w:before="80"/>
        <w:ind w:left="851"/>
        <w:rPr>
          <w:rFonts w:ascii="Arial Narrow" w:hAnsi="Arial Narrow"/>
          <w:sz w:val="23"/>
          <w:szCs w:val="23"/>
        </w:rPr>
      </w:pPr>
      <w:r>
        <w:rPr>
          <w:rFonts w:ascii="Arial Narrow" w:hAnsi="Arial Narrow"/>
          <w:b/>
          <w:i/>
          <w:sz w:val="23"/>
          <w:szCs w:val="23"/>
        </w:rPr>
        <w:t xml:space="preserve">Backlog Reduction and </w:t>
      </w:r>
      <w:r w:rsidR="006255F9" w:rsidRPr="005E4381">
        <w:rPr>
          <w:rFonts w:ascii="Arial Narrow" w:hAnsi="Arial Narrow"/>
          <w:b/>
          <w:i/>
          <w:sz w:val="23"/>
          <w:szCs w:val="23"/>
        </w:rPr>
        <w:t xml:space="preserve">Delay </w:t>
      </w:r>
      <w:r>
        <w:rPr>
          <w:rFonts w:ascii="Arial Narrow" w:hAnsi="Arial Narrow"/>
          <w:b/>
          <w:i/>
          <w:sz w:val="23"/>
          <w:szCs w:val="23"/>
        </w:rPr>
        <w:t>Prevention</w:t>
      </w:r>
      <w:r w:rsidR="006255F9" w:rsidRPr="005E4381">
        <w:rPr>
          <w:rFonts w:ascii="Arial Narrow" w:hAnsi="Arial Narrow"/>
          <w:b/>
          <w:i/>
          <w:sz w:val="23"/>
          <w:szCs w:val="23"/>
        </w:rPr>
        <w:t xml:space="preserve"> Pilot and Toolkit:</w:t>
      </w:r>
      <w:r w:rsidR="005E4381">
        <w:rPr>
          <w:rFonts w:ascii="Arial Narrow" w:hAnsi="Arial Narrow"/>
          <w:sz w:val="23"/>
          <w:szCs w:val="23"/>
        </w:rPr>
        <w:t xml:space="preserve"> A second </w:t>
      </w:r>
      <w:r w:rsidR="00FB3C01">
        <w:rPr>
          <w:rFonts w:ascii="Arial Narrow" w:hAnsi="Arial Narrow"/>
          <w:sz w:val="23"/>
          <w:szCs w:val="23"/>
        </w:rPr>
        <w:t>visit to</w:t>
      </w:r>
      <w:r w:rsidR="005E4381">
        <w:rPr>
          <w:rFonts w:ascii="Arial Narrow" w:hAnsi="Arial Narrow"/>
          <w:sz w:val="23"/>
          <w:szCs w:val="23"/>
        </w:rPr>
        <w:t xml:space="preserve"> Vanuatu to </w:t>
      </w:r>
      <w:r w:rsidR="004D2BC5">
        <w:rPr>
          <w:rFonts w:ascii="Arial Narrow" w:hAnsi="Arial Narrow"/>
          <w:sz w:val="23"/>
          <w:szCs w:val="23"/>
        </w:rPr>
        <w:t xml:space="preserve">further develop and continue </w:t>
      </w:r>
      <w:r w:rsidR="005E4381">
        <w:rPr>
          <w:rFonts w:ascii="Arial Narrow" w:hAnsi="Arial Narrow"/>
          <w:sz w:val="23"/>
          <w:szCs w:val="23"/>
        </w:rPr>
        <w:t>pilot</w:t>
      </w:r>
      <w:r w:rsidR="004D2BC5">
        <w:rPr>
          <w:rFonts w:ascii="Arial Narrow" w:hAnsi="Arial Narrow"/>
          <w:sz w:val="23"/>
          <w:szCs w:val="23"/>
        </w:rPr>
        <w:t>ing of</w:t>
      </w:r>
      <w:r w:rsidR="005E4381">
        <w:rPr>
          <w:rFonts w:ascii="Arial Narrow" w:hAnsi="Arial Narrow"/>
          <w:sz w:val="23"/>
          <w:szCs w:val="23"/>
        </w:rPr>
        <w:t xml:space="preserve"> the </w:t>
      </w:r>
      <w:r w:rsidRPr="00B30495">
        <w:rPr>
          <w:rFonts w:ascii="Arial Narrow" w:hAnsi="Arial Narrow"/>
          <w:i/>
          <w:sz w:val="23"/>
          <w:szCs w:val="23"/>
        </w:rPr>
        <w:t xml:space="preserve">Backlog Reduction and Delay Prevention </w:t>
      </w:r>
      <w:r w:rsidR="005E4381" w:rsidRPr="00B30495">
        <w:rPr>
          <w:rFonts w:ascii="Arial Narrow" w:hAnsi="Arial Narrow"/>
          <w:i/>
          <w:sz w:val="23"/>
          <w:szCs w:val="23"/>
        </w:rPr>
        <w:t>Toolkit</w:t>
      </w:r>
      <w:r w:rsidR="005E4381">
        <w:rPr>
          <w:rFonts w:ascii="Arial Narrow" w:hAnsi="Arial Narrow"/>
          <w:sz w:val="23"/>
          <w:szCs w:val="23"/>
        </w:rPr>
        <w:t xml:space="preserve"> was undertaken from 9</w:t>
      </w:r>
      <w:r w:rsidR="00507463">
        <w:rPr>
          <w:rFonts w:ascii="Arial Narrow" w:hAnsi="Arial Narrow"/>
          <w:sz w:val="23"/>
          <w:szCs w:val="23"/>
        </w:rPr>
        <w:t>-</w:t>
      </w:r>
      <w:r w:rsidR="005E4381">
        <w:rPr>
          <w:rFonts w:ascii="Arial Narrow" w:hAnsi="Arial Narrow"/>
          <w:sz w:val="23"/>
          <w:szCs w:val="23"/>
        </w:rPr>
        <w:t xml:space="preserve">13 June, 2014. </w:t>
      </w:r>
      <w:r>
        <w:rPr>
          <w:rFonts w:ascii="Arial Narrow" w:hAnsi="Arial Narrow"/>
          <w:sz w:val="23"/>
          <w:szCs w:val="23"/>
        </w:rPr>
        <w:t xml:space="preserve">The input allowed for further consultations and engagement </w:t>
      </w:r>
      <w:r>
        <w:rPr>
          <w:rFonts w:ascii="Arial Narrow" w:hAnsi="Arial Narrow"/>
          <w:sz w:val="23"/>
          <w:szCs w:val="23"/>
        </w:rPr>
        <w:lastRenderedPageBreak/>
        <w:t>with the Vanuatu Judiciary and additional refinements to the Toolkit.</w:t>
      </w:r>
      <w:r w:rsidR="004D3C36" w:rsidRPr="004D3C36">
        <w:rPr>
          <w:rFonts w:ascii="Arial" w:hAnsi="Arial" w:cs="Arial"/>
          <w:color w:val="1049BC"/>
          <w:lang w:val="en-US"/>
        </w:rPr>
        <w:t xml:space="preserve"> </w:t>
      </w:r>
      <w:r w:rsidR="004D3C36" w:rsidRPr="0041349C">
        <w:rPr>
          <w:rFonts w:ascii="Arial Narrow" w:hAnsi="Arial Narrow"/>
          <w:sz w:val="23"/>
          <w:szCs w:val="23"/>
        </w:rPr>
        <w:t xml:space="preserve">Progress of the court </w:t>
      </w:r>
      <w:r w:rsidR="009437D6">
        <w:rPr>
          <w:rFonts w:ascii="Arial Narrow" w:hAnsi="Arial Narrow"/>
          <w:sz w:val="23"/>
          <w:szCs w:val="23"/>
        </w:rPr>
        <w:t xml:space="preserve">                     </w:t>
      </w:r>
      <w:r w:rsidR="004D3C36" w:rsidRPr="0041349C">
        <w:rPr>
          <w:rFonts w:ascii="Arial Narrow" w:hAnsi="Arial Narrow"/>
          <w:sz w:val="23"/>
          <w:szCs w:val="23"/>
        </w:rPr>
        <w:t>in the reduction of its backlog was reviewed. Since November 2013 a decrease in the backlog of 23% has been achieved. This includes a reduction of 11 cases older than 10 year</w:t>
      </w:r>
      <w:r w:rsidR="004D3C36" w:rsidRPr="004D3C36">
        <w:rPr>
          <w:rFonts w:ascii="Arial Narrow" w:hAnsi="Arial Narrow"/>
          <w:sz w:val="23"/>
          <w:szCs w:val="23"/>
        </w:rPr>
        <w:t>s and more</w:t>
      </w:r>
      <w:r w:rsidR="004D3C36">
        <w:rPr>
          <w:rFonts w:ascii="Arial Narrow" w:hAnsi="Arial Narrow"/>
          <w:sz w:val="23"/>
          <w:szCs w:val="23"/>
        </w:rPr>
        <w:t xml:space="preserve"> than</w:t>
      </w:r>
      <w:r w:rsidR="004D3C36" w:rsidRPr="004D3C36">
        <w:rPr>
          <w:rFonts w:ascii="Arial Narrow" w:hAnsi="Arial Narrow"/>
          <w:sz w:val="23"/>
          <w:szCs w:val="23"/>
        </w:rPr>
        <w:t xml:space="preserve"> 18 reserved judg</w:t>
      </w:r>
      <w:r w:rsidR="004D3C36" w:rsidRPr="0041349C">
        <w:rPr>
          <w:rFonts w:ascii="Arial Narrow" w:hAnsi="Arial Narrow"/>
          <w:sz w:val="23"/>
          <w:szCs w:val="23"/>
        </w:rPr>
        <w:t xml:space="preserve">ments.  Strategies for the continuation of backlog reduction were agreed and </w:t>
      </w:r>
      <w:proofErr w:type="gramStart"/>
      <w:r w:rsidR="004D3C36" w:rsidRPr="0041349C">
        <w:rPr>
          <w:rFonts w:ascii="Arial Narrow" w:hAnsi="Arial Narrow"/>
          <w:sz w:val="23"/>
          <w:szCs w:val="23"/>
        </w:rPr>
        <w:t>staff were</w:t>
      </w:r>
      <w:proofErr w:type="gramEnd"/>
      <w:r w:rsidR="004D3C36" w:rsidRPr="0041349C">
        <w:rPr>
          <w:rFonts w:ascii="Arial Narrow" w:hAnsi="Arial Narrow"/>
          <w:sz w:val="23"/>
          <w:szCs w:val="23"/>
        </w:rPr>
        <w:t xml:space="preserve"> trained in delay reduction and case management.</w:t>
      </w:r>
      <w:r>
        <w:rPr>
          <w:rFonts w:ascii="Arial Narrow" w:hAnsi="Arial Narrow"/>
          <w:sz w:val="23"/>
          <w:szCs w:val="23"/>
        </w:rPr>
        <w:t xml:space="preserve"> </w:t>
      </w:r>
    </w:p>
    <w:p w14:paraId="2527A418" w14:textId="36315144" w:rsidR="00724308" w:rsidRDefault="00416AAC" w:rsidP="00D9783E">
      <w:pPr>
        <w:pStyle w:val="ListParagraph"/>
        <w:numPr>
          <w:ilvl w:val="0"/>
          <w:numId w:val="56"/>
        </w:numPr>
        <w:spacing w:before="80"/>
        <w:ind w:left="851"/>
        <w:rPr>
          <w:rFonts w:ascii="Arial Narrow" w:hAnsi="Arial Narrow"/>
          <w:sz w:val="23"/>
          <w:szCs w:val="23"/>
        </w:rPr>
      </w:pPr>
      <w:r>
        <w:rPr>
          <w:noProof/>
          <w:highlight w:val="yellow"/>
          <w:lang w:eastAsia="en-AU"/>
        </w:rPr>
        <mc:AlternateContent>
          <mc:Choice Requires="wps">
            <w:drawing>
              <wp:anchor distT="0" distB="0" distL="114300" distR="114300" simplePos="0" relativeHeight="251662336" behindDoc="1" locked="0" layoutInCell="1" allowOverlap="1" wp14:anchorId="34728369" wp14:editId="5AC0EC2D">
                <wp:simplePos x="0" y="0"/>
                <wp:positionH relativeFrom="column">
                  <wp:posOffset>3488055</wp:posOffset>
                </wp:positionH>
                <wp:positionV relativeFrom="paragraph">
                  <wp:posOffset>697865</wp:posOffset>
                </wp:positionV>
                <wp:extent cx="2194560" cy="1330325"/>
                <wp:effectExtent l="0" t="0" r="91440" b="98425"/>
                <wp:wrapTight wrapText="bothSides">
                  <wp:wrapPolygon edited="0">
                    <wp:start x="0" y="0"/>
                    <wp:lineTo x="0" y="21961"/>
                    <wp:lineTo x="375" y="22889"/>
                    <wp:lineTo x="22313" y="22889"/>
                    <wp:lineTo x="22313" y="1237"/>
                    <wp:lineTo x="21938" y="0"/>
                    <wp:lineTo x="0" y="0"/>
                  </wp:wrapPolygon>
                </wp:wrapTight>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330325"/>
                        </a:xfrm>
                        <a:prstGeom prst="rect">
                          <a:avLst/>
                        </a:prstGeom>
                        <a:solidFill>
                          <a:schemeClr val="tx2">
                            <a:lumMod val="20000"/>
                            <a:lumOff val="80000"/>
                          </a:schemeClr>
                        </a:solidFill>
                        <a:ln w="6350">
                          <a:solidFill>
                            <a:srgbClr val="969696"/>
                          </a:solidFill>
                          <a:miter lim="800000"/>
                          <a:headEnd/>
                          <a:tailEnd/>
                        </a:ln>
                        <a:effectLst>
                          <a:outerShdw dist="107763" dir="2700000" algn="ctr" rotWithShape="0">
                            <a:srgbClr val="808080">
                              <a:alpha val="50000"/>
                            </a:srgbClr>
                          </a:outerShdw>
                        </a:effectLst>
                      </wps:spPr>
                      <wps:txbx>
                        <w:txbxContent>
                          <w:p w14:paraId="2BDF6A7C" w14:textId="77777777" w:rsidR="0070135D" w:rsidRPr="00175031" w:rsidRDefault="0070135D" w:rsidP="00175031">
                            <w:pPr>
                              <w:spacing w:before="80"/>
                              <w:jc w:val="center"/>
                              <w:rPr>
                                <w:rFonts w:ascii="Garamond" w:hAnsi="Garamond"/>
                                <w:i/>
                              </w:rPr>
                            </w:pPr>
                            <w:r w:rsidRPr="00175031">
                              <w:rPr>
                                <w:rFonts w:ascii="Garamond" w:hAnsi="Garamond"/>
                                <w:i/>
                              </w:rPr>
                              <w:t xml:space="preserve">“I am very excited that </w:t>
                            </w:r>
                            <w:proofErr w:type="gramStart"/>
                            <w:r w:rsidRPr="00175031">
                              <w:rPr>
                                <w:rFonts w:ascii="Garamond" w:hAnsi="Garamond"/>
                                <w:i/>
                              </w:rPr>
                              <w:t>this forum is now being implemented and look</w:t>
                            </w:r>
                            <w:proofErr w:type="gramEnd"/>
                            <w:r w:rsidRPr="00175031">
                              <w:rPr>
                                <w:rFonts w:ascii="Garamond" w:hAnsi="Garamond"/>
                                <w:i/>
                              </w:rPr>
                              <w:t xml:space="preserve"> forward in participating, sharing and receiving of information that may improve our courts in the Pacific.”</w:t>
                            </w:r>
                          </w:p>
                          <w:p w14:paraId="3504E1AD" w14:textId="77777777" w:rsidR="0070135D" w:rsidRPr="00553476" w:rsidRDefault="0070135D" w:rsidP="00A5108D">
                            <w:pPr>
                              <w:jc w:val="center"/>
                              <w:rPr>
                                <w:rFonts w:ascii="Garamond" w:hAnsi="Garamond"/>
                                <w:i/>
                                <w:sz w:val="13"/>
                                <w:szCs w:val="19"/>
                              </w:rPr>
                            </w:pPr>
                          </w:p>
                          <w:p w14:paraId="17528065" w14:textId="77777777" w:rsidR="0070135D" w:rsidRPr="00553476" w:rsidRDefault="0070135D" w:rsidP="00A5108D">
                            <w:pPr>
                              <w:jc w:val="center"/>
                              <w:rPr>
                                <w:sz w:val="21"/>
                                <w:szCs w:val="19"/>
                              </w:rPr>
                            </w:pPr>
                            <w:r>
                              <w:rPr>
                                <w:sz w:val="21"/>
                                <w:szCs w:val="19"/>
                              </w:rPr>
                              <w:t xml:space="preserve">Email feedback from ITOF Participant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728369" id="_x0000_s1028" type="#_x0000_t202" style="position:absolute;left:0;text-align:left;margin-left:274.65pt;margin-top:54.95pt;width:172.8pt;height:10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" fillcolor="#c6d9f1 [671]" strokecolor="#969696" strokeweight=".5pt">
                <v:shadow on="t" opacity=".5" offset="6pt,6pt"/>
                <v:textbox>
                  <w:txbxContent>
                    <w:p w14:paraId="2BDF6A7C" w14:textId="77777777" w:rsidR="0070135D" w:rsidRPr="00175031" w:rsidRDefault="0070135D" w:rsidP="00175031">
                      <w:pPr>
                        <w:spacing w:before="80"/>
                        <w:jc w:val="center"/>
                        <w:rPr>
                          <w:rFonts w:ascii="Garamond" w:hAnsi="Garamond"/>
                          <w:i/>
                        </w:rPr>
                      </w:pPr>
                      <w:r w:rsidRPr="00175031">
                        <w:rPr>
                          <w:rFonts w:ascii="Garamond" w:hAnsi="Garamond"/>
                          <w:i/>
                        </w:rPr>
                        <w:t>“I am very excited that this forum is now being implemented and look forward in participating, sharing and receiving of information that may improve our courts in the Pacific.”</w:t>
                      </w:r>
                    </w:p>
                    <w:p w14:paraId="3504E1AD" w14:textId="77777777" w:rsidR="0070135D" w:rsidRPr="00553476" w:rsidRDefault="0070135D" w:rsidP="00A5108D">
                      <w:pPr>
                        <w:jc w:val="center"/>
                        <w:rPr>
                          <w:rFonts w:ascii="Garamond" w:hAnsi="Garamond"/>
                          <w:i/>
                          <w:sz w:val="13"/>
                          <w:szCs w:val="19"/>
                        </w:rPr>
                      </w:pPr>
                    </w:p>
                    <w:p w14:paraId="17528065" w14:textId="77777777" w:rsidR="0070135D" w:rsidRPr="00553476" w:rsidRDefault="0070135D" w:rsidP="00A5108D">
                      <w:pPr>
                        <w:jc w:val="center"/>
                        <w:rPr>
                          <w:sz w:val="21"/>
                          <w:szCs w:val="19"/>
                        </w:rPr>
                      </w:pPr>
                      <w:r>
                        <w:rPr>
                          <w:sz w:val="21"/>
                          <w:szCs w:val="19"/>
                        </w:rPr>
                        <w:t xml:space="preserve">Email feedback from ITOF Participant </w:t>
                      </w:r>
                    </w:p>
                  </w:txbxContent>
                </v:textbox>
                <w10:wrap type="tight"/>
              </v:shape>
            </w:pict>
          </mc:Fallback>
        </mc:AlternateContent>
      </w:r>
      <w:r w:rsidR="006255F9" w:rsidRPr="00701679">
        <w:rPr>
          <w:rFonts w:ascii="Arial Narrow" w:hAnsi="Arial Narrow"/>
          <w:b/>
          <w:i/>
          <w:sz w:val="23"/>
          <w:szCs w:val="23"/>
        </w:rPr>
        <w:t>IT Administrator’s Network:</w:t>
      </w:r>
      <w:r w:rsidR="00701679">
        <w:rPr>
          <w:rFonts w:ascii="Arial Narrow" w:hAnsi="Arial Narrow"/>
          <w:sz w:val="23"/>
          <w:szCs w:val="23"/>
        </w:rPr>
        <w:t xml:space="preserve"> </w:t>
      </w:r>
      <w:r w:rsidR="00FB3C01">
        <w:rPr>
          <w:rFonts w:ascii="Arial Narrow" w:hAnsi="Arial Narrow"/>
          <w:sz w:val="23"/>
          <w:szCs w:val="23"/>
        </w:rPr>
        <w:t xml:space="preserve">aims to facilitate interaction between court personnel working or interested in information technology across all 14 PJDP PICs.  </w:t>
      </w:r>
      <w:r w:rsidR="00701679">
        <w:rPr>
          <w:rFonts w:ascii="Arial Narrow" w:hAnsi="Arial Narrow"/>
          <w:sz w:val="23"/>
          <w:szCs w:val="23"/>
        </w:rPr>
        <w:t>Appropriate software has been sourced</w:t>
      </w:r>
      <w:r w:rsidR="00FB3C01">
        <w:rPr>
          <w:rFonts w:ascii="Arial Narrow" w:hAnsi="Arial Narrow"/>
          <w:sz w:val="23"/>
          <w:szCs w:val="23"/>
        </w:rPr>
        <w:t xml:space="preserve"> and </w:t>
      </w:r>
      <w:r w:rsidR="00701679">
        <w:rPr>
          <w:rFonts w:ascii="Arial Narrow" w:hAnsi="Arial Narrow"/>
          <w:sz w:val="23"/>
          <w:szCs w:val="23"/>
        </w:rPr>
        <w:t>tested</w:t>
      </w:r>
      <w:r w:rsidR="00FB3C01">
        <w:rPr>
          <w:rFonts w:ascii="Arial Narrow" w:hAnsi="Arial Narrow"/>
          <w:sz w:val="23"/>
          <w:szCs w:val="23"/>
        </w:rPr>
        <w:t xml:space="preserve">.  The </w:t>
      </w:r>
      <w:r w:rsidR="00701679">
        <w:rPr>
          <w:rFonts w:ascii="Arial Narrow" w:hAnsi="Arial Narrow"/>
          <w:sz w:val="23"/>
          <w:szCs w:val="23"/>
        </w:rPr>
        <w:t>online forum u</w:t>
      </w:r>
      <w:r w:rsidR="00FB3C01">
        <w:rPr>
          <w:rFonts w:ascii="Arial Narrow" w:hAnsi="Arial Narrow"/>
          <w:sz w:val="23"/>
          <w:szCs w:val="23"/>
        </w:rPr>
        <w:t>ses</w:t>
      </w:r>
      <w:r w:rsidR="00701679">
        <w:rPr>
          <w:rFonts w:ascii="Arial Narrow" w:hAnsi="Arial Narrow"/>
          <w:sz w:val="23"/>
          <w:szCs w:val="23"/>
        </w:rPr>
        <w:t xml:space="preserve"> </w:t>
      </w:r>
      <w:r w:rsidR="00701679" w:rsidRPr="00553476">
        <w:rPr>
          <w:rFonts w:ascii="Arial Narrow" w:hAnsi="Arial Narrow"/>
          <w:i/>
          <w:sz w:val="23"/>
          <w:szCs w:val="23"/>
        </w:rPr>
        <w:t>Invision Power Board</w:t>
      </w:r>
      <w:r w:rsidR="00701679">
        <w:rPr>
          <w:rFonts w:ascii="Arial Narrow" w:hAnsi="Arial Narrow"/>
          <w:sz w:val="23"/>
          <w:szCs w:val="23"/>
        </w:rPr>
        <w:t xml:space="preserve"> as its </w:t>
      </w:r>
      <w:r w:rsidR="00790352">
        <w:rPr>
          <w:rFonts w:ascii="Arial Narrow" w:hAnsi="Arial Narrow"/>
          <w:sz w:val="23"/>
          <w:szCs w:val="23"/>
        </w:rPr>
        <w:t xml:space="preserve">internet-based </w:t>
      </w:r>
      <w:r w:rsidR="00701679">
        <w:rPr>
          <w:rFonts w:ascii="Arial Narrow" w:hAnsi="Arial Narrow"/>
          <w:sz w:val="23"/>
          <w:szCs w:val="23"/>
        </w:rPr>
        <w:t xml:space="preserve">platform. The </w:t>
      </w:r>
      <w:r w:rsidR="00FB3C01">
        <w:rPr>
          <w:rFonts w:ascii="Arial Narrow" w:hAnsi="Arial Narrow"/>
          <w:sz w:val="23"/>
          <w:szCs w:val="23"/>
        </w:rPr>
        <w:t>forum’s structure</w:t>
      </w:r>
      <w:r w:rsidR="00701679">
        <w:rPr>
          <w:rFonts w:ascii="Arial Narrow" w:hAnsi="Arial Narrow"/>
          <w:sz w:val="23"/>
          <w:szCs w:val="23"/>
        </w:rPr>
        <w:t xml:space="preserve"> </w:t>
      </w:r>
      <w:r w:rsidR="00790352">
        <w:rPr>
          <w:rFonts w:ascii="Arial Narrow" w:hAnsi="Arial Narrow"/>
          <w:sz w:val="23"/>
          <w:szCs w:val="23"/>
        </w:rPr>
        <w:t xml:space="preserve">has been developed, </w:t>
      </w:r>
      <w:r w:rsidR="00FB3C01">
        <w:rPr>
          <w:rFonts w:ascii="Arial Narrow" w:hAnsi="Arial Narrow"/>
          <w:sz w:val="23"/>
          <w:szCs w:val="23"/>
        </w:rPr>
        <w:t xml:space="preserve">and </w:t>
      </w:r>
      <w:r w:rsidR="00790352">
        <w:rPr>
          <w:rFonts w:ascii="Arial Narrow" w:hAnsi="Arial Narrow"/>
          <w:sz w:val="23"/>
          <w:szCs w:val="23"/>
        </w:rPr>
        <w:t xml:space="preserve">nominations received from </w:t>
      </w:r>
      <w:r w:rsidR="000F576F">
        <w:rPr>
          <w:rFonts w:ascii="Arial Narrow" w:hAnsi="Arial Narrow"/>
          <w:sz w:val="23"/>
          <w:szCs w:val="23"/>
        </w:rPr>
        <w:t>9</w:t>
      </w:r>
      <w:r w:rsidR="00FB3C01">
        <w:rPr>
          <w:rFonts w:ascii="Arial Narrow" w:hAnsi="Arial Narrow"/>
          <w:sz w:val="23"/>
          <w:szCs w:val="23"/>
        </w:rPr>
        <w:t xml:space="preserve"> partner courts</w:t>
      </w:r>
      <w:r w:rsidR="00790352">
        <w:rPr>
          <w:rFonts w:ascii="Arial Narrow" w:hAnsi="Arial Narrow"/>
          <w:sz w:val="23"/>
          <w:szCs w:val="23"/>
        </w:rPr>
        <w:t xml:space="preserve">. The Forum was official launched on </w:t>
      </w:r>
      <w:r w:rsidR="00BF4D53">
        <w:rPr>
          <w:rFonts w:ascii="Arial Narrow" w:hAnsi="Arial Narrow"/>
          <w:sz w:val="23"/>
          <w:szCs w:val="23"/>
        </w:rPr>
        <w:t>10</w:t>
      </w:r>
      <w:r w:rsidR="00790352">
        <w:rPr>
          <w:rFonts w:ascii="Arial Narrow" w:hAnsi="Arial Narrow"/>
          <w:sz w:val="23"/>
          <w:szCs w:val="23"/>
        </w:rPr>
        <w:t xml:space="preserve"> June, 2014. </w:t>
      </w:r>
    </w:p>
    <w:p w14:paraId="7CCEFA0B" w14:textId="77777777" w:rsidR="00790352" w:rsidRDefault="00790352" w:rsidP="00A5108D">
      <w:pPr>
        <w:pStyle w:val="ListParagraph"/>
        <w:spacing w:before="80"/>
        <w:ind w:left="851"/>
        <w:rPr>
          <w:rFonts w:ascii="Arial Narrow" w:hAnsi="Arial Narrow"/>
          <w:sz w:val="23"/>
          <w:szCs w:val="23"/>
        </w:rPr>
      </w:pPr>
      <w:r>
        <w:rPr>
          <w:rFonts w:ascii="Arial Narrow" w:hAnsi="Arial Narrow"/>
          <w:sz w:val="23"/>
          <w:szCs w:val="23"/>
        </w:rPr>
        <w:t xml:space="preserve">Members of the ITOF can interactively help each other continuously improve IT in their courts through the sharing of knowledge, ideas, information, </w:t>
      </w:r>
      <w:r w:rsidRPr="00EF3D00">
        <w:rPr>
          <w:rFonts w:ascii="Arial Narrow" w:hAnsi="Arial Narrow"/>
          <w:sz w:val="23"/>
          <w:szCs w:val="23"/>
        </w:rPr>
        <w:t xml:space="preserve">experiences and solutions. Users also have access to the Federal Courts IT experts who monitor </w:t>
      </w:r>
      <w:r w:rsidR="003609E5">
        <w:rPr>
          <w:rFonts w:ascii="Arial Narrow" w:hAnsi="Arial Narrow"/>
          <w:sz w:val="23"/>
          <w:szCs w:val="23"/>
        </w:rPr>
        <w:t xml:space="preserve">and where appropriate, respond to questions raised in </w:t>
      </w:r>
      <w:r w:rsidR="00BE0C69">
        <w:rPr>
          <w:rFonts w:ascii="Arial Narrow" w:hAnsi="Arial Narrow"/>
          <w:sz w:val="23"/>
          <w:szCs w:val="23"/>
        </w:rPr>
        <w:t xml:space="preserve">            </w:t>
      </w:r>
      <w:r w:rsidR="003609E5">
        <w:rPr>
          <w:rFonts w:ascii="Arial Narrow" w:hAnsi="Arial Narrow"/>
          <w:sz w:val="23"/>
          <w:szCs w:val="23"/>
        </w:rPr>
        <w:t>the</w:t>
      </w:r>
      <w:r w:rsidR="00BE0C69">
        <w:rPr>
          <w:rFonts w:ascii="Arial Narrow" w:hAnsi="Arial Narrow"/>
          <w:sz w:val="23"/>
          <w:szCs w:val="23"/>
        </w:rPr>
        <w:t xml:space="preserve"> </w:t>
      </w:r>
      <w:r w:rsidR="003609E5">
        <w:rPr>
          <w:rFonts w:ascii="Arial Narrow" w:hAnsi="Arial Narrow"/>
          <w:sz w:val="23"/>
          <w:szCs w:val="23"/>
        </w:rPr>
        <w:t>F</w:t>
      </w:r>
      <w:r w:rsidRPr="00EF3D00">
        <w:rPr>
          <w:rFonts w:ascii="Arial Narrow" w:hAnsi="Arial Narrow"/>
          <w:sz w:val="23"/>
          <w:szCs w:val="23"/>
        </w:rPr>
        <w:t>orum daily.</w:t>
      </w:r>
    </w:p>
    <w:p w14:paraId="2B5B6338" w14:textId="77777777" w:rsidR="0039412B" w:rsidRPr="00EF3D00" w:rsidRDefault="00371127" w:rsidP="00FF2C4A">
      <w:pPr>
        <w:numPr>
          <w:ilvl w:val="0"/>
          <w:numId w:val="4"/>
        </w:numPr>
        <w:spacing w:before="80"/>
        <w:ind w:left="480" w:hanging="480"/>
        <w:rPr>
          <w:b/>
          <w:i/>
          <w:sz w:val="23"/>
          <w:szCs w:val="23"/>
        </w:rPr>
      </w:pPr>
      <w:r w:rsidRPr="00EF3D00">
        <w:rPr>
          <w:b/>
          <w:i/>
          <w:sz w:val="23"/>
          <w:szCs w:val="23"/>
        </w:rPr>
        <w:t>Next Steps</w:t>
      </w:r>
      <w:r w:rsidR="0039412B" w:rsidRPr="00EF3D00">
        <w:rPr>
          <w:b/>
          <w:i/>
          <w:sz w:val="23"/>
          <w:szCs w:val="23"/>
        </w:rPr>
        <w:t>:</w:t>
      </w:r>
      <w:r w:rsidR="0039412B" w:rsidRPr="00EF3D00">
        <w:rPr>
          <w:sz w:val="23"/>
          <w:szCs w:val="23"/>
        </w:rPr>
        <w:t xml:space="preserve"> </w:t>
      </w:r>
      <w:r w:rsidR="00EF3D00" w:rsidRPr="00EF3D00">
        <w:rPr>
          <w:sz w:val="23"/>
          <w:szCs w:val="23"/>
        </w:rPr>
        <w:t xml:space="preserve">The </w:t>
      </w:r>
      <w:r w:rsidR="00EF3D00" w:rsidRPr="00604306">
        <w:rPr>
          <w:i/>
          <w:sz w:val="23"/>
          <w:szCs w:val="23"/>
        </w:rPr>
        <w:t>Time Standards Toolkit</w:t>
      </w:r>
      <w:r w:rsidR="00EF3D00" w:rsidRPr="00EF3D00">
        <w:rPr>
          <w:sz w:val="23"/>
          <w:szCs w:val="23"/>
        </w:rPr>
        <w:t xml:space="preserve"> is scheduled to be further implemented in the Solomon Islands in late September 2014. The </w:t>
      </w:r>
      <w:r w:rsidR="00EF3D00" w:rsidRPr="00604306">
        <w:rPr>
          <w:i/>
          <w:sz w:val="23"/>
          <w:szCs w:val="23"/>
        </w:rPr>
        <w:t>Delay Reduction Toolkit</w:t>
      </w:r>
      <w:r w:rsidR="00EF3D00" w:rsidRPr="00EF3D00">
        <w:rPr>
          <w:sz w:val="23"/>
          <w:szCs w:val="23"/>
        </w:rPr>
        <w:t xml:space="preserve"> is scheduled to be implemented in Kiribati in November 2014</w:t>
      </w:r>
      <w:r w:rsidR="00DA4A8B">
        <w:rPr>
          <w:sz w:val="23"/>
          <w:szCs w:val="23"/>
        </w:rPr>
        <w:t>, with</w:t>
      </w:r>
      <w:r w:rsidR="00EF3D00" w:rsidRPr="00EF3D00">
        <w:rPr>
          <w:sz w:val="23"/>
          <w:szCs w:val="23"/>
        </w:rPr>
        <w:t xml:space="preserve"> a final visit to Vanuatu </w:t>
      </w:r>
      <w:r w:rsidR="00DA4A8B">
        <w:rPr>
          <w:sz w:val="23"/>
          <w:szCs w:val="23"/>
        </w:rPr>
        <w:t xml:space="preserve">to occur </w:t>
      </w:r>
      <w:r w:rsidR="00EF3D00" w:rsidRPr="00EF3D00">
        <w:rPr>
          <w:sz w:val="23"/>
          <w:szCs w:val="23"/>
        </w:rPr>
        <w:t xml:space="preserve">in February 2015. </w:t>
      </w:r>
      <w:r w:rsidR="0020513F">
        <w:rPr>
          <w:sz w:val="23"/>
          <w:szCs w:val="23"/>
        </w:rPr>
        <w:t xml:space="preserve">The PJDP is </w:t>
      </w:r>
      <w:r w:rsidR="00DA4A8B">
        <w:rPr>
          <w:sz w:val="23"/>
          <w:szCs w:val="23"/>
        </w:rPr>
        <w:t xml:space="preserve">continuing to </w:t>
      </w:r>
      <w:r w:rsidR="0020513F">
        <w:rPr>
          <w:sz w:val="23"/>
          <w:szCs w:val="23"/>
        </w:rPr>
        <w:t>identif</w:t>
      </w:r>
      <w:r w:rsidR="00DA4A8B">
        <w:rPr>
          <w:sz w:val="23"/>
          <w:szCs w:val="23"/>
        </w:rPr>
        <w:t>y</w:t>
      </w:r>
      <w:r w:rsidR="0020513F">
        <w:rPr>
          <w:sz w:val="23"/>
          <w:szCs w:val="23"/>
        </w:rPr>
        <w:t xml:space="preserve"> suitable individuals </w:t>
      </w:r>
      <w:r w:rsidR="003B6CCE">
        <w:rPr>
          <w:sz w:val="23"/>
          <w:szCs w:val="23"/>
        </w:rPr>
        <w:t xml:space="preserve">from </w:t>
      </w:r>
      <w:r w:rsidR="0020513F" w:rsidRPr="006255F9">
        <w:rPr>
          <w:sz w:val="23"/>
          <w:szCs w:val="23"/>
        </w:rPr>
        <w:t xml:space="preserve">all PJDP </w:t>
      </w:r>
      <w:r w:rsidR="0020513F">
        <w:rPr>
          <w:sz w:val="23"/>
          <w:szCs w:val="23"/>
        </w:rPr>
        <w:t xml:space="preserve">partner courts to participate in </w:t>
      </w:r>
      <w:r w:rsidR="0020513F" w:rsidRPr="006255F9">
        <w:rPr>
          <w:sz w:val="23"/>
          <w:szCs w:val="23"/>
        </w:rPr>
        <w:t>the I</w:t>
      </w:r>
      <w:r w:rsidR="00CD2F38">
        <w:rPr>
          <w:sz w:val="23"/>
          <w:szCs w:val="23"/>
        </w:rPr>
        <w:t>TOF</w:t>
      </w:r>
      <w:r w:rsidR="0020513F">
        <w:rPr>
          <w:sz w:val="23"/>
          <w:szCs w:val="23"/>
        </w:rPr>
        <w:t xml:space="preserve">, with discussions </w:t>
      </w:r>
      <w:r w:rsidR="001F129D">
        <w:rPr>
          <w:sz w:val="23"/>
          <w:szCs w:val="23"/>
        </w:rPr>
        <w:t xml:space="preserve">in the </w:t>
      </w:r>
      <w:r w:rsidR="0020513F">
        <w:rPr>
          <w:sz w:val="23"/>
          <w:szCs w:val="23"/>
        </w:rPr>
        <w:t xml:space="preserve">forum to </w:t>
      </w:r>
      <w:r w:rsidR="00944403">
        <w:rPr>
          <w:sz w:val="23"/>
          <w:szCs w:val="23"/>
        </w:rPr>
        <w:t xml:space="preserve">be closely monitored </w:t>
      </w:r>
      <w:r w:rsidR="001F129D">
        <w:rPr>
          <w:sz w:val="23"/>
          <w:szCs w:val="23"/>
        </w:rPr>
        <w:t xml:space="preserve">and supported by the </w:t>
      </w:r>
      <w:r w:rsidR="0020513F">
        <w:rPr>
          <w:sz w:val="23"/>
          <w:szCs w:val="23"/>
        </w:rPr>
        <w:t>PJDP Team</w:t>
      </w:r>
      <w:r w:rsidR="00CC1108">
        <w:rPr>
          <w:sz w:val="23"/>
          <w:szCs w:val="23"/>
        </w:rPr>
        <w:t xml:space="preserve"> on an ongoing basis</w:t>
      </w:r>
      <w:r w:rsidR="001F129D">
        <w:rPr>
          <w:sz w:val="23"/>
          <w:szCs w:val="23"/>
        </w:rPr>
        <w:t>.</w:t>
      </w:r>
      <w:r w:rsidR="00524599" w:rsidRPr="00524599">
        <w:rPr>
          <w:sz w:val="23"/>
          <w:szCs w:val="23"/>
        </w:rPr>
        <w:t xml:space="preserve"> </w:t>
      </w:r>
    </w:p>
    <w:p w14:paraId="6BFA327C" w14:textId="77777777" w:rsidR="0039412B" w:rsidRPr="007942C1" w:rsidRDefault="0039412B" w:rsidP="00802C7B">
      <w:pPr>
        <w:rPr>
          <w:b/>
          <w:sz w:val="23"/>
          <w:szCs w:val="23"/>
        </w:rPr>
      </w:pPr>
    </w:p>
    <w:p w14:paraId="786FA266" w14:textId="77777777" w:rsidR="0039412B" w:rsidRPr="00323536" w:rsidRDefault="00D52749" w:rsidP="00BA4968">
      <w:pPr>
        <w:pStyle w:val="Heading3"/>
        <w:numPr>
          <w:ilvl w:val="0"/>
          <w:numId w:val="48"/>
        </w:numPr>
        <w:spacing w:after="120"/>
        <w:ind w:hanging="720"/>
        <w:rPr>
          <w:sz w:val="23"/>
          <w:szCs w:val="23"/>
        </w:rPr>
      </w:pPr>
      <w:bookmarkStart w:id="44" w:name="_Toc391469730"/>
      <w:r w:rsidRPr="00323536">
        <w:rPr>
          <w:sz w:val="23"/>
          <w:szCs w:val="23"/>
        </w:rPr>
        <w:t>Court Annual Reporting Project</w:t>
      </w:r>
      <w:bookmarkEnd w:id="44"/>
    </w:p>
    <w:p w14:paraId="6DB61DDC" w14:textId="77777777" w:rsidR="0039412B" w:rsidRPr="008F415D" w:rsidRDefault="0039412B" w:rsidP="00FF2C4A">
      <w:pPr>
        <w:numPr>
          <w:ilvl w:val="0"/>
          <w:numId w:val="4"/>
        </w:numPr>
        <w:spacing w:before="80"/>
        <w:ind w:left="480" w:hanging="480"/>
        <w:rPr>
          <w:b/>
          <w:i/>
          <w:sz w:val="23"/>
          <w:szCs w:val="23"/>
        </w:rPr>
      </w:pPr>
      <w:r w:rsidRPr="00323536">
        <w:rPr>
          <w:b/>
          <w:i/>
          <w:sz w:val="23"/>
          <w:szCs w:val="23"/>
        </w:rPr>
        <w:t>Status:</w:t>
      </w:r>
      <w:r w:rsidRPr="00323536">
        <w:rPr>
          <w:sz w:val="23"/>
          <w:szCs w:val="23"/>
        </w:rPr>
        <w:t xml:space="preserve"> </w:t>
      </w:r>
      <w:r w:rsidR="004E22C0">
        <w:rPr>
          <w:sz w:val="23"/>
          <w:szCs w:val="23"/>
        </w:rPr>
        <w:t xml:space="preserve">All </w:t>
      </w:r>
      <w:r w:rsidR="00923ED3">
        <w:rPr>
          <w:sz w:val="23"/>
          <w:szCs w:val="23"/>
        </w:rPr>
        <w:t xml:space="preserve">court annual reports </w:t>
      </w:r>
      <w:r w:rsidR="004E22C0">
        <w:rPr>
          <w:sz w:val="23"/>
          <w:szCs w:val="23"/>
        </w:rPr>
        <w:t>for those partner courts receiving support under this project have now been finalised</w:t>
      </w:r>
      <w:r w:rsidR="003D2F4D">
        <w:rPr>
          <w:sz w:val="23"/>
          <w:szCs w:val="23"/>
        </w:rPr>
        <w:t xml:space="preserve">. </w:t>
      </w:r>
    </w:p>
    <w:p w14:paraId="7EA47608" w14:textId="77777777" w:rsidR="0039412B" w:rsidRPr="00E02306" w:rsidRDefault="0039412B" w:rsidP="008F415D">
      <w:pPr>
        <w:numPr>
          <w:ilvl w:val="0"/>
          <w:numId w:val="4"/>
        </w:numPr>
        <w:spacing w:before="80"/>
        <w:ind w:left="480" w:hanging="480"/>
        <w:rPr>
          <w:b/>
          <w:i/>
          <w:sz w:val="23"/>
          <w:szCs w:val="23"/>
        </w:rPr>
      </w:pPr>
      <w:r w:rsidRPr="008F415D">
        <w:rPr>
          <w:rFonts w:cs="Verdana"/>
          <w:b/>
          <w:bCs/>
          <w:i/>
          <w:sz w:val="23"/>
          <w:szCs w:val="23"/>
        </w:rPr>
        <w:t>Summary of progress:</w:t>
      </w:r>
      <w:r w:rsidRPr="008F415D">
        <w:rPr>
          <w:rFonts w:cs="Verdana"/>
          <w:bCs/>
          <w:sz w:val="23"/>
          <w:szCs w:val="23"/>
        </w:rPr>
        <w:t xml:space="preserve"> </w:t>
      </w:r>
      <w:r w:rsidRPr="008F415D">
        <w:rPr>
          <w:sz w:val="23"/>
          <w:szCs w:val="23"/>
        </w:rPr>
        <w:t>The Court Annual Reporting Adviser</w:t>
      </w:r>
      <w:r w:rsidR="00604306">
        <w:rPr>
          <w:sz w:val="23"/>
          <w:szCs w:val="23"/>
        </w:rPr>
        <w:t>, Ms Cate Sumner</w:t>
      </w:r>
      <w:r w:rsidRPr="008F415D">
        <w:rPr>
          <w:sz w:val="23"/>
          <w:szCs w:val="23"/>
        </w:rPr>
        <w:t xml:space="preserve"> continued </w:t>
      </w:r>
      <w:r w:rsidR="00043D19">
        <w:rPr>
          <w:sz w:val="23"/>
          <w:szCs w:val="23"/>
        </w:rPr>
        <w:t xml:space="preserve">to provide extensive </w:t>
      </w:r>
      <w:r w:rsidR="00ED73B0" w:rsidRPr="008F415D">
        <w:rPr>
          <w:sz w:val="23"/>
          <w:szCs w:val="23"/>
        </w:rPr>
        <w:t xml:space="preserve">remote support </w:t>
      </w:r>
      <w:r w:rsidR="00043D19">
        <w:rPr>
          <w:sz w:val="23"/>
          <w:szCs w:val="23"/>
        </w:rPr>
        <w:t xml:space="preserve">to </w:t>
      </w:r>
      <w:r w:rsidR="004E22C0">
        <w:rPr>
          <w:sz w:val="23"/>
          <w:szCs w:val="23"/>
        </w:rPr>
        <w:t xml:space="preserve">the courts in FSM, Palau, Niue, PNG, Tonga and Vanuatu </w:t>
      </w:r>
      <w:r w:rsidRPr="008F415D">
        <w:rPr>
          <w:rFonts w:cs="Arial Narrow"/>
          <w:sz w:val="23"/>
          <w:szCs w:val="23"/>
        </w:rPr>
        <w:t xml:space="preserve">to </w:t>
      </w:r>
      <w:r w:rsidR="008F415D" w:rsidRPr="00E02306">
        <w:rPr>
          <w:rFonts w:cs="Arial Narrow"/>
          <w:sz w:val="23"/>
          <w:szCs w:val="23"/>
        </w:rPr>
        <w:t xml:space="preserve">finalise </w:t>
      </w:r>
      <w:r w:rsidR="00017E41" w:rsidRPr="00E02306">
        <w:rPr>
          <w:rFonts w:cs="Arial Narrow"/>
          <w:sz w:val="23"/>
          <w:szCs w:val="23"/>
        </w:rPr>
        <w:t xml:space="preserve">their </w:t>
      </w:r>
      <w:r w:rsidR="008F415D" w:rsidRPr="00E02306">
        <w:rPr>
          <w:rFonts w:cs="Arial Narrow"/>
          <w:sz w:val="23"/>
          <w:szCs w:val="23"/>
        </w:rPr>
        <w:t>Annual Reports</w:t>
      </w:r>
      <w:r w:rsidR="004E22C0">
        <w:rPr>
          <w:rFonts w:cs="Arial Narrow"/>
          <w:sz w:val="23"/>
          <w:szCs w:val="23"/>
        </w:rPr>
        <w:t xml:space="preserve"> in this </w:t>
      </w:r>
      <w:r w:rsidR="00923ED3">
        <w:rPr>
          <w:rFonts w:cs="Arial Narrow"/>
          <w:sz w:val="23"/>
          <w:szCs w:val="23"/>
        </w:rPr>
        <w:t xml:space="preserve">reporting </w:t>
      </w:r>
      <w:r w:rsidR="004E22C0">
        <w:rPr>
          <w:rFonts w:cs="Arial Narrow"/>
          <w:sz w:val="23"/>
          <w:szCs w:val="23"/>
        </w:rPr>
        <w:t>period</w:t>
      </w:r>
      <w:r w:rsidR="008F415D" w:rsidRPr="00E02306">
        <w:rPr>
          <w:rFonts w:cs="Arial Narrow"/>
          <w:sz w:val="23"/>
          <w:szCs w:val="23"/>
        </w:rPr>
        <w:t xml:space="preserve">. </w:t>
      </w:r>
    </w:p>
    <w:p w14:paraId="06510D84" w14:textId="77777777" w:rsidR="0039412B" w:rsidRPr="00E02306" w:rsidRDefault="00323536" w:rsidP="00FF2C4A">
      <w:pPr>
        <w:numPr>
          <w:ilvl w:val="0"/>
          <w:numId w:val="4"/>
        </w:numPr>
        <w:spacing w:before="80"/>
        <w:ind w:left="480" w:hanging="480"/>
        <w:rPr>
          <w:b/>
          <w:i/>
          <w:sz w:val="23"/>
          <w:szCs w:val="23"/>
        </w:rPr>
      </w:pPr>
      <w:r w:rsidRPr="00E02306">
        <w:rPr>
          <w:b/>
          <w:i/>
          <w:sz w:val="23"/>
          <w:szCs w:val="23"/>
        </w:rPr>
        <w:t>Next Steps</w:t>
      </w:r>
      <w:r w:rsidR="0039412B" w:rsidRPr="00E02306">
        <w:rPr>
          <w:b/>
          <w:i/>
          <w:sz w:val="23"/>
          <w:szCs w:val="23"/>
        </w:rPr>
        <w:t>:</w:t>
      </w:r>
      <w:r w:rsidR="0039412B" w:rsidRPr="00E02306">
        <w:rPr>
          <w:sz w:val="23"/>
          <w:szCs w:val="23"/>
        </w:rPr>
        <w:t xml:space="preserve"> The </w:t>
      </w:r>
      <w:r w:rsidR="0039412B" w:rsidRPr="00E02306">
        <w:rPr>
          <w:i/>
          <w:sz w:val="23"/>
          <w:szCs w:val="23"/>
        </w:rPr>
        <w:t>Regional Court Reporting Toolkit</w:t>
      </w:r>
      <w:r w:rsidR="0039412B" w:rsidRPr="00E02306">
        <w:rPr>
          <w:sz w:val="23"/>
          <w:szCs w:val="23"/>
        </w:rPr>
        <w:t xml:space="preserve"> </w:t>
      </w:r>
      <w:r w:rsidR="00E02306" w:rsidRPr="00E02306">
        <w:rPr>
          <w:sz w:val="23"/>
          <w:szCs w:val="23"/>
        </w:rPr>
        <w:t>will be reviewed and amended in line with lessons learnt</w:t>
      </w:r>
      <w:r w:rsidR="00F4209F">
        <w:rPr>
          <w:sz w:val="23"/>
          <w:szCs w:val="23"/>
        </w:rPr>
        <w:t xml:space="preserve">. The Adviser will begin consultations with key counterparts and stakeholders in partner courts to collect and collate </w:t>
      </w:r>
      <w:r w:rsidR="00043D19">
        <w:rPr>
          <w:sz w:val="23"/>
          <w:szCs w:val="23"/>
        </w:rPr>
        <w:t xml:space="preserve">a </w:t>
      </w:r>
      <w:r w:rsidR="00F4209F">
        <w:rPr>
          <w:sz w:val="23"/>
          <w:szCs w:val="23"/>
        </w:rPr>
        <w:t xml:space="preserve">fourth year </w:t>
      </w:r>
      <w:r w:rsidR="00043D19">
        <w:rPr>
          <w:sz w:val="23"/>
          <w:szCs w:val="23"/>
        </w:rPr>
        <w:t xml:space="preserve">of </w:t>
      </w:r>
      <w:r w:rsidR="00F4209F">
        <w:rPr>
          <w:sz w:val="23"/>
          <w:szCs w:val="23"/>
        </w:rPr>
        <w:t>court performance data</w:t>
      </w:r>
      <w:r w:rsidR="00043D19">
        <w:rPr>
          <w:sz w:val="23"/>
          <w:szCs w:val="23"/>
        </w:rPr>
        <w:t xml:space="preserve"> to develop the planned ‘Trend Report’</w:t>
      </w:r>
      <w:r w:rsidR="00F4209F">
        <w:rPr>
          <w:sz w:val="23"/>
          <w:szCs w:val="23"/>
        </w:rPr>
        <w:t>.</w:t>
      </w:r>
    </w:p>
    <w:p w14:paraId="6E803720" w14:textId="77777777" w:rsidR="0039412B" w:rsidRPr="00D93DE2" w:rsidRDefault="0039412B" w:rsidP="00802C7B">
      <w:pPr>
        <w:rPr>
          <w:b/>
          <w:sz w:val="16"/>
          <w:szCs w:val="23"/>
        </w:rPr>
      </w:pPr>
    </w:p>
    <w:p w14:paraId="47CFACFA" w14:textId="77777777" w:rsidR="0039412B" w:rsidRDefault="0039412B" w:rsidP="00BA4968">
      <w:pPr>
        <w:pStyle w:val="Heading2"/>
        <w:numPr>
          <w:ilvl w:val="0"/>
          <w:numId w:val="40"/>
        </w:numPr>
        <w:ind w:hanging="720"/>
      </w:pPr>
      <w:bookmarkStart w:id="45" w:name="_Toc391469731"/>
      <w:r w:rsidRPr="006D7204">
        <w:t>Component Four: Professional Development</w:t>
      </w:r>
      <w:bookmarkEnd w:id="45"/>
    </w:p>
    <w:p w14:paraId="052BD175" w14:textId="77777777" w:rsidR="0039412B" w:rsidRDefault="0039412B">
      <w:pPr>
        <w:ind w:left="709" w:hanging="709"/>
        <w:rPr>
          <w:smallCaps/>
          <w:sz w:val="12"/>
          <w:szCs w:val="12"/>
        </w:rPr>
      </w:pPr>
    </w:p>
    <w:p w14:paraId="7D0F38C9" w14:textId="77777777" w:rsidR="0039412B" w:rsidRPr="00E11AE3" w:rsidRDefault="002052D0" w:rsidP="00BA4968">
      <w:pPr>
        <w:pStyle w:val="Heading3"/>
        <w:numPr>
          <w:ilvl w:val="0"/>
          <w:numId w:val="47"/>
        </w:numPr>
        <w:spacing w:after="120"/>
        <w:ind w:hanging="720"/>
        <w:rPr>
          <w:sz w:val="23"/>
          <w:szCs w:val="23"/>
        </w:rPr>
      </w:pPr>
      <w:bookmarkStart w:id="46" w:name="_Toc391469732"/>
      <w:r w:rsidRPr="00E11AE3">
        <w:rPr>
          <w:sz w:val="23"/>
          <w:szCs w:val="23"/>
        </w:rPr>
        <w:t>Core Judicial Development Project</w:t>
      </w:r>
      <w:bookmarkEnd w:id="46"/>
    </w:p>
    <w:p w14:paraId="4C027B91" w14:textId="77777777" w:rsidR="00976F6E" w:rsidRDefault="0039412B" w:rsidP="00976F6E">
      <w:pPr>
        <w:numPr>
          <w:ilvl w:val="0"/>
          <w:numId w:val="4"/>
        </w:numPr>
        <w:spacing w:before="80"/>
        <w:ind w:left="480" w:hanging="480"/>
        <w:rPr>
          <w:sz w:val="23"/>
          <w:szCs w:val="23"/>
        </w:rPr>
      </w:pPr>
      <w:r w:rsidRPr="00E11AE3">
        <w:rPr>
          <w:b/>
          <w:i/>
          <w:sz w:val="23"/>
          <w:szCs w:val="23"/>
        </w:rPr>
        <w:t>Status:</w:t>
      </w:r>
      <w:r w:rsidRPr="00E11AE3">
        <w:rPr>
          <w:sz w:val="23"/>
          <w:szCs w:val="23"/>
        </w:rPr>
        <w:t xml:space="preserve"> </w:t>
      </w:r>
      <w:r w:rsidR="0091157A" w:rsidRPr="00E11AE3">
        <w:rPr>
          <w:sz w:val="23"/>
          <w:szCs w:val="23"/>
        </w:rPr>
        <w:t>T</w:t>
      </w:r>
      <w:r w:rsidR="00E11AE3">
        <w:rPr>
          <w:sz w:val="23"/>
          <w:szCs w:val="23"/>
        </w:rPr>
        <w:t>he Lay and L</w:t>
      </w:r>
      <w:r w:rsidR="0091157A" w:rsidRPr="00E11AE3">
        <w:rPr>
          <w:sz w:val="23"/>
          <w:szCs w:val="23"/>
        </w:rPr>
        <w:t>aw-trained Decision Making Workshop/s were successfully delivered in Vanuatu</w:t>
      </w:r>
      <w:r w:rsidR="00E11AE3">
        <w:rPr>
          <w:sz w:val="23"/>
          <w:szCs w:val="23"/>
        </w:rPr>
        <w:t>, with a two-day Regional Training Team (RTT) refresher workshop held prior</w:t>
      </w:r>
      <w:r w:rsidR="00976F6E">
        <w:rPr>
          <w:sz w:val="23"/>
          <w:szCs w:val="23"/>
        </w:rPr>
        <w:t xml:space="preserve"> (</w:t>
      </w:r>
      <w:r w:rsidR="00976F6E" w:rsidRPr="00CE5872">
        <w:rPr>
          <w:sz w:val="23"/>
          <w:szCs w:val="23"/>
        </w:rPr>
        <w:t>please refer to the Eighth Quarterly Progress Report for further detail</w:t>
      </w:r>
      <w:r w:rsidR="00976F6E">
        <w:rPr>
          <w:sz w:val="23"/>
          <w:szCs w:val="23"/>
        </w:rPr>
        <w:t>s on these activities)</w:t>
      </w:r>
      <w:r w:rsidR="00E11AE3" w:rsidRPr="00976F6E">
        <w:rPr>
          <w:sz w:val="23"/>
          <w:szCs w:val="23"/>
        </w:rPr>
        <w:t xml:space="preserve">. </w:t>
      </w:r>
    </w:p>
    <w:p w14:paraId="164B4FF5" w14:textId="77777777" w:rsidR="0039412B" w:rsidRPr="00976F6E" w:rsidRDefault="00AE6C3C" w:rsidP="00976F6E">
      <w:pPr>
        <w:spacing w:before="80"/>
        <w:ind w:left="480"/>
        <w:rPr>
          <w:sz w:val="23"/>
          <w:szCs w:val="23"/>
        </w:rPr>
      </w:pPr>
      <w:r>
        <w:rPr>
          <w:sz w:val="23"/>
          <w:szCs w:val="23"/>
        </w:rPr>
        <w:t xml:space="preserve">In addition: </w:t>
      </w:r>
      <w:r w:rsidRPr="00976F6E">
        <w:rPr>
          <w:sz w:val="23"/>
          <w:szCs w:val="23"/>
        </w:rPr>
        <w:t xml:space="preserve">the </w:t>
      </w:r>
      <w:r w:rsidR="00E11AE3" w:rsidRPr="00976F6E">
        <w:rPr>
          <w:i/>
          <w:sz w:val="23"/>
          <w:szCs w:val="23"/>
        </w:rPr>
        <w:t>Local Orientation Course Toolkit</w:t>
      </w:r>
      <w:r w:rsidR="00E11AE3" w:rsidRPr="00976F6E">
        <w:rPr>
          <w:sz w:val="23"/>
          <w:szCs w:val="23"/>
        </w:rPr>
        <w:t xml:space="preserve"> was developed and piloted</w:t>
      </w:r>
      <w:r>
        <w:rPr>
          <w:sz w:val="23"/>
          <w:szCs w:val="23"/>
        </w:rPr>
        <w:t xml:space="preserve">; and the draft </w:t>
      </w:r>
      <w:r w:rsidRPr="00812890">
        <w:rPr>
          <w:i/>
          <w:sz w:val="23"/>
          <w:szCs w:val="23"/>
        </w:rPr>
        <w:t>Local Decision Making Toolkit</w:t>
      </w:r>
      <w:r w:rsidRPr="00D32D1B">
        <w:rPr>
          <w:sz w:val="23"/>
          <w:szCs w:val="23"/>
        </w:rPr>
        <w:t xml:space="preserve"> was developed</w:t>
      </w:r>
      <w:r w:rsidR="00E11AE3" w:rsidRPr="00976F6E">
        <w:rPr>
          <w:sz w:val="23"/>
          <w:szCs w:val="23"/>
        </w:rPr>
        <w:t xml:space="preserve">. </w:t>
      </w:r>
    </w:p>
    <w:p w14:paraId="62471B28" w14:textId="3064E38E" w:rsidR="0039412B" w:rsidRPr="00976F6E" w:rsidRDefault="0039412B" w:rsidP="00976F6E">
      <w:pPr>
        <w:numPr>
          <w:ilvl w:val="0"/>
          <w:numId w:val="4"/>
        </w:numPr>
        <w:spacing w:before="80"/>
        <w:ind w:left="480" w:hanging="480"/>
        <w:rPr>
          <w:b/>
          <w:i/>
          <w:sz w:val="23"/>
          <w:szCs w:val="23"/>
        </w:rPr>
      </w:pPr>
      <w:r w:rsidRPr="00976F6E">
        <w:rPr>
          <w:rFonts w:cs="Verdana"/>
          <w:b/>
          <w:bCs/>
          <w:i/>
          <w:sz w:val="23"/>
          <w:szCs w:val="23"/>
        </w:rPr>
        <w:t>Summary of progress</w:t>
      </w:r>
      <w:r w:rsidRPr="00976F6E">
        <w:rPr>
          <w:b/>
          <w:i/>
          <w:sz w:val="23"/>
          <w:szCs w:val="23"/>
        </w:rPr>
        <w:t>:</w:t>
      </w:r>
      <w:r w:rsidRPr="00976F6E">
        <w:rPr>
          <w:sz w:val="23"/>
          <w:szCs w:val="23"/>
        </w:rPr>
        <w:t xml:space="preserve"> </w:t>
      </w:r>
      <w:r w:rsidR="00E11AE3" w:rsidRPr="00976F6E">
        <w:rPr>
          <w:sz w:val="23"/>
          <w:szCs w:val="23"/>
        </w:rPr>
        <w:t>since the last periodic report the</w:t>
      </w:r>
      <w:r w:rsidR="00E11AE3" w:rsidRPr="00AE332A">
        <w:rPr>
          <w:sz w:val="23"/>
          <w:szCs w:val="23"/>
        </w:rPr>
        <w:t xml:space="preserve"> </w:t>
      </w:r>
      <w:r w:rsidR="00E11AE3" w:rsidRPr="00AE332A">
        <w:rPr>
          <w:b/>
          <w:i/>
          <w:sz w:val="23"/>
          <w:szCs w:val="23"/>
        </w:rPr>
        <w:t>Local Orientation Course Toolkit</w:t>
      </w:r>
      <w:r w:rsidR="00E11AE3" w:rsidRPr="00AE332A">
        <w:rPr>
          <w:sz w:val="23"/>
          <w:szCs w:val="23"/>
        </w:rPr>
        <w:t xml:space="preserve"> was developed and piloted in FSM from 2</w:t>
      </w:r>
      <w:r w:rsidR="00AE332A">
        <w:rPr>
          <w:sz w:val="23"/>
          <w:szCs w:val="23"/>
        </w:rPr>
        <w:t>-</w:t>
      </w:r>
      <w:r w:rsidR="00E11AE3" w:rsidRPr="00AE332A">
        <w:rPr>
          <w:sz w:val="23"/>
          <w:szCs w:val="23"/>
        </w:rPr>
        <w:t>13 June, 2014. A three day</w:t>
      </w:r>
      <w:r w:rsidR="00237B45" w:rsidRPr="00AE332A">
        <w:rPr>
          <w:sz w:val="23"/>
          <w:szCs w:val="23"/>
        </w:rPr>
        <w:t xml:space="preserve"> Trainer-the-Trainer (ToT) workshop was facilitated by the </w:t>
      </w:r>
      <w:r w:rsidR="00AE332A">
        <w:rPr>
          <w:sz w:val="23"/>
          <w:szCs w:val="23"/>
        </w:rPr>
        <w:t xml:space="preserve">Lead Training </w:t>
      </w:r>
      <w:r w:rsidR="00237B45" w:rsidRPr="00AE332A">
        <w:rPr>
          <w:sz w:val="23"/>
          <w:szCs w:val="23"/>
        </w:rPr>
        <w:t xml:space="preserve">Adviser, Dr Livingston Armytage </w:t>
      </w:r>
      <w:r w:rsidR="00E47149">
        <w:rPr>
          <w:sz w:val="23"/>
          <w:szCs w:val="23"/>
        </w:rPr>
        <w:t>for</w:t>
      </w:r>
      <w:r w:rsidR="00E47149" w:rsidRPr="00AE332A">
        <w:rPr>
          <w:sz w:val="23"/>
          <w:szCs w:val="23"/>
        </w:rPr>
        <w:t xml:space="preserve"> </w:t>
      </w:r>
      <w:r w:rsidR="00237B45" w:rsidRPr="00AE332A">
        <w:rPr>
          <w:sz w:val="23"/>
          <w:szCs w:val="23"/>
        </w:rPr>
        <w:t xml:space="preserve">eight </w:t>
      </w:r>
      <w:r w:rsidR="00AE332A">
        <w:rPr>
          <w:sz w:val="23"/>
          <w:szCs w:val="23"/>
        </w:rPr>
        <w:t>local trainers / facilitators</w:t>
      </w:r>
      <w:r w:rsidR="00237B45" w:rsidRPr="00AE332A">
        <w:rPr>
          <w:sz w:val="23"/>
          <w:szCs w:val="23"/>
        </w:rPr>
        <w:t xml:space="preserve">. </w:t>
      </w:r>
      <w:r w:rsidR="0039141E" w:rsidRPr="00AE332A">
        <w:rPr>
          <w:sz w:val="23"/>
          <w:szCs w:val="23"/>
        </w:rPr>
        <w:t>The five day Orientation Training was</w:t>
      </w:r>
      <w:r w:rsidR="00AE332A">
        <w:rPr>
          <w:sz w:val="23"/>
          <w:szCs w:val="23"/>
        </w:rPr>
        <w:t xml:space="preserve"> then held, with all training sessions being facilitated </w:t>
      </w:r>
      <w:r w:rsidR="0039141E" w:rsidRPr="00AE332A">
        <w:rPr>
          <w:sz w:val="23"/>
          <w:szCs w:val="23"/>
        </w:rPr>
        <w:lastRenderedPageBreak/>
        <w:t>by personnel from the FSM</w:t>
      </w:r>
      <w:r w:rsidR="00B30495" w:rsidRPr="00AE332A">
        <w:rPr>
          <w:sz w:val="23"/>
          <w:szCs w:val="23"/>
        </w:rPr>
        <w:t xml:space="preserve"> National</w:t>
      </w:r>
      <w:r w:rsidR="0039141E" w:rsidRPr="00AE332A">
        <w:rPr>
          <w:sz w:val="23"/>
          <w:szCs w:val="23"/>
        </w:rPr>
        <w:t xml:space="preserve"> Supreme and State Courts</w:t>
      </w:r>
      <w:r w:rsidR="00512F52">
        <w:rPr>
          <w:sz w:val="23"/>
          <w:szCs w:val="23"/>
        </w:rPr>
        <w:t xml:space="preserve">.  A total of </w:t>
      </w:r>
      <w:r w:rsidR="0039141E" w:rsidRPr="00AE332A">
        <w:rPr>
          <w:sz w:val="23"/>
          <w:szCs w:val="23"/>
        </w:rPr>
        <w:t xml:space="preserve">21 </w:t>
      </w:r>
      <w:r w:rsidR="0039141E" w:rsidRPr="00976F6E">
        <w:rPr>
          <w:sz w:val="23"/>
          <w:szCs w:val="23"/>
        </w:rPr>
        <w:t>participants</w:t>
      </w:r>
      <w:r w:rsidR="009437D6">
        <w:rPr>
          <w:sz w:val="23"/>
          <w:szCs w:val="23"/>
        </w:rPr>
        <w:t xml:space="preserve">              </w:t>
      </w:r>
      <w:r w:rsidR="0039141E" w:rsidRPr="00976F6E">
        <w:rPr>
          <w:sz w:val="23"/>
          <w:szCs w:val="23"/>
        </w:rPr>
        <w:t xml:space="preserve"> attended, including Chief Justices’ and Associate Justices’. </w:t>
      </w:r>
      <w:r w:rsidR="00D12891">
        <w:rPr>
          <w:sz w:val="23"/>
          <w:szCs w:val="23"/>
        </w:rPr>
        <w:t xml:space="preserve"> </w:t>
      </w:r>
    </w:p>
    <w:p w14:paraId="5CE9AD5D" w14:textId="77777777" w:rsidR="0039412B" w:rsidRPr="00511841" w:rsidRDefault="0091157A" w:rsidP="00E11AE3">
      <w:pPr>
        <w:numPr>
          <w:ilvl w:val="0"/>
          <w:numId w:val="4"/>
        </w:numPr>
        <w:spacing w:before="80"/>
        <w:ind w:left="480" w:hanging="480"/>
        <w:rPr>
          <w:b/>
          <w:i/>
          <w:sz w:val="16"/>
          <w:szCs w:val="23"/>
        </w:rPr>
      </w:pPr>
      <w:r w:rsidRPr="00237B45">
        <w:rPr>
          <w:b/>
          <w:i/>
          <w:sz w:val="23"/>
          <w:szCs w:val="23"/>
        </w:rPr>
        <w:t>Next Steps</w:t>
      </w:r>
      <w:r w:rsidR="0039412B" w:rsidRPr="00237B45">
        <w:rPr>
          <w:b/>
          <w:i/>
          <w:sz w:val="23"/>
          <w:szCs w:val="23"/>
        </w:rPr>
        <w:t xml:space="preserve">: </w:t>
      </w:r>
      <w:r w:rsidR="00054B56">
        <w:rPr>
          <w:sz w:val="23"/>
          <w:szCs w:val="23"/>
        </w:rPr>
        <w:t xml:space="preserve">The </w:t>
      </w:r>
      <w:r w:rsidR="00054B56" w:rsidRPr="00054B56">
        <w:rPr>
          <w:i/>
          <w:sz w:val="23"/>
          <w:szCs w:val="23"/>
        </w:rPr>
        <w:t>Local Orientation Course Toolkit</w:t>
      </w:r>
      <w:r w:rsidR="00054B56">
        <w:rPr>
          <w:sz w:val="23"/>
          <w:szCs w:val="23"/>
        </w:rPr>
        <w:t xml:space="preserve"> will be further refined and is scheduled to be piloted in Tokelau in late August, 2014.</w:t>
      </w:r>
      <w:r w:rsidR="00812890">
        <w:rPr>
          <w:sz w:val="23"/>
          <w:szCs w:val="23"/>
        </w:rPr>
        <w:t xml:space="preserve"> A Regional Lay Judicial Officer Orientation/Refresher Workshop is scheduled to be held in the Solomon Islands from 7</w:t>
      </w:r>
      <w:r w:rsidR="00AE332A">
        <w:rPr>
          <w:sz w:val="23"/>
          <w:szCs w:val="23"/>
        </w:rPr>
        <w:t>-</w:t>
      </w:r>
      <w:r w:rsidR="00812890">
        <w:rPr>
          <w:sz w:val="23"/>
          <w:szCs w:val="23"/>
        </w:rPr>
        <w:t xml:space="preserve">12 July, 2014. </w:t>
      </w:r>
      <w:r w:rsidR="00AE332A">
        <w:rPr>
          <w:sz w:val="23"/>
          <w:szCs w:val="23"/>
        </w:rPr>
        <w:t xml:space="preserve"> </w:t>
      </w:r>
      <w:r w:rsidR="00812890">
        <w:rPr>
          <w:sz w:val="23"/>
          <w:szCs w:val="23"/>
        </w:rPr>
        <w:t xml:space="preserve">The </w:t>
      </w:r>
      <w:r w:rsidR="00812890" w:rsidRPr="00812890">
        <w:rPr>
          <w:i/>
          <w:sz w:val="23"/>
          <w:szCs w:val="23"/>
        </w:rPr>
        <w:t>Local Decision Making Toolkit</w:t>
      </w:r>
      <w:r w:rsidR="00812890">
        <w:rPr>
          <w:sz w:val="23"/>
          <w:szCs w:val="23"/>
        </w:rPr>
        <w:t xml:space="preserve"> </w:t>
      </w:r>
      <w:r w:rsidR="00BF2EF9">
        <w:rPr>
          <w:sz w:val="23"/>
          <w:szCs w:val="23"/>
        </w:rPr>
        <w:t xml:space="preserve">will be </w:t>
      </w:r>
      <w:r w:rsidR="00812890">
        <w:rPr>
          <w:sz w:val="23"/>
          <w:szCs w:val="23"/>
        </w:rPr>
        <w:t xml:space="preserve">piloted in the Marshall Islands </w:t>
      </w:r>
      <w:r w:rsidR="006C26FF">
        <w:rPr>
          <w:sz w:val="23"/>
          <w:szCs w:val="23"/>
        </w:rPr>
        <w:t>from 1-4 September 2014</w:t>
      </w:r>
      <w:r w:rsidR="00AE332A">
        <w:rPr>
          <w:sz w:val="23"/>
          <w:szCs w:val="23"/>
        </w:rPr>
        <w:t>, and preparations for this are proceeding</w:t>
      </w:r>
      <w:r w:rsidR="00812890">
        <w:rPr>
          <w:sz w:val="23"/>
          <w:szCs w:val="23"/>
        </w:rPr>
        <w:t>.</w:t>
      </w:r>
    </w:p>
    <w:p w14:paraId="0BACAED7" w14:textId="77777777" w:rsidR="00511841" w:rsidRPr="00593468" w:rsidRDefault="00511841" w:rsidP="00BB2B96">
      <w:pPr>
        <w:rPr>
          <w:sz w:val="23"/>
          <w:szCs w:val="23"/>
        </w:rPr>
      </w:pPr>
    </w:p>
    <w:p w14:paraId="7ABC30B7" w14:textId="77777777" w:rsidR="0039412B" w:rsidRDefault="0039412B" w:rsidP="00BA4968">
      <w:pPr>
        <w:pStyle w:val="Heading2"/>
        <w:numPr>
          <w:ilvl w:val="0"/>
          <w:numId w:val="40"/>
        </w:numPr>
        <w:ind w:hanging="720"/>
      </w:pPr>
      <w:bookmarkStart w:id="47" w:name="_Toc391469733"/>
      <w:r w:rsidRPr="006D7204">
        <w:t xml:space="preserve">Component </w:t>
      </w:r>
      <w:r>
        <w:t>Five</w:t>
      </w:r>
      <w:r w:rsidRPr="006D7204">
        <w:t xml:space="preserve">: </w:t>
      </w:r>
      <w:r>
        <w:t>Programme Management</w:t>
      </w:r>
      <w:bookmarkEnd w:id="47"/>
      <w:r>
        <w:t xml:space="preserve"> </w:t>
      </w:r>
    </w:p>
    <w:p w14:paraId="20A5C8AE" w14:textId="77777777" w:rsidR="0039412B" w:rsidRPr="00F71B7D" w:rsidRDefault="0039412B" w:rsidP="002A66E2">
      <w:pPr>
        <w:ind w:left="709" w:hanging="709"/>
        <w:rPr>
          <w:smallCaps/>
          <w:sz w:val="8"/>
          <w:szCs w:val="12"/>
        </w:rPr>
      </w:pPr>
    </w:p>
    <w:p w14:paraId="131079C7" w14:textId="77777777" w:rsidR="0039412B" w:rsidRPr="00D31EDC" w:rsidRDefault="0039412B" w:rsidP="00BA4968">
      <w:pPr>
        <w:pStyle w:val="ListParagraph"/>
        <w:numPr>
          <w:ilvl w:val="0"/>
          <w:numId w:val="35"/>
        </w:numPr>
        <w:spacing w:after="120"/>
        <w:ind w:left="709" w:hanging="709"/>
        <w:rPr>
          <w:rFonts w:ascii="Arial Narrow" w:hAnsi="Arial Narrow"/>
          <w:b/>
          <w:sz w:val="23"/>
          <w:szCs w:val="23"/>
        </w:rPr>
      </w:pPr>
      <w:r w:rsidRPr="00D31EDC">
        <w:rPr>
          <w:rFonts w:ascii="Arial Narrow" w:hAnsi="Arial Narrow"/>
          <w:b/>
          <w:sz w:val="23"/>
          <w:szCs w:val="23"/>
        </w:rPr>
        <w:t>Management and Administrative Arrangements</w:t>
      </w:r>
    </w:p>
    <w:p w14:paraId="7A1C9477" w14:textId="77777777" w:rsidR="003167EB" w:rsidRDefault="007B30F5" w:rsidP="003167EB">
      <w:pPr>
        <w:rPr>
          <w:sz w:val="23"/>
          <w:szCs w:val="23"/>
        </w:rPr>
      </w:pPr>
      <w:r>
        <w:rPr>
          <w:sz w:val="23"/>
          <w:szCs w:val="23"/>
        </w:rPr>
        <w:t>During</w:t>
      </w:r>
      <w:r w:rsidR="008A1627">
        <w:rPr>
          <w:sz w:val="23"/>
          <w:szCs w:val="23"/>
        </w:rPr>
        <w:t xml:space="preserve"> the reporting period </w:t>
      </w:r>
      <w:proofErr w:type="gramStart"/>
      <w:r w:rsidR="008A1627">
        <w:rPr>
          <w:sz w:val="23"/>
          <w:szCs w:val="23"/>
        </w:rPr>
        <w:t>two</w:t>
      </w:r>
      <w:r>
        <w:rPr>
          <w:sz w:val="23"/>
          <w:szCs w:val="23"/>
        </w:rPr>
        <w:t xml:space="preserve"> fiscally neutral</w:t>
      </w:r>
      <w:r w:rsidR="00784107">
        <w:rPr>
          <w:sz w:val="23"/>
          <w:szCs w:val="23"/>
        </w:rPr>
        <w:t xml:space="preserve"> Letter of Variations</w:t>
      </w:r>
      <w:proofErr w:type="gramEnd"/>
      <w:r w:rsidR="00784107">
        <w:rPr>
          <w:sz w:val="23"/>
          <w:szCs w:val="23"/>
        </w:rPr>
        <w:t xml:space="preserve"> were agreed to by MFAT and the FCA</w:t>
      </w:r>
      <w:r w:rsidR="003167EB">
        <w:rPr>
          <w:sz w:val="23"/>
          <w:szCs w:val="23"/>
        </w:rPr>
        <w:t xml:space="preserve">: </w:t>
      </w:r>
    </w:p>
    <w:p w14:paraId="35789CE1" w14:textId="77777777" w:rsidR="003167EB" w:rsidRDefault="00784107" w:rsidP="00441E66">
      <w:pPr>
        <w:numPr>
          <w:ilvl w:val="0"/>
          <w:numId w:val="57"/>
        </w:numPr>
        <w:spacing w:before="80"/>
        <w:ind w:left="426"/>
        <w:rPr>
          <w:sz w:val="23"/>
          <w:szCs w:val="23"/>
        </w:rPr>
      </w:pPr>
      <w:r w:rsidRPr="003167EB">
        <w:rPr>
          <w:sz w:val="23"/>
          <w:szCs w:val="23"/>
        </w:rPr>
        <w:t>Letter of Variation No. 12</w:t>
      </w:r>
      <w:r w:rsidR="007B3503" w:rsidRPr="003167EB">
        <w:rPr>
          <w:sz w:val="23"/>
          <w:szCs w:val="23"/>
        </w:rPr>
        <w:t xml:space="preserve"> (</w:t>
      </w:r>
      <w:r w:rsidRPr="003167EB">
        <w:rPr>
          <w:sz w:val="23"/>
          <w:szCs w:val="23"/>
        </w:rPr>
        <w:t xml:space="preserve">signed </w:t>
      </w:r>
      <w:r w:rsidR="00D65FD0" w:rsidRPr="003167EB">
        <w:rPr>
          <w:sz w:val="23"/>
          <w:szCs w:val="23"/>
        </w:rPr>
        <w:t xml:space="preserve">13 </w:t>
      </w:r>
      <w:r w:rsidRPr="003167EB">
        <w:rPr>
          <w:sz w:val="23"/>
          <w:szCs w:val="23"/>
        </w:rPr>
        <w:t>February</w:t>
      </w:r>
      <w:r w:rsidR="0060424A" w:rsidRPr="003167EB">
        <w:rPr>
          <w:sz w:val="23"/>
          <w:szCs w:val="23"/>
        </w:rPr>
        <w:t>,</w:t>
      </w:r>
      <w:r w:rsidRPr="003167EB">
        <w:rPr>
          <w:sz w:val="23"/>
          <w:szCs w:val="23"/>
        </w:rPr>
        <w:t xml:space="preserve"> 2014</w:t>
      </w:r>
      <w:r w:rsidR="007B3503" w:rsidRPr="003167EB">
        <w:rPr>
          <w:sz w:val="23"/>
          <w:szCs w:val="23"/>
        </w:rPr>
        <w:t>) includ</w:t>
      </w:r>
      <w:r w:rsidR="00BB2B96">
        <w:rPr>
          <w:sz w:val="23"/>
          <w:szCs w:val="23"/>
        </w:rPr>
        <w:t>ed</w:t>
      </w:r>
      <w:r w:rsidR="00D65FD0" w:rsidRPr="003167EB">
        <w:rPr>
          <w:sz w:val="23"/>
          <w:szCs w:val="23"/>
        </w:rPr>
        <w:t xml:space="preserve"> </w:t>
      </w:r>
      <w:r w:rsidR="004E7B85" w:rsidRPr="003167EB">
        <w:rPr>
          <w:sz w:val="23"/>
          <w:szCs w:val="23"/>
        </w:rPr>
        <w:t xml:space="preserve">the: </w:t>
      </w:r>
      <w:r w:rsidR="007B3503" w:rsidRPr="003167EB">
        <w:rPr>
          <w:sz w:val="23"/>
          <w:szCs w:val="23"/>
        </w:rPr>
        <w:t>piloting of the</w:t>
      </w:r>
      <w:r w:rsidR="004E7B85" w:rsidRPr="003167EB">
        <w:rPr>
          <w:sz w:val="23"/>
          <w:szCs w:val="23"/>
        </w:rPr>
        <w:t xml:space="preserve"> </w:t>
      </w:r>
      <w:r w:rsidR="004E7B85" w:rsidRPr="003167EB">
        <w:rPr>
          <w:i/>
          <w:sz w:val="23"/>
          <w:szCs w:val="23"/>
        </w:rPr>
        <w:t>Complaints Handling Processes Toolkit</w:t>
      </w:r>
      <w:r w:rsidR="004E7B85" w:rsidRPr="003167EB">
        <w:rPr>
          <w:sz w:val="23"/>
          <w:szCs w:val="23"/>
        </w:rPr>
        <w:t xml:space="preserve">; development </w:t>
      </w:r>
      <w:r w:rsidR="007B3503" w:rsidRPr="003167EB">
        <w:rPr>
          <w:sz w:val="23"/>
          <w:szCs w:val="23"/>
        </w:rPr>
        <w:t xml:space="preserve">and piloting </w:t>
      </w:r>
      <w:r w:rsidR="004E7B85" w:rsidRPr="003167EB">
        <w:rPr>
          <w:sz w:val="23"/>
          <w:szCs w:val="23"/>
        </w:rPr>
        <w:t xml:space="preserve">of a </w:t>
      </w:r>
      <w:r w:rsidR="004E7B85" w:rsidRPr="003167EB">
        <w:rPr>
          <w:i/>
          <w:sz w:val="23"/>
          <w:szCs w:val="23"/>
        </w:rPr>
        <w:t>Project Management Toolkit</w:t>
      </w:r>
      <w:r w:rsidR="004E7B85" w:rsidRPr="003167EB">
        <w:rPr>
          <w:sz w:val="23"/>
          <w:szCs w:val="23"/>
        </w:rPr>
        <w:t xml:space="preserve">; </w:t>
      </w:r>
      <w:r w:rsidR="007B3503" w:rsidRPr="003167EB">
        <w:rPr>
          <w:sz w:val="23"/>
          <w:szCs w:val="23"/>
        </w:rPr>
        <w:t xml:space="preserve">an </w:t>
      </w:r>
      <w:r w:rsidR="004E7B85" w:rsidRPr="003167EB">
        <w:rPr>
          <w:sz w:val="23"/>
          <w:szCs w:val="23"/>
        </w:rPr>
        <w:t xml:space="preserve">increase of the Responsive Fund allocation; and relocation of three additional days to the Training and Contextual Expert. </w:t>
      </w:r>
    </w:p>
    <w:p w14:paraId="6F27431F" w14:textId="77777777" w:rsidR="007B30F5" w:rsidRPr="003167EB" w:rsidRDefault="00784107" w:rsidP="00441E66">
      <w:pPr>
        <w:numPr>
          <w:ilvl w:val="0"/>
          <w:numId w:val="57"/>
        </w:numPr>
        <w:spacing w:before="80"/>
        <w:ind w:left="426"/>
        <w:rPr>
          <w:sz w:val="23"/>
          <w:szCs w:val="23"/>
        </w:rPr>
      </w:pPr>
      <w:r w:rsidRPr="003167EB">
        <w:rPr>
          <w:sz w:val="23"/>
          <w:szCs w:val="23"/>
        </w:rPr>
        <w:t>Letter of Variation No. 13</w:t>
      </w:r>
      <w:r w:rsidR="003167EB" w:rsidRPr="003167EB">
        <w:rPr>
          <w:sz w:val="23"/>
          <w:szCs w:val="23"/>
        </w:rPr>
        <w:t xml:space="preserve"> (</w:t>
      </w:r>
      <w:r w:rsidRPr="003167EB">
        <w:rPr>
          <w:sz w:val="23"/>
          <w:szCs w:val="23"/>
        </w:rPr>
        <w:t>signed 2 June</w:t>
      </w:r>
      <w:r w:rsidR="003167EB" w:rsidRPr="003167EB">
        <w:rPr>
          <w:sz w:val="23"/>
          <w:szCs w:val="23"/>
        </w:rPr>
        <w:t>,</w:t>
      </w:r>
      <w:r w:rsidRPr="003167EB">
        <w:rPr>
          <w:sz w:val="23"/>
          <w:szCs w:val="23"/>
        </w:rPr>
        <w:t xml:space="preserve"> 2014</w:t>
      </w:r>
      <w:r w:rsidR="003167EB" w:rsidRPr="003167EB">
        <w:rPr>
          <w:sz w:val="23"/>
          <w:szCs w:val="23"/>
        </w:rPr>
        <w:t>)</w:t>
      </w:r>
      <w:r w:rsidR="003167EB">
        <w:rPr>
          <w:sz w:val="23"/>
          <w:szCs w:val="23"/>
        </w:rPr>
        <w:t>:</w:t>
      </w:r>
      <w:r w:rsidRPr="003167EB">
        <w:rPr>
          <w:sz w:val="23"/>
          <w:szCs w:val="23"/>
        </w:rPr>
        <w:t xml:space="preserve"> </w:t>
      </w:r>
      <w:r w:rsidR="003167EB">
        <w:rPr>
          <w:sz w:val="23"/>
          <w:szCs w:val="23"/>
        </w:rPr>
        <w:t xml:space="preserve">added the </w:t>
      </w:r>
      <w:r w:rsidR="004E7B85" w:rsidRPr="003167EB">
        <w:rPr>
          <w:sz w:val="23"/>
          <w:szCs w:val="23"/>
        </w:rPr>
        <w:t>implement</w:t>
      </w:r>
      <w:r w:rsidR="00BB2B96">
        <w:rPr>
          <w:sz w:val="23"/>
          <w:szCs w:val="23"/>
        </w:rPr>
        <w:t>ation of</w:t>
      </w:r>
      <w:r w:rsidR="004E7B85" w:rsidRPr="003167EB">
        <w:rPr>
          <w:sz w:val="23"/>
          <w:szCs w:val="23"/>
        </w:rPr>
        <w:t xml:space="preserve"> the Local Orientation Course Toolkit in FSM.</w:t>
      </w:r>
    </w:p>
    <w:p w14:paraId="5046DEDE" w14:textId="77777777" w:rsidR="007B30F5" w:rsidRPr="00E00B47" w:rsidRDefault="007B30F5" w:rsidP="00F76DA9">
      <w:pPr>
        <w:rPr>
          <w:sz w:val="16"/>
          <w:szCs w:val="23"/>
        </w:rPr>
      </w:pPr>
    </w:p>
    <w:p w14:paraId="49E0C5FC" w14:textId="77777777" w:rsidR="00075C17" w:rsidRPr="00BD52B3" w:rsidRDefault="007B30F5" w:rsidP="00075C17">
      <w:pPr>
        <w:rPr>
          <w:sz w:val="23"/>
          <w:szCs w:val="23"/>
        </w:rPr>
      </w:pPr>
      <w:r w:rsidRPr="007942C1">
        <w:rPr>
          <w:sz w:val="23"/>
          <w:szCs w:val="23"/>
        </w:rPr>
        <w:t xml:space="preserve">All requisite milestone events were achieved, and </w:t>
      </w:r>
      <w:r w:rsidRPr="00BD52B3">
        <w:rPr>
          <w:sz w:val="23"/>
          <w:szCs w:val="23"/>
        </w:rPr>
        <w:t xml:space="preserve">all invoices submitted in accordance </w:t>
      </w:r>
      <w:r>
        <w:rPr>
          <w:sz w:val="23"/>
          <w:szCs w:val="23"/>
        </w:rPr>
        <w:t xml:space="preserve">with the agreed timeframes.  A </w:t>
      </w:r>
      <w:r w:rsidRPr="00BD52B3">
        <w:rPr>
          <w:sz w:val="23"/>
          <w:szCs w:val="23"/>
        </w:rPr>
        <w:t>list of milestone reports and submission dates</w:t>
      </w:r>
      <w:r>
        <w:rPr>
          <w:sz w:val="23"/>
          <w:szCs w:val="23"/>
        </w:rPr>
        <w:t xml:space="preserve"> during the report period</w:t>
      </w:r>
      <w:r w:rsidRPr="00BD52B3">
        <w:rPr>
          <w:sz w:val="23"/>
          <w:szCs w:val="23"/>
        </w:rPr>
        <w:t xml:space="preserve"> is found in </w:t>
      </w:r>
      <w:r w:rsidRPr="00BD52B3">
        <w:rPr>
          <w:b/>
          <w:i/>
          <w:sz w:val="23"/>
          <w:szCs w:val="23"/>
        </w:rPr>
        <w:t>Annex Two</w:t>
      </w:r>
      <w:r w:rsidRPr="00BD52B3">
        <w:rPr>
          <w:sz w:val="23"/>
          <w:szCs w:val="23"/>
        </w:rPr>
        <w:t>.</w:t>
      </w:r>
      <w:r w:rsidR="00075C17">
        <w:rPr>
          <w:sz w:val="23"/>
          <w:szCs w:val="23"/>
        </w:rPr>
        <w:t xml:space="preserve">  Furthermore, </w:t>
      </w:r>
      <w:r w:rsidR="00075C17" w:rsidRPr="00BD52B3">
        <w:rPr>
          <w:sz w:val="23"/>
          <w:szCs w:val="23"/>
        </w:rPr>
        <w:t xml:space="preserve">a self-assessment against the contractually defined management quality indicators is found in </w:t>
      </w:r>
      <w:r w:rsidR="00075C17" w:rsidRPr="00BD52B3">
        <w:rPr>
          <w:b/>
          <w:i/>
          <w:sz w:val="23"/>
          <w:szCs w:val="23"/>
        </w:rPr>
        <w:t>Annex Five</w:t>
      </w:r>
      <w:r w:rsidR="00075C17" w:rsidRPr="00BD52B3">
        <w:rPr>
          <w:sz w:val="23"/>
          <w:szCs w:val="23"/>
        </w:rPr>
        <w:t>.</w:t>
      </w:r>
    </w:p>
    <w:p w14:paraId="4F183E7F" w14:textId="77777777" w:rsidR="00784107" w:rsidRDefault="00784107" w:rsidP="00F76DA9">
      <w:pPr>
        <w:rPr>
          <w:sz w:val="23"/>
          <w:szCs w:val="23"/>
        </w:rPr>
      </w:pPr>
    </w:p>
    <w:p w14:paraId="702261D4" w14:textId="77777777" w:rsidR="0039412B" w:rsidRPr="00BD52B3" w:rsidRDefault="0039412B" w:rsidP="00BA4968">
      <w:pPr>
        <w:pStyle w:val="ListParagraph"/>
        <w:numPr>
          <w:ilvl w:val="0"/>
          <w:numId w:val="35"/>
        </w:numPr>
        <w:spacing w:after="120"/>
        <w:ind w:left="709" w:hanging="709"/>
        <w:rPr>
          <w:rFonts w:ascii="Arial Narrow" w:hAnsi="Arial Narrow"/>
          <w:sz w:val="23"/>
          <w:szCs w:val="23"/>
        </w:rPr>
      </w:pPr>
      <w:r w:rsidRPr="00BD52B3">
        <w:rPr>
          <w:rFonts w:ascii="Arial Narrow" w:hAnsi="Arial Narrow"/>
          <w:b/>
          <w:sz w:val="23"/>
          <w:szCs w:val="23"/>
        </w:rPr>
        <w:t>Financial Summary</w:t>
      </w:r>
      <w:r w:rsidRPr="00BD52B3">
        <w:rPr>
          <w:rFonts w:ascii="Arial Narrow" w:hAnsi="Arial Narrow"/>
          <w:sz w:val="23"/>
          <w:szCs w:val="23"/>
        </w:rPr>
        <w:t xml:space="preserve"> </w:t>
      </w:r>
    </w:p>
    <w:p w14:paraId="7B1E1539" w14:textId="59849AE8" w:rsidR="005B0C1F" w:rsidRDefault="005B0C1F" w:rsidP="009E5E6A">
      <w:pPr>
        <w:rPr>
          <w:sz w:val="23"/>
          <w:szCs w:val="23"/>
        </w:rPr>
      </w:pPr>
      <w:r>
        <w:rPr>
          <w:sz w:val="23"/>
          <w:szCs w:val="23"/>
        </w:rPr>
        <w:t>T</w:t>
      </w:r>
      <w:r w:rsidR="00AE2068" w:rsidRPr="00951EB5">
        <w:rPr>
          <w:sz w:val="23"/>
          <w:szCs w:val="23"/>
        </w:rPr>
        <w:t>o 31 May, 2014</w:t>
      </w:r>
      <w:r w:rsidR="0039412B" w:rsidRPr="00951EB5">
        <w:rPr>
          <w:sz w:val="23"/>
          <w:szCs w:val="23"/>
        </w:rPr>
        <w:t xml:space="preserve">, </w:t>
      </w:r>
      <w:r w:rsidR="00421AE1">
        <w:rPr>
          <w:sz w:val="23"/>
          <w:szCs w:val="23"/>
        </w:rPr>
        <w:t xml:space="preserve">a total of </w:t>
      </w:r>
      <w:r w:rsidRPr="00951EB5">
        <w:rPr>
          <w:rFonts w:cs="Arial"/>
          <w:sz w:val="23"/>
          <w:szCs w:val="23"/>
        </w:rPr>
        <w:t>39.88</w:t>
      </w:r>
      <w:r w:rsidRPr="00951EB5">
        <w:rPr>
          <w:rFonts w:cs="Calibri"/>
          <w:iCs/>
          <w:sz w:val="23"/>
          <w:szCs w:val="23"/>
        </w:rPr>
        <w:t>% of the approved budget</w:t>
      </w:r>
      <w:r w:rsidRPr="005B0C1F">
        <w:rPr>
          <w:sz w:val="23"/>
          <w:szCs w:val="23"/>
        </w:rPr>
        <w:t xml:space="preserve"> </w:t>
      </w:r>
      <w:r w:rsidRPr="00951EB5">
        <w:rPr>
          <w:sz w:val="23"/>
          <w:szCs w:val="23"/>
        </w:rPr>
        <w:t>for the 24-month extension</w:t>
      </w:r>
      <w:r>
        <w:rPr>
          <w:sz w:val="23"/>
          <w:szCs w:val="23"/>
        </w:rPr>
        <w:t xml:space="preserve"> period </w:t>
      </w:r>
      <w:r w:rsidR="00421AE1">
        <w:rPr>
          <w:sz w:val="23"/>
          <w:szCs w:val="23"/>
        </w:rPr>
        <w:t>has been</w:t>
      </w:r>
      <w:r>
        <w:rPr>
          <w:sz w:val="23"/>
          <w:szCs w:val="23"/>
        </w:rPr>
        <w:t xml:space="preserve"> expanded.</w:t>
      </w:r>
    </w:p>
    <w:p w14:paraId="6A93D720" w14:textId="77777777" w:rsidR="0039412B" w:rsidRPr="00990C7C" w:rsidRDefault="0039412B" w:rsidP="009E5E6A">
      <w:pPr>
        <w:rPr>
          <w:sz w:val="23"/>
          <w:szCs w:val="23"/>
        </w:rPr>
      </w:pPr>
    </w:p>
    <w:p w14:paraId="44B0E2EE" w14:textId="724D4ACE" w:rsidR="00C94C7D" w:rsidRPr="00DF4AE9" w:rsidRDefault="00C94C7D" w:rsidP="00C94C7D">
      <w:pPr>
        <w:rPr>
          <w:sz w:val="23"/>
          <w:szCs w:val="23"/>
          <w:lang w:eastAsia="ja-JP"/>
        </w:rPr>
      </w:pPr>
      <w:r w:rsidRPr="00DF4AE9">
        <w:rPr>
          <w:sz w:val="23"/>
          <w:szCs w:val="23"/>
          <w:lang w:eastAsia="ja-JP"/>
        </w:rPr>
        <w:t>A full acquittal of expenditure for the financial year will be submitted to MFAT as part of the next invoice, schedu</w:t>
      </w:r>
      <w:r w:rsidR="005B0C1F">
        <w:rPr>
          <w:sz w:val="23"/>
          <w:szCs w:val="23"/>
          <w:lang w:eastAsia="ja-JP"/>
        </w:rPr>
        <w:t>led for submission in late-July</w:t>
      </w:r>
      <w:r w:rsidRPr="00DF4AE9">
        <w:rPr>
          <w:sz w:val="23"/>
          <w:szCs w:val="23"/>
          <w:lang w:eastAsia="ja-JP"/>
        </w:rPr>
        <w:t xml:space="preserve">.  This will bring the total </w:t>
      </w:r>
      <w:r w:rsidR="00951EB5">
        <w:rPr>
          <w:i/>
          <w:iCs/>
          <w:sz w:val="23"/>
          <w:szCs w:val="23"/>
          <w:lang w:eastAsia="ja-JP"/>
        </w:rPr>
        <w:t xml:space="preserve">expected </w:t>
      </w:r>
      <w:r w:rsidRPr="00DF4AE9">
        <w:rPr>
          <w:i/>
          <w:iCs/>
          <w:sz w:val="23"/>
          <w:szCs w:val="23"/>
          <w:lang w:eastAsia="ja-JP"/>
        </w:rPr>
        <w:t>expenditure</w:t>
      </w:r>
      <w:r w:rsidRPr="00DF4AE9">
        <w:rPr>
          <w:sz w:val="23"/>
          <w:szCs w:val="23"/>
          <w:lang w:eastAsia="ja-JP"/>
        </w:rPr>
        <w:t xml:space="preserve"> for the first 12 months of the 24-month extension period to 52.90% of the approved budget.  This </w:t>
      </w:r>
      <w:r w:rsidR="00DF4AE9" w:rsidRPr="00DF4AE9">
        <w:rPr>
          <w:sz w:val="23"/>
          <w:szCs w:val="23"/>
          <w:lang w:eastAsia="ja-JP"/>
        </w:rPr>
        <w:t>level of</w:t>
      </w:r>
      <w:r w:rsidRPr="00DF4AE9">
        <w:rPr>
          <w:sz w:val="23"/>
          <w:szCs w:val="23"/>
          <w:lang w:eastAsia="ja-JP"/>
        </w:rPr>
        <w:t xml:space="preserve"> </w:t>
      </w:r>
      <w:r w:rsidR="00951EB5">
        <w:rPr>
          <w:sz w:val="23"/>
          <w:szCs w:val="23"/>
          <w:lang w:eastAsia="ja-JP"/>
        </w:rPr>
        <w:t xml:space="preserve">expected </w:t>
      </w:r>
      <w:r w:rsidRPr="00DF4AE9">
        <w:rPr>
          <w:sz w:val="23"/>
          <w:szCs w:val="23"/>
          <w:lang w:eastAsia="ja-JP"/>
        </w:rPr>
        <w:t>expenditure at the end of financial year 2013</w:t>
      </w:r>
      <w:r w:rsidR="00951EB5">
        <w:rPr>
          <w:sz w:val="23"/>
          <w:szCs w:val="23"/>
          <w:lang w:eastAsia="ja-JP"/>
        </w:rPr>
        <w:t xml:space="preserve"> </w:t>
      </w:r>
      <w:r w:rsidRPr="00DF4AE9">
        <w:rPr>
          <w:sz w:val="23"/>
          <w:szCs w:val="23"/>
          <w:lang w:eastAsia="ja-JP"/>
        </w:rPr>
        <w:t>/</w:t>
      </w:r>
      <w:r w:rsidR="00951EB5">
        <w:rPr>
          <w:sz w:val="23"/>
          <w:szCs w:val="23"/>
          <w:lang w:eastAsia="ja-JP"/>
        </w:rPr>
        <w:t xml:space="preserve"> </w:t>
      </w:r>
      <w:r w:rsidRPr="00DF4AE9">
        <w:rPr>
          <w:sz w:val="23"/>
          <w:szCs w:val="23"/>
          <w:lang w:eastAsia="ja-JP"/>
        </w:rPr>
        <w:t xml:space="preserve">2014 is approximately </w:t>
      </w:r>
      <w:r w:rsidRPr="00DF4AE9">
        <w:rPr>
          <w:i/>
          <w:iCs/>
          <w:sz w:val="23"/>
          <w:szCs w:val="23"/>
          <w:lang w:eastAsia="ja-JP"/>
        </w:rPr>
        <w:t>4.8% over</w:t>
      </w:r>
      <w:r w:rsidRPr="00DF4AE9">
        <w:rPr>
          <w:sz w:val="23"/>
          <w:szCs w:val="23"/>
          <w:lang w:eastAsia="ja-JP"/>
        </w:rPr>
        <w:t xml:space="preserve"> the expenditure projections approved by MFAT in November 2013.  This accelerated expenditure is in accordance with MFAT’s direction that the MSC should aim to exceed projected expenditure targets if possible.  A breakdown of actual expenditure to-date, and projected expenditure for the remaining contract period, is found in </w:t>
      </w:r>
      <w:r w:rsidRPr="00DF4AE9">
        <w:rPr>
          <w:b/>
          <w:bCs/>
          <w:i/>
          <w:iCs/>
          <w:sz w:val="23"/>
          <w:szCs w:val="23"/>
          <w:lang w:eastAsia="ja-JP"/>
        </w:rPr>
        <w:t>Annex Three</w:t>
      </w:r>
      <w:r w:rsidRPr="00DF4AE9">
        <w:rPr>
          <w:sz w:val="23"/>
          <w:szCs w:val="23"/>
          <w:lang w:eastAsia="ja-JP"/>
        </w:rPr>
        <w:t>. </w:t>
      </w:r>
    </w:p>
    <w:p w14:paraId="50FEAB69" w14:textId="77777777" w:rsidR="004D3C36" w:rsidRPr="00DF4AE9" w:rsidRDefault="004D3C36" w:rsidP="009E5E6A">
      <w:pPr>
        <w:rPr>
          <w:rFonts w:cs="Calibri"/>
          <w:iCs/>
          <w:strike/>
          <w:sz w:val="23"/>
          <w:szCs w:val="23"/>
        </w:rPr>
      </w:pPr>
    </w:p>
    <w:p w14:paraId="5502CB03" w14:textId="77777777" w:rsidR="0039412B" w:rsidRPr="00D31EDC" w:rsidRDefault="0039412B" w:rsidP="00BA4968">
      <w:pPr>
        <w:pStyle w:val="Default"/>
        <w:numPr>
          <w:ilvl w:val="0"/>
          <w:numId w:val="35"/>
        </w:numPr>
        <w:spacing w:after="120"/>
        <w:ind w:left="709" w:hanging="709"/>
        <w:rPr>
          <w:rFonts w:ascii="Arial Narrow" w:hAnsi="Arial Narrow"/>
          <w:sz w:val="23"/>
          <w:szCs w:val="23"/>
        </w:rPr>
      </w:pPr>
      <w:r w:rsidRPr="00D31EDC">
        <w:rPr>
          <w:rFonts w:ascii="Arial Narrow" w:hAnsi="Arial Narrow"/>
          <w:b/>
          <w:sz w:val="23"/>
          <w:szCs w:val="23"/>
        </w:rPr>
        <w:t>Counterpart Communications</w:t>
      </w:r>
    </w:p>
    <w:p w14:paraId="67331332" w14:textId="77777777" w:rsidR="00285141" w:rsidRDefault="00F9710A" w:rsidP="009E5E6A">
      <w:pPr>
        <w:pStyle w:val="Default"/>
        <w:rPr>
          <w:rFonts w:ascii="Arial Narrow" w:hAnsi="Arial Narrow"/>
          <w:sz w:val="23"/>
          <w:szCs w:val="23"/>
        </w:rPr>
      </w:pPr>
      <w:r>
        <w:rPr>
          <w:rFonts w:ascii="Arial Narrow" w:hAnsi="Arial Narrow"/>
          <w:sz w:val="23"/>
          <w:szCs w:val="23"/>
        </w:rPr>
        <w:t>Issue eight of the PJDP Newsletter</w:t>
      </w:r>
      <w:r w:rsidR="0039412B" w:rsidRPr="007942C1">
        <w:rPr>
          <w:rFonts w:ascii="Arial Narrow" w:hAnsi="Arial Narrow"/>
          <w:sz w:val="23"/>
          <w:szCs w:val="23"/>
        </w:rPr>
        <w:t xml:space="preserve"> was developed and sent out to PIC counterparts and implementation partners in the Pacific, Australia, </w:t>
      </w:r>
      <w:proofErr w:type="gramStart"/>
      <w:r w:rsidR="0039412B" w:rsidRPr="007942C1">
        <w:rPr>
          <w:rFonts w:ascii="Arial Narrow" w:hAnsi="Arial Narrow"/>
          <w:sz w:val="23"/>
          <w:szCs w:val="23"/>
        </w:rPr>
        <w:t>New</w:t>
      </w:r>
      <w:proofErr w:type="gramEnd"/>
      <w:r w:rsidR="0039412B" w:rsidRPr="007942C1">
        <w:rPr>
          <w:rFonts w:ascii="Arial Narrow" w:hAnsi="Arial Narrow"/>
          <w:sz w:val="23"/>
          <w:szCs w:val="23"/>
        </w:rPr>
        <w:t xml:space="preserve"> Zealand and beyond</w:t>
      </w:r>
      <w:r>
        <w:rPr>
          <w:rFonts w:ascii="Arial Narrow" w:hAnsi="Arial Narrow"/>
          <w:sz w:val="23"/>
          <w:szCs w:val="23"/>
        </w:rPr>
        <w:t>. A copy is also available on the PJDP website</w:t>
      </w:r>
      <w:r w:rsidR="00335930">
        <w:rPr>
          <w:rFonts w:ascii="Arial Narrow" w:hAnsi="Arial Narrow"/>
          <w:sz w:val="23"/>
          <w:szCs w:val="23"/>
        </w:rPr>
        <w:t xml:space="preserve"> (</w:t>
      </w:r>
      <w:hyperlink r:id="rId14" w:history="1">
        <w:r w:rsidR="00335930" w:rsidRPr="00421D12">
          <w:rPr>
            <w:rStyle w:val="Hyperlink"/>
            <w:rFonts w:ascii="Arial Narrow" w:hAnsi="Arial Narrow" w:cs="Arial"/>
            <w:sz w:val="23"/>
            <w:szCs w:val="23"/>
          </w:rPr>
          <w:t>http://www.fedcourt.gov.au/pjdp/newsletters</w:t>
        </w:r>
      </w:hyperlink>
      <w:r w:rsidR="00335930">
        <w:rPr>
          <w:rFonts w:ascii="Arial Narrow" w:hAnsi="Arial Narrow"/>
          <w:sz w:val="23"/>
          <w:szCs w:val="23"/>
        </w:rPr>
        <w:t>)</w:t>
      </w:r>
      <w:r w:rsidR="0039412B" w:rsidRPr="007942C1">
        <w:rPr>
          <w:rFonts w:ascii="Arial Narrow" w:hAnsi="Arial Narrow"/>
          <w:sz w:val="23"/>
          <w:szCs w:val="23"/>
        </w:rPr>
        <w:t>.</w:t>
      </w:r>
      <w:r w:rsidR="00335930">
        <w:rPr>
          <w:rFonts w:ascii="Arial Narrow" w:hAnsi="Arial Narrow"/>
          <w:sz w:val="23"/>
          <w:szCs w:val="23"/>
        </w:rPr>
        <w:t xml:space="preserve"> </w:t>
      </w:r>
      <w:r w:rsidR="0039412B" w:rsidRPr="007942C1">
        <w:rPr>
          <w:rFonts w:ascii="Arial Narrow" w:hAnsi="Arial Narrow"/>
          <w:sz w:val="23"/>
          <w:szCs w:val="23"/>
        </w:rPr>
        <w:t xml:space="preserve"> In addition, periodic informal email</w:t>
      </w:r>
      <w:r w:rsidR="00335930">
        <w:rPr>
          <w:rFonts w:ascii="Arial Narrow" w:hAnsi="Arial Narrow"/>
          <w:sz w:val="23"/>
          <w:szCs w:val="23"/>
        </w:rPr>
        <w:t xml:space="preserve"> communications and </w:t>
      </w:r>
      <w:r w:rsidR="0039412B" w:rsidRPr="007942C1">
        <w:rPr>
          <w:rFonts w:ascii="Arial Narrow" w:hAnsi="Arial Narrow"/>
          <w:sz w:val="23"/>
          <w:szCs w:val="23"/>
        </w:rPr>
        <w:t xml:space="preserve">updates were sent to </w:t>
      </w:r>
      <w:r w:rsidR="00335930">
        <w:rPr>
          <w:rFonts w:ascii="Arial Narrow" w:hAnsi="Arial Narrow"/>
          <w:sz w:val="23"/>
          <w:szCs w:val="23"/>
        </w:rPr>
        <w:t xml:space="preserve">the PEC, Chief Justices, and </w:t>
      </w:r>
      <w:r w:rsidR="0039412B" w:rsidRPr="007942C1">
        <w:rPr>
          <w:rFonts w:ascii="Arial Narrow" w:hAnsi="Arial Narrow"/>
          <w:sz w:val="23"/>
          <w:szCs w:val="23"/>
        </w:rPr>
        <w:t>National Coordinators</w:t>
      </w:r>
      <w:r w:rsidR="00335930">
        <w:rPr>
          <w:rFonts w:ascii="Arial Narrow" w:hAnsi="Arial Narrow"/>
          <w:sz w:val="23"/>
          <w:szCs w:val="23"/>
        </w:rPr>
        <w:t xml:space="preserve"> on a range of programmatic and technical matters</w:t>
      </w:r>
      <w:r w:rsidR="0039412B" w:rsidRPr="007942C1">
        <w:rPr>
          <w:rFonts w:ascii="Arial Narrow" w:hAnsi="Arial Narrow"/>
          <w:sz w:val="23"/>
          <w:szCs w:val="23"/>
        </w:rPr>
        <w:t xml:space="preserve">. </w:t>
      </w:r>
      <w:r w:rsidR="009E7A5B">
        <w:rPr>
          <w:rFonts w:ascii="Arial Narrow" w:hAnsi="Arial Narrow"/>
          <w:sz w:val="23"/>
          <w:szCs w:val="23"/>
        </w:rPr>
        <w:t xml:space="preserve">As requested at the PEC Meeting in March 2014 all approved progress reports </w:t>
      </w:r>
      <w:r w:rsidR="00C90F01">
        <w:rPr>
          <w:rFonts w:ascii="Arial Narrow" w:hAnsi="Arial Narrow"/>
          <w:sz w:val="23"/>
          <w:szCs w:val="23"/>
        </w:rPr>
        <w:t>have been uploaded on the PJDP website</w:t>
      </w:r>
      <w:r w:rsidR="00285141">
        <w:rPr>
          <w:rFonts w:ascii="Arial Narrow" w:hAnsi="Arial Narrow"/>
          <w:sz w:val="23"/>
          <w:szCs w:val="23"/>
        </w:rPr>
        <w:t>, with other</w:t>
      </w:r>
      <w:r w:rsidR="00285141" w:rsidRPr="007942C1">
        <w:rPr>
          <w:rFonts w:ascii="Arial Narrow" w:hAnsi="Arial Narrow"/>
          <w:sz w:val="23"/>
          <w:szCs w:val="23"/>
        </w:rPr>
        <w:t xml:space="preserve"> newly developed materials and resources</w:t>
      </w:r>
      <w:r w:rsidR="00285141">
        <w:rPr>
          <w:rFonts w:ascii="Arial Narrow" w:hAnsi="Arial Narrow"/>
          <w:sz w:val="23"/>
          <w:szCs w:val="23"/>
        </w:rPr>
        <w:t xml:space="preserve"> and general web-site </w:t>
      </w:r>
      <w:r w:rsidR="00285141" w:rsidRPr="007942C1">
        <w:rPr>
          <w:rFonts w:ascii="Arial Narrow" w:hAnsi="Arial Narrow"/>
          <w:sz w:val="23"/>
          <w:szCs w:val="23"/>
        </w:rPr>
        <w:t>maintena</w:t>
      </w:r>
      <w:r w:rsidR="00285141">
        <w:rPr>
          <w:rFonts w:ascii="Arial Narrow" w:hAnsi="Arial Narrow"/>
          <w:sz w:val="23"/>
          <w:szCs w:val="23"/>
        </w:rPr>
        <w:t>nce</w:t>
      </w:r>
      <w:r w:rsidR="00285141" w:rsidRPr="007942C1">
        <w:rPr>
          <w:rFonts w:ascii="Arial Narrow" w:hAnsi="Arial Narrow"/>
          <w:sz w:val="23"/>
          <w:szCs w:val="23"/>
        </w:rPr>
        <w:t xml:space="preserve"> </w:t>
      </w:r>
      <w:r w:rsidR="00285141">
        <w:rPr>
          <w:rFonts w:ascii="Arial Narrow" w:hAnsi="Arial Narrow"/>
          <w:sz w:val="23"/>
          <w:szCs w:val="23"/>
        </w:rPr>
        <w:t>also being undertaken.</w:t>
      </w:r>
    </w:p>
    <w:p w14:paraId="2D744E97" w14:textId="77777777" w:rsidR="00F9710A" w:rsidRPr="00E00B47" w:rsidRDefault="00F9710A" w:rsidP="009E5E6A">
      <w:pPr>
        <w:pStyle w:val="Default"/>
        <w:rPr>
          <w:rFonts w:ascii="Arial Narrow" w:hAnsi="Arial Narrow"/>
          <w:sz w:val="16"/>
          <w:szCs w:val="23"/>
        </w:rPr>
      </w:pPr>
    </w:p>
    <w:p w14:paraId="61F7C022" w14:textId="77777777" w:rsidR="00DB593A" w:rsidRDefault="00F9710A" w:rsidP="009E5E6A">
      <w:pPr>
        <w:rPr>
          <w:sz w:val="23"/>
          <w:szCs w:val="23"/>
        </w:rPr>
      </w:pPr>
      <w:r>
        <w:rPr>
          <w:sz w:val="23"/>
          <w:szCs w:val="23"/>
        </w:rPr>
        <w:t xml:space="preserve">During the </w:t>
      </w:r>
      <w:r w:rsidR="00C550BA">
        <w:rPr>
          <w:sz w:val="23"/>
          <w:szCs w:val="23"/>
        </w:rPr>
        <w:t xml:space="preserve">six-month </w:t>
      </w:r>
      <w:r>
        <w:rPr>
          <w:sz w:val="23"/>
          <w:szCs w:val="23"/>
        </w:rPr>
        <w:t>reporting period the PJDP website recorded a total of 2,379 ‘views’.</w:t>
      </w:r>
      <w:r w:rsidR="009E7A5B">
        <w:rPr>
          <w:sz w:val="23"/>
          <w:szCs w:val="23"/>
        </w:rPr>
        <w:t xml:space="preserve"> There was a notable increase in website traffic when PJDP Advisers were in-country delivering bilateral activities. </w:t>
      </w:r>
      <w:r>
        <w:rPr>
          <w:sz w:val="23"/>
          <w:szCs w:val="23"/>
        </w:rPr>
        <w:t xml:space="preserve">A </w:t>
      </w:r>
      <w:r w:rsidR="009E7A5B">
        <w:rPr>
          <w:sz w:val="23"/>
          <w:szCs w:val="23"/>
        </w:rPr>
        <w:t>breakdown per web page is provided below:</w:t>
      </w:r>
    </w:p>
    <w:p w14:paraId="1A3BA551" w14:textId="77777777" w:rsidR="005B0C1F" w:rsidRDefault="005B0C1F" w:rsidP="009E5E6A">
      <w:pPr>
        <w:rPr>
          <w:sz w:val="23"/>
          <w:szCs w:val="23"/>
        </w:rPr>
      </w:pPr>
    </w:p>
    <w:p w14:paraId="7D41DE3A" w14:textId="77777777" w:rsidR="005B0C1F" w:rsidRDefault="005B0C1F" w:rsidP="009E5E6A">
      <w:pPr>
        <w:rPr>
          <w:sz w:val="23"/>
          <w:szCs w:val="23"/>
        </w:rPr>
      </w:pPr>
    </w:p>
    <w:p w14:paraId="7892CAEA" w14:textId="77777777" w:rsidR="00951EB5" w:rsidRDefault="00951EB5" w:rsidP="009E5E6A">
      <w:pPr>
        <w:rPr>
          <w:sz w:val="23"/>
          <w:szCs w:val="23"/>
        </w:rPr>
      </w:pPr>
    </w:p>
    <w:p w14:paraId="327F68CC" w14:textId="77777777" w:rsidR="00951EB5" w:rsidRDefault="00951EB5" w:rsidP="009E5E6A">
      <w:pPr>
        <w:rPr>
          <w:sz w:val="23"/>
          <w:szCs w:val="23"/>
        </w:rPr>
      </w:pPr>
      <w:r>
        <w:rPr>
          <w:noProof/>
        </w:rPr>
        <w:drawing>
          <wp:anchor distT="0" distB="0" distL="114300" distR="114300" simplePos="0" relativeHeight="251666944" behindDoc="1" locked="0" layoutInCell="1" allowOverlap="1" wp14:anchorId="2828166F" wp14:editId="5B4AE683">
            <wp:simplePos x="0" y="0"/>
            <wp:positionH relativeFrom="column">
              <wp:posOffset>45720</wp:posOffset>
            </wp:positionH>
            <wp:positionV relativeFrom="paragraph">
              <wp:posOffset>-202565</wp:posOffset>
            </wp:positionV>
            <wp:extent cx="5645727" cy="3470563"/>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5CE42244" w14:textId="77777777" w:rsidR="00951EB5" w:rsidRDefault="00951EB5" w:rsidP="009E5E6A">
      <w:pPr>
        <w:rPr>
          <w:sz w:val="23"/>
          <w:szCs w:val="23"/>
        </w:rPr>
      </w:pPr>
    </w:p>
    <w:p w14:paraId="37036179" w14:textId="77777777" w:rsidR="00951EB5" w:rsidRDefault="00951EB5" w:rsidP="009E5E6A">
      <w:pPr>
        <w:rPr>
          <w:sz w:val="23"/>
          <w:szCs w:val="23"/>
        </w:rPr>
      </w:pPr>
    </w:p>
    <w:p w14:paraId="17BF1F79" w14:textId="77777777" w:rsidR="009917C1" w:rsidRDefault="009917C1" w:rsidP="009E5E6A">
      <w:pPr>
        <w:rPr>
          <w:sz w:val="23"/>
          <w:szCs w:val="23"/>
        </w:rPr>
      </w:pPr>
    </w:p>
    <w:p w14:paraId="1A27277F" w14:textId="77777777" w:rsidR="009917C1" w:rsidRDefault="009917C1" w:rsidP="00E8488F">
      <w:pPr>
        <w:jc w:val="center"/>
        <w:rPr>
          <w:sz w:val="23"/>
          <w:szCs w:val="23"/>
        </w:rPr>
      </w:pPr>
    </w:p>
    <w:p w14:paraId="6B22F200" w14:textId="77777777" w:rsidR="009917C1" w:rsidRDefault="009917C1" w:rsidP="009E5E6A">
      <w:pPr>
        <w:rPr>
          <w:sz w:val="23"/>
          <w:szCs w:val="23"/>
        </w:rPr>
      </w:pPr>
    </w:p>
    <w:p w14:paraId="36AAD30D" w14:textId="77777777" w:rsidR="009917C1" w:rsidRDefault="009917C1" w:rsidP="009E5E6A">
      <w:pPr>
        <w:rPr>
          <w:sz w:val="23"/>
          <w:szCs w:val="23"/>
        </w:rPr>
      </w:pPr>
    </w:p>
    <w:p w14:paraId="526F66AC" w14:textId="77777777" w:rsidR="009917C1" w:rsidRDefault="009917C1" w:rsidP="009E5E6A">
      <w:pPr>
        <w:rPr>
          <w:sz w:val="23"/>
          <w:szCs w:val="23"/>
        </w:rPr>
      </w:pPr>
    </w:p>
    <w:p w14:paraId="16C2C33B" w14:textId="77777777" w:rsidR="009917C1" w:rsidRDefault="009917C1" w:rsidP="009E5E6A">
      <w:pPr>
        <w:rPr>
          <w:sz w:val="23"/>
          <w:szCs w:val="23"/>
        </w:rPr>
      </w:pPr>
    </w:p>
    <w:p w14:paraId="48C873BE" w14:textId="77777777" w:rsidR="009917C1" w:rsidRDefault="009917C1" w:rsidP="009E5E6A">
      <w:pPr>
        <w:rPr>
          <w:sz w:val="23"/>
          <w:szCs w:val="23"/>
        </w:rPr>
      </w:pPr>
    </w:p>
    <w:p w14:paraId="4D0D1A89" w14:textId="77777777" w:rsidR="009917C1" w:rsidRDefault="009917C1" w:rsidP="009E5E6A">
      <w:pPr>
        <w:rPr>
          <w:sz w:val="23"/>
          <w:szCs w:val="23"/>
        </w:rPr>
      </w:pPr>
    </w:p>
    <w:p w14:paraId="0ABFE3CC" w14:textId="77777777" w:rsidR="00A22B97" w:rsidRDefault="00A22B97" w:rsidP="00DB593A">
      <w:pPr>
        <w:jc w:val="center"/>
        <w:rPr>
          <w:sz w:val="23"/>
          <w:szCs w:val="23"/>
        </w:rPr>
      </w:pPr>
    </w:p>
    <w:p w14:paraId="7E92BD68" w14:textId="77777777" w:rsidR="009917C1" w:rsidRDefault="009917C1" w:rsidP="00DB593A">
      <w:pPr>
        <w:jc w:val="center"/>
        <w:rPr>
          <w:sz w:val="23"/>
          <w:szCs w:val="23"/>
        </w:rPr>
      </w:pPr>
    </w:p>
    <w:p w14:paraId="5E7936BD" w14:textId="77777777" w:rsidR="009917C1" w:rsidRDefault="009917C1" w:rsidP="00DB593A">
      <w:pPr>
        <w:jc w:val="center"/>
        <w:rPr>
          <w:sz w:val="23"/>
          <w:szCs w:val="23"/>
        </w:rPr>
      </w:pPr>
    </w:p>
    <w:p w14:paraId="6B35E984" w14:textId="77777777" w:rsidR="009917C1" w:rsidRDefault="009917C1" w:rsidP="00DB593A">
      <w:pPr>
        <w:jc w:val="center"/>
        <w:rPr>
          <w:sz w:val="23"/>
          <w:szCs w:val="23"/>
        </w:rPr>
      </w:pPr>
    </w:p>
    <w:p w14:paraId="0E4C6CA2" w14:textId="77777777" w:rsidR="009917C1" w:rsidRDefault="009917C1" w:rsidP="00DB593A">
      <w:pPr>
        <w:jc w:val="center"/>
        <w:rPr>
          <w:sz w:val="23"/>
          <w:szCs w:val="23"/>
        </w:rPr>
      </w:pPr>
    </w:p>
    <w:p w14:paraId="24F04A1C" w14:textId="77777777" w:rsidR="009917C1" w:rsidRDefault="009917C1" w:rsidP="00DB593A">
      <w:pPr>
        <w:jc w:val="center"/>
        <w:rPr>
          <w:sz w:val="23"/>
          <w:szCs w:val="23"/>
        </w:rPr>
      </w:pPr>
    </w:p>
    <w:p w14:paraId="3157E40C" w14:textId="77777777" w:rsidR="009917C1" w:rsidRDefault="009917C1" w:rsidP="00DB593A">
      <w:pPr>
        <w:jc w:val="center"/>
        <w:rPr>
          <w:sz w:val="23"/>
          <w:szCs w:val="23"/>
        </w:rPr>
      </w:pPr>
    </w:p>
    <w:p w14:paraId="13D46BF7" w14:textId="77777777" w:rsidR="003C796B" w:rsidRDefault="003C796B" w:rsidP="00951EB5">
      <w:pPr>
        <w:pStyle w:val="ListParagraph"/>
        <w:spacing w:after="120"/>
        <w:ind w:left="0"/>
        <w:rPr>
          <w:rFonts w:ascii="Arial Narrow" w:hAnsi="Arial Narrow"/>
          <w:b/>
          <w:bCs/>
          <w:sz w:val="23"/>
          <w:szCs w:val="23"/>
        </w:rPr>
      </w:pPr>
    </w:p>
    <w:p w14:paraId="573EA0C5" w14:textId="77777777" w:rsidR="003C796B" w:rsidRPr="00F11142" w:rsidRDefault="003C796B" w:rsidP="00F11142">
      <w:pPr>
        <w:rPr>
          <w:sz w:val="14"/>
        </w:rPr>
      </w:pPr>
    </w:p>
    <w:p w14:paraId="18AA8EB2" w14:textId="77777777" w:rsidR="0039412B" w:rsidRPr="00D31EDC" w:rsidRDefault="0039412B" w:rsidP="00BA4968">
      <w:pPr>
        <w:pStyle w:val="ListParagraph"/>
        <w:numPr>
          <w:ilvl w:val="0"/>
          <w:numId w:val="35"/>
        </w:numPr>
        <w:spacing w:after="120"/>
        <w:ind w:left="709" w:hanging="709"/>
        <w:rPr>
          <w:rFonts w:ascii="Arial Narrow" w:hAnsi="Arial Narrow"/>
          <w:b/>
          <w:bCs/>
          <w:sz w:val="23"/>
          <w:szCs w:val="23"/>
        </w:rPr>
      </w:pPr>
      <w:r w:rsidRPr="00D31EDC">
        <w:rPr>
          <w:rFonts w:ascii="Arial Narrow" w:hAnsi="Arial Narrow"/>
          <w:b/>
          <w:bCs/>
          <w:sz w:val="23"/>
          <w:szCs w:val="23"/>
        </w:rPr>
        <w:t xml:space="preserve">External Links  </w:t>
      </w:r>
    </w:p>
    <w:p w14:paraId="6230F012" w14:textId="77777777" w:rsidR="0039412B" w:rsidRPr="00966743" w:rsidRDefault="0039412B" w:rsidP="009E5E6A">
      <w:pPr>
        <w:rPr>
          <w:bCs/>
          <w:sz w:val="23"/>
          <w:szCs w:val="23"/>
        </w:rPr>
      </w:pPr>
      <w:r>
        <w:rPr>
          <w:bCs/>
          <w:sz w:val="23"/>
          <w:szCs w:val="23"/>
        </w:rPr>
        <w:t xml:space="preserve">The </w:t>
      </w:r>
      <w:r w:rsidRPr="007942C1">
        <w:rPr>
          <w:bCs/>
          <w:sz w:val="23"/>
          <w:szCs w:val="23"/>
        </w:rPr>
        <w:t>PJDP worked closely with a number of or</w:t>
      </w:r>
      <w:r w:rsidR="00742B0F">
        <w:rPr>
          <w:bCs/>
          <w:sz w:val="23"/>
          <w:szCs w:val="23"/>
        </w:rPr>
        <w:t>ganisations and other programs</w:t>
      </w:r>
      <w:r w:rsidRPr="007942C1">
        <w:rPr>
          <w:bCs/>
          <w:sz w:val="23"/>
          <w:szCs w:val="23"/>
        </w:rPr>
        <w:t xml:space="preserve"> in the region to maximise benefits and to avoid duplication of services.</w:t>
      </w:r>
      <w:r w:rsidRPr="007942C1">
        <w:rPr>
          <w:rStyle w:val="FootnoteReference"/>
          <w:sz w:val="23"/>
          <w:szCs w:val="23"/>
        </w:rPr>
        <w:footnoteReference w:id="2"/>
      </w:r>
      <w:r w:rsidRPr="007942C1">
        <w:rPr>
          <w:bCs/>
          <w:sz w:val="23"/>
          <w:szCs w:val="23"/>
        </w:rPr>
        <w:t xml:space="preserve">  Key organisations with which interaction was undertaken</w:t>
      </w:r>
      <w:r w:rsidR="00966743">
        <w:rPr>
          <w:bCs/>
          <w:sz w:val="23"/>
          <w:szCs w:val="23"/>
        </w:rPr>
        <w:t xml:space="preserve"> </w:t>
      </w:r>
      <w:r>
        <w:rPr>
          <w:bCs/>
          <w:sz w:val="23"/>
          <w:szCs w:val="23"/>
        </w:rPr>
        <w:t>during this period</w:t>
      </w:r>
      <w:r w:rsidRPr="007942C1">
        <w:rPr>
          <w:bCs/>
          <w:sz w:val="23"/>
          <w:szCs w:val="23"/>
        </w:rPr>
        <w:t>, included:</w:t>
      </w:r>
    </w:p>
    <w:p w14:paraId="7A5EE1B9" w14:textId="77777777" w:rsidR="00BA7E3F" w:rsidRPr="00BA7E3F" w:rsidRDefault="0039412B" w:rsidP="00BA7E3F">
      <w:pPr>
        <w:pStyle w:val="ListParagraph"/>
        <w:numPr>
          <w:ilvl w:val="0"/>
          <w:numId w:val="20"/>
        </w:numPr>
        <w:spacing w:before="80"/>
        <w:ind w:left="714" w:hanging="357"/>
        <w:rPr>
          <w:rFonts w:ascii="Arial Narrow" w:hAnsi="Arial Narrow"/>
          <w:sz w:val="23"/>
          <w:szCs w:val="23"/>
          <w:lang w:eastAsia="ja-JP"/>
        </w:rPr>
      </w:pPr>
      <w:r w:rsidRPr="00BA7E3F">
        <w:rPr>
          <w:rFonts w:ascii="Arial Narrow" w:hAnsi="Arial Narrow"/>
          <w:i/>
          <w:sz w:val="23"/>
          <w:szCs w:val="23"/>
        </w:rPr>
        <w:t xml:space="preserve">New Zealand and Australian Courts: </w:t>
      </w:r>
      <w:r w:rsidRPr="00BA7E3F">
        <w:rPr>
          <w:rFonts w:ascii="Arial Narrow" w:hAnsi="Arial Narrow"/>
          <w:sz w:val="23"/>
          <w:szCs w:val="23"/>
        </w:rPr>
        <w:t xml:space="preserve">Judicial expertise has been provided by both countries to the </w:t>
      </w:r>
      <w:r w:rsidR="004F0258" w:rsidRPr="00BA7E3F">
        <w:rPr>
          <w:rFonts w:ascii="Arial Narrow" w:hAnsi="Arial Narrow"/>
          <w:sz w:val="23"/>
          <w:szCs w:val="23"/>
        </w:rPr>
        <w:t xml:space="preserve">Regional Decision-Making Workshop; Information Technology Online Forum and Responsive Fund Activities: Drug and Alcohol Court Workshop </w:t>
      </w:r>
      <w:r w:rsidR="003251B0" w:rsidRPr="00BA7E3F">
        <w:rPr>
          <w:rFonts w:ascii="Arial Narrow" w:hAnsi="Arial Narrow"/>
          <w:sz w:val="23"/>
          <w:szCs w:val="23"/>
        </w:rPr>
        <w:t>(</w:t>
      </w:r>
      <w:r w:rsidR="004F0258" w:rsidRPr="00BA7E3F">
        <w:rPr>
          <w:rFonts w:ascii="Arial Narrow" w:hAnsi="Arial Narrow"/>
          <w:sz w:val="23"/>
          <w:szCs w:val="23"/>
        </w:rPr>
        <w:t>Samoa</w:t>
      </w:r>
      <w:r w:rsidR="003251B0" w:rsidRPr="00BA7E3F">
        <w:rPr>
          <w:rFonts w:ascii="Arial Narrow" w:hAnsi="Arial Narrow"/>
          <w:sz w:val="23"/>
          <w:szCs w:val="23"/>
        </w:rPr>
        <w:t>)</w:t>
      </w:r>
      <w:r w:rsidR="004F0258" w:rsidRPr="00BA7E3F">
        <w:rPr>
          <w:rFonts w:ascii="Arial Narrow" w:hAnsi="Arial Narrow"/>
          <w:sz w:val="23"/>
          <w:szCs w:val="23"/>
        </w:rPr>
        <w:t xml:space="preserve"> and </w:t>
      </w:r>
      <w:r w:rsidR="003251B0" w:rsidRPr="00BA7E3F">
        <w:rPr>
          <w:rFonts w:ascii="Arial Narrow" w:hAnsi="Arial Narrow"/>
          <w:sz w:val="23"/>
          <w:szCs w:val="23"/>
        </w:rPr>
        <w:t>Mentoring of Justice of the Peace</w:t>
      </w:r>
      <w:r w:rsidR="004F0258" w:rsidRPr="00BA7E3F">
        <w:rPr>
          <w:rFonts w:ascii="Arial Narrow" w:hAnsi="Arial Narrow"/>
          <w:sz w:val="23"/>
          <w:szCs w:val="23"/>
        </w:rPr>
        <w:t xml:space="preserve"> and Court Staff Activity</w:t>
      </w:r>
      <w:r w:rsidR="003251B0" w:rsidRPr="00BA7E3F">
        <w:rPr>
          <w:rFonts w:ascii="Arial Narrow" w:hAnsi="Arial Narrow"/>
          <w:sz w:val="23"/>
          <w:szCs w:val="23"/>
        </w:rPr>
        <w:t xml:space="preserve"> (Cook Islands)</w:t>
      </w:r>
      <w:r w:rsidR="004F0258" w:rsidRPr="00BA7E3F">
        <w:rPr>
          <w:rFonts w:ascii="Arial Narrow" w:hAnsi="Arial Narrow"/>
          <w:sz w:val="23"/>
          <w:szCs w:val="23"/>
        </w:rPr>
        <w:t xml:space="preserve">. </w:t>
      </w:r>
      <w:r w:rsidRPr="00BA7E3F">
        <w:rPr>
          <w:rFonts w:ascii="Arial Narrow" w:hAnsi="Arial Narrow"/>
          <w:sz w:val="23"/>
          <w:szCs w:val="23"/>
          <w:lang w:eastAsia="ja-JP"/>
        </w:rPr>
        <w:t xml:space="preserve">The collaboration and participation will continue to be maximised during the </w:t>
      </w:r>
      <w:r w:rsidR="004F0258" w:rsidRPr="00BA7E3F">
        <w:rPr>
          <w:rFonts w:ascii="Arial Narrow" w:hAnsi="Arial Narrow"/>
          <w:sz w:val="23"/>
          <w:szCs w:val="23"/>
          <w:lang w:eastAsia="ja-JP"/>
        </w:rPr>
        <w:t>remaining 24-month Extension Plan.</w:t>
      </w:r>
    </w:p>
    <w:p w14:paraId="2E23B386" w14:textId="2C07EC95" w:rsidR="00603BDD" w:rsidRPr="00BA7E3F" w:rsidRDefault="006F43FA" w:rsidP="00BA7E3F">
      <w:pPr>
        <w:pStyle w:val="ListParagraph"/>
        <w:numPr>
          <w:ilvl w:val="0"/>
          <w:numId w:val="20"/>
        </w:numPr>
        <w:spacing w:before="80"/>
        <w:ind w:left="714" w:hanging="357"/>
        <w:rPr>
          <w:rFonts w:ascii="Arial Narrow" w:hAnsi="Arial Narrow"/>
          <w:sz w:val="23"/>
          <w:szCs w:val="23"/>
          <w:lang w:eastAsia="ja-JP"/>
        </w:rPr>
      </w:pPr>
      <w:r w:rsidRPr="00BA7E3F">
        <w:rPr>
          <w:rFonts w:ascii="Arial Narrow" w:hAnsi="Arial Narrow"/>
          <w:i/>
          <w:sz w:val="23"/>
          <w:szCs w:val="23"/>
        </w:rPr>
        <w:t xml:space="preserve">Pacific Judicial Conference: </w:t>
      </w:r>
      <w:r w:rsidR="00947494" w:rsidRPr="00BA7E3F">
        <w:rPr>
          <w:rFonts w:ascii="Arial Narrow" w:hAnsi="Arial Narrow"/>
          <w:sz w:val="23"/>
          <w:szCs w:val="23"/>
        </w:rPr>
        <w:t xml:space="preserve">links arising from </w:t>
      </w:r>
      <w:r w:rsidRPr="00BA7E3F">
        <w:rPr>
          <w:rFonts w:ascii="Arial Narrow" w:hAnsi="Arial Narrow"/>
          <w:sz w:val="23"/>
          <w:szCs w:val="23"/>
        </w:rPr>
        <w:t xml:space="preserve">this conference </w:t>
      </w:r>
      <w:r w:rsidR="00947494" w:rsidRPr="00BA7E3F">
        <w:rPr>
          <w:rFonts w:ascii="Arial Narrow" w:hAnsi="Arial Narrow"/>
          <w:sz w:val="23"/>
          <w:szCs w:val="23"/>
        </w:rPr>
        <w:t>includ</w:t>
      </w:r>
      <w:r w:rsidRPr="00BA7E3F">
        <w:rPr>
          <w:rFonts w:ascii="Arial Narrow" w:hAnsi="Arial Narrow"/>
          <w:sz w:val="23"/>
          <w:szCs w:val="23"/>
        </w:rPr>
        <w:t xml:space="preserve">ed liaison </w:t>
      </w:r>
      <w:r w:rsidR="00F81565" w:rsidRPr="00BA7E3F">
        <w:rPr>
          <w:rFonts w:ascii="Arial Narrow" w:hAnsi="Arial Narrow"/>
          <w:sz w:val="23"/>
          <w:szCs w:val="23"/>
        </w:rPr>
        <w:t xml:space="preserve">and further engagement </w:t>
      </w:r>
      <w:r w:rsidRPr="00BA7E3F">
        <w:rPr>
          <w:rFonts w:ascii="Arial Narrow" w:hAnsi="Arial Narrow"/>
          <w:sz w:val="23"/>
          <w:szCs w:val="23"/>
        </w:rPr>
        <w:t>with:</w:t>
      </w:r>
      <w:r w:rsidR="00F81565" w:rsidRPr="00BA7E3F">
        <w:rPr>
          <w:rFonts w:ascii="Arial Narrow" w:hAnsi="Arial Narrow"/>
          <w:sz w:val="23"/>
          <w:szCs w:val="23"/>
        </w:rPr>
        <w:t xml:space="preserve"> Chief Justice</w:t>
      </w:r>
      <w:r w:rsidR="00947494" w:rsidRPr="00BA7E3F">
        <w:rPr>
          <w:rFonts w:ascii="Arial Narrow" w:hAnsi="Arial Narrow"/>
          <w:sz w:val="23"/>
          <w:szCs w:val="23"/>
        </w:rPr>
        <w:t xml:space="preserve"> </w:t>
      </w:r>
      <w:r w:rsidRPr="00BA7E3F">
        <w:rPr>
          <w:rFonts w:ascii="Arial Narrow" w:hAnsi="Arial Narrow"/>
          <w:sz w:val="23"/>
          <w:szCs w:val="23"/>
        </w:rPr>
        <w:t>Dame Sian Elias</w:t>
      </w:r>
      <w:r w:rsidR="00BA7E3F">
        <w:rPr>
          <w:rFonts w:ascii="Arial Narrow" w:hAnsi="Arial Narrow"/>
          <w:sz w:val="23"/>
          <w:szCs w:val="23"/>
        </w:rPr>
        <w:t xml:space="preserve"> (</w:t>
      </w:r>
      <w:r w:rsidR="00603BDD" w:rsidRPr="00BA7E3F">
        <w:rPr>
          <w:rFonts w:ascii="Arial Narrow" w:hAnsi="Arial Narrow"/>
          <w:sz w:val="23"/>
          <w:szCs w:val="23"/>
        </w:rPr>
        <w:t xml:space="preserve">Chief Justices of </w:t>
      </w:r>
      <w:r w:rsidRPr="00BA7E3F">
        <w:rPr>
          <w:rFonts w:ascii="Arial Narrow" w:hAnsi="Arial Narrow"/>
          <w:sz w:val="23"/>
          <w:szCs w:val="23"/>
        </w:rPr>
        <w:t>New Zealand</w:t>
      </w:r>
      <w:r w:rsidR="00BA7E3F">
        <w:rPr>
          <w:rFonts w:ascii="Arial Narrow" w:hAnsi="Arial Narrow"/>
          <w:sz w:val="23"/>
          <w:szCs w:val="23"/>
        </w:rPr>
        <w:t>)</w:t>
      </w:r>
      <w:r w:rsidR="00A35CD7" w:rsidRPr="00BA7E3F">
        <w:rPr>
          <w:rFonts w:ascii="Arial Narrow" w:hAnsi="Arial Narrow"/>
          <w:sz w:val="23"/>
          <w:szCs w:val="23"/>
        </w:rPr>
        <w:t>;</w:t>
      </w:r>
      <w:r w:rsidRPr="00BA7E3F">
        <w:rPr>
          <w:rFonts w:ascii="Arial Narrow" w:hAnsi="Arial Narrow"/>
          <w:sz w:val="23"/>
          <w:szCs w:val="23"/>
        </w:rPr>
        <w:t xml:space="preserve"> </w:t>
      </w:r>
      <w:r w:rsidR="00F81565" w:rsidRPr="00BA7E3F">
        <w:rPr>
          <w:rFonts w:ascii="Arial Narrow" w:hAnsi="Arial Narrow"/>
          <w:sz w:val="23"/>
          <w:szCs w:val="23"/>
        </w:rPr>
        <w:t xml:space="preserve">Justice </w:t>
      </w:r>
      <w:r w:rsidR="00947494" w:rsidRPr="00BA7E3F">
        <w:rPr>
          <w:rFonts w:ascii="Arial Narrow" w:hAnsi="Arial Narrow"/>
          <w:sz w:val="23"/>
          <w:szCs w:val="23"/>
        </w:rPr>
        <w:t>Winkelmann</w:t>
      </w:r>
      <w:r w:rsidR="00603BDD" w:rsidRPr="00BA7E3F">
        <w:rPr>
          <w:rFonts w:ascii="Arial Narrow" w:hAnsi="Arial Narrow"/>
          <w:sz w:val="23"/>
          <w:szCs w:val="23"/>
        </w:rPr>
        <w:t xml:space="preserve"> (Chief Judge of the </w:t>
      </w:r>
      <w:r w:rsidR="00A35CD7" w:rsidRPr="00BA7E3F">
        <w:rPr>
          <w:rFonts w:ascii="Arial Narrow" w:hAnsi="Arial Narrow"/>
          <w:sz w:val="23"/>
          <w:szCs w:val="23"/>
        </w:rPr>
        <w:t xml:space="preserve">New Zealand </w:t>
      </w:r>
      <w:r w:rsidR="00603BDD" w:rsidRPr="00BA7E3F">
        <w:rPr>
          <w:rFonts w:ascii="Arial Narrow" w:hAnsi="Arial Narrow"/>
          <w:sz w:val="23"/>
          <w:szCs w:val="23"/>
        </w:rPr>
        <w:t>High Court)</w:t>
      </w:r>
      <w:r w:rsidR="00A35CD7" w:rsidRPr="00BA7E3F">
        <w:rPr>
          <w:rFonts w:ascii="Arial Narrow" w:hAnsi="Arial Narrow"/>
          <w:sz w:val="23"/>
          <w:szCs w:val="23"/>
        </w:rPr>
        <w:t>;</w:t>
      </w:r>
      <w:r w:rsidR="00947494" w:rsidRPr="00BA7E3F">
        <w:rPr>
          <w:rFonts w:ascii="Arial Narrow" w:hAnsi="Arial Narrow"/>
          <w:sz w:val="23"/>
          <w:szCs w:val="23"/>
        </w:rPr>
        <w:t xml:space="preserve"> Justice </w:t>
      </w:r>
      <w:r w:rsidR="00947494" w:rsidRPr="00762177">
        <w:rPr>
          <w:rFonts w:ascii="Arial Narrow" w:hAnsi="Arial Narrow" w:cs="Arial"/>
          <w:sz w:val="23"/>
          <w:szCs w:val="23"/>
          <w:shd w:val="clear" w:color="auto" w:fill="F9F9F9"/>
        </w:rPr>
        <w:t>Susan Kiefel</w:t>
      </w:r>
      <w:r w:rsidR="00947494" w:rsidRPr="00BA7E3F">
        <w:rPr>
          <w:rStyle w:val="apple-converted-space"/>
          <w:rFonts w:ascii="Arial Narrow" w:hAnsi="Arial Narrow" w:cs="Arial"/>
          <w:color w:val="000000"/>
          <w:sz w:val="23"/>
          <w:szCs w:val="23"/>
          <w:shd w:val="clear" w:color="auto" w:fill="F9F9F9"/>
        </w:rPr>
        <w:t> </w:t>
      </w:r>
      <w:r w:rsidR="00603BDD" w:rsidRPr="00BA7E3F">
        <w:rPr>
          <w:rStyle w:val="apple-converted-space"/>
          <w:rFonts w:ascii="Arial Narrow" w:hAnsi="Arial Narrow" w:cs="Arial"/>
          <w:color w:val="000000"/>
          <w:sz w:val="23"/>
          <w:szCs w:val="23"/>
          <w:shd w:val="clear" w:color="auto" w:fill="F9F9F9"/>
        </w:rPr>
        <w:t xml:space="preserve">(Justice of the </w:t>
      </w:r>
      <w:r w:rsidR="00947494" w:rsidRPr="00BA7E3F">
        <w:rPr>
          <w:rStyle w:val="apple-converted-space"/>
          <w:rFonts w:ascii="Arial Narrow" w:hAnsi="Arial Narrow" w:cs="Arial"/>
          <w:color w:val="000000"/>
          <w:sz w:val="23"/>
          <w:szCs w:val="23"/>
          <w:shd w:val="clear" w:color="auto" w:fill="F9F9F9"/>
        </w:rPr>
        <w:t>High Court</w:t>
      </w:r>
      <w:r w:rsidR="00603BDD" w:rsidRPr="00BA7E3F">
        <w:rPr>
          <w:rStyle w:val="apple-converted-space"/>
          <w:rFonts w:ascii="Arial Narrow" w:hAnsi="Arial Narrow" w:cs="Arial"/>
          <w:color w:val="000000"/>
          <w:sz w:val="23"/>
          <w:szCs w:val="23"/>
          <w:shd w:val="clear" w:color="auto" w:fill="F9F9F9"/>
        </w:rPr>
        <w:t xml:space="preserve"> of Australia)</w:t>
      </w:r>
      <w:r w:rsidR="00762177">
        <w:rPr>
          <w:rStyle w:val="apple-converted-space"/>
          <w:rFonts w:ascii="Arial Narrow" w:hAnsi="Arial Narrow" w:cs="Arial"/>
          <w:color w:val="000000"/>
          <w:sz w:val="23"/>
          <w:szCs w:val="23"/>
          <w:shd w:val="clear" w:color="auto" w:fill="F9F9F9"/>
        </w:rPr>
        <w:t>;</w:t>
      </w:r>
      <w:r w:rsidR="00947494" w:rsidRPr="00BA7E3F">
        <w:rPr>
          <w:rStyle w:val="apple-converted-space"/>
          <w:rFonts w:ascii="Arial Narrow" w:hAnsi="Arial Narrow" w:cs="Arial"/>
          <w:color w:val="000000"/>
          <w:sz w:val="23"/>
          <w:szCs w:val="23"/>
          <w:shd w:val="clear" w:color="auto" w:fill="F9F9F9"/>
        </w:rPr>
        <w:t xml:space="preserve"> </w:t>
      </w:r>
      <w:r w:rsidR="00BA7E3F" w:rsidRPr="00BA7E3F">
        <w:rPr>
          <w:rStyle w:val="apple-converted-space"/>
          <w:rFonts w:ascii="Arial Narrow" w:hAnsi="Arial Narrow" w:cs="Arial"/>
          <w:color w:val="000000"/>
          <w:sz w:val="23"/>
          <w:szCs w:val="23"/>
          <w:shd w:val="clear" w:color="auto" w:fill="F9F9F9"/>
        </w:rPr>
        <w:t xml:space="preserve">Chief </w:t>
      </w:r>
      <w:r w:rsidR="00BA7E3F" w:rsidRPr="00BA7E3F">
        <w:rPr>
          <w:rFonts w:ascii="Arial Narrow" w:hAnsi="Arial Narrow"/>
          <w:sz w:val="23"/>
          <w:szCs w:val="23"/>
        </w:rPr>
        <w:t xml:space="preserve">Justice </w:t>
      </w:r>
      <w:r w:rsidR="00603BDD" w:rsidRPr="00BA7E3F">
        <w:rPr>
          <w:rFonts w:ascii="Arial Narrow" w:hAnsi="Arial Narrow"/>
          <w:sz w:val="23"/>
          <w:szCs w:val="23"/>
        </w:rPr>
        <w:t xml:space="preserve">Marilyn Warren </w:t>
      </w:r>
      <w:r w:rsidR="00BA7E3F" w:rsidRPr="00BA7E3F">
        <w:rPr>
          <w:rFonts w:ascii="Arial Narrow" w:hAnsi="Arial Narrow"/>
          <w:sz w:val="23"/>
          <w:szCs w:val="23"/>
        </w:rPr>
        <w:t>(</w:t>
      </w:r>
      <w:r w:rsidR="00603BDD" w:rsidRPr="00BA7E3F">
        <w:rPr>
          <w:rFonts w:ascii="Arial Narrow" w:hAnsi="Arial Narrow"/>
          <w:sz w:val="23"/>
          <w:szCs w:val="23"/>
        </w:rPr>
        <w:t>Chief Justice of the Supreme Court of Victoria</w:t>
      </w:r>
      <w:r w:rsidR="00BA7E3F" w:rsidRPr="00BA7E3F">
        <w:rPr>
          <w:rFonts w:ascii="Arial Narrow" w:hAnsi="Arial Narrow"/>
          <w:sz w:val="23"/>
          <w:szCs w:val="23"/>
        </w:rPr>
        <w:t xml:space="preserve">); </w:t>
      </w:r>
      <w:r w:rsidR="00762177" w:rsidRPr="00BA7E3F">
        <w:rPr>
          <w:rFonts w:ascii="Arial Narrow" w:hAnsi="Arial Narrow"/>
          <w:sz w:val="23"/>
          <w:szCs w:val="23"/>
        </w:rPr>
        <w:t xml:space="preserve">Chief Justice Diana Bryant (Chief Justice of the Family Court of Australia); </w:t>
      </w:r>
      <w:r w:rsidR="00BA7E3F" w:rsidRPr="00BA7E3F">
        <w:rPr>
          <w:rStyle w:val="apple-converted-space"/>
          <w:rFonts w:ascii="Arial Narrow" w:hAnsi="Arial Narrow" w:cs="Arial"/>
          <w:color w:val="000000"/>
          <w:sz w:val="23"/>
          <w:szCs w:val="23"/>
          <w:shd w:val="clear" w:color="auto" w:fill="F9F9F9"/>
        </w:rPr>
        <w:t>and Judges from the United States Courts for the 9</w:t>
      </w:r>
      <w:r w:rsidR="00BA7E3F" w:rsidRPr="00BA7E3F">
        <w:rPr>
          <w:rStyle w:val="apple-converted-space"/>
          <w:rFonts w:ascii="Arial Narrow" w:hAnsi="Arial Narrow" w:cs="Arial"/>
          <w:color w:val="000000"/>
          <w:sz w:val="23"/>
          <w:szCs w:val="23"/>
          <w:shd w:val="clear" w:color="auto" w:fill="F9F9F9"/>
          <w:vertAlign w:val="superscript"/>
        </w:rPr>
        <w:t>th</w:t>
      </w:r>
      <w:r w:rsidR="00BA7E3F" w:rsidRPr="00BA7E3F">
        <w:rPr>
          <w:rStyle w:val="apple-converted-space"/>
          <w:rFonts w:ascii="Arial Narrow" w:hAnsi="Arial Narrow" w:cs="Arial"/>
          <w:color w:val="000000"/>
          <w:sz w:val="23"/>
          <w:szCs w:val="23"/>
          <w:shd w:val="clear" w:color="auto" w:fill="F9F9F9"/>
        </w:rPr>
        <w:t xml:space="preserve"> Circuit, </w:t>
      </w:r>
      <w:r w:rsidR="00762177" w:rsidRPr="00BA7E3F">
        <w:rPr>
          <w:rStyle w:val="apple-converted-space"/>
          <w:rFonts w:ascii="Arial Narrow" w:hAnsi="Arial Narrow" w:cs="Arial"/>
          <w:color w:val="000000"/>
          <w:sz w:val="23"/>
          <w:szCs w:val="23"/>
          <w:shd w:val="clear" w:color="auto" w:fill="F9F9F9"/>
        </w:rPr>
        <w:t>among</w:t>
      </w:r>
      <w:r w:rsidR="00BA7E3F" w:rsidRPr="00BA7E3F">
        <w:rPr>
          <w:rStyle w:val="apple-converted-space"/>
          <w:rFonts w:ascii="Arial Narrow" w:hAnsi="Arial Narrow" w:cs="Arial"/>
          <w:color w:val="000000"/>
          <w:sz w:val="23"/>
          <w:szCs w:val="23"/>
          <w:shd w:val="clear" w:color="auto" w:fill="F9F9F9"/>
        </w:rPr>
        <w:t xml:space="preserve"> others.</w:t>
      </w:r>
    </w:p>
    <w:p w14:paraId="05F4C9E2" w14:textId="77777777" w:rsidR="0039412B" w:rsidRPr="00BA7E3F" w:rsidRDefault="0039412B" w:rsidP="00441E66">
      <w:pPr>
        <w:pStyle w:val="ListParagraph"/>
        <w:numPr>
          <w:ilvl w:val="0"/>
          <w:numId w:val="20"/>
        </w:numPr>
        <w:spacing w:before="80"/>
        <w:ind w:left="714" w:hanging="357"/>
        <w:rPr>
          <w:rFonts w:ascii="Arial Narrow" w:hAnsi="Arial Narrow" w:cs="Arial"/>
          <w:color w:val="222222"/>
          <w:sz w:val="23"/>
          <w:szCs w:val="23"/>
        </w:rPr>
      </w:pPr>
      <w:r w:rsidRPr="00BA7E3F">
        <w:rPr>
          <w:rFonts w:ascii="Arial Narrow" w:hAnsi="Arial Narrow"/>
          <w:i/>
          <w:sz w:val="23"/>
          <w:szCs w:val="23"/>
          <w:lang w:eastAsia="ja-JP"/>
        </w:rPr>
        <w:t xml:space="preserve">Pacific Prevention of Domestic Violence Program (PPDVP): </w:t>
      </w:r>
      <w:r w:rsidRPr="00BA7E3F">
        <w:rPr>
          <w:rFonts w:ascii="Arial Narrow" w:hAnsi="Arial Narrow"/>
          <w:sz w:val="23"/>
          <w:szCs w:val="23"/>
          <w:lang w:eastAsia="ja-JP"/>
        </w:rPr>
        <w:t xml:space="preserve">Has been actively involved in relevant sessions </w:t>
      </w:r>
      <w:r w:rsidR="004F0258" w:rsidRPr="00BA7E3F">
        <w:rPr>
          <w:rFonts w:ascii="Arial Narrow" w:hAnsi="Arial Narrow"/>
          <w:sz w:val="23"/>
          <w:szCs w:val="23"/>
          <w:lang w:eastAsia="ja-JP"/>
        </w:rPr>
        <w:t xml:space="preserve">of the recent Family </w:t>
      </w:r>
      <w:r w:rsidRPr="00BA7E3F">
        <w:rPr>
          <w:rFonts w:ascii="Arial Narrow" w:hAnsi="Arial Narrow"/>
          <w:sz w:val="23"/>
          <w:szCs w:val="23"/>
          <w:lang w:eastAsia="ja-JP"/>
        </w:rPr>
        <w:t xml:space="preserve">Violence and Youth Justice Workshop </w:t>
      </w:r>
      <w:r w:rsidR="004F0258" w:rsidRPr="00BA7E3F">
        <w:rPr>
          <w:rFonts w:ascii="Arial Narrow" w:hAnsi="Arial Narrow"/>
          <w:sz w:val="23"/>
          <w:szCs w:val="23"/>
          <w:lang w:eastAsia="ja-JP"/>
        </w:rPr>
        <w:t>conducted in Rarotonga, Cook Islands in February 2014. New Zealand Police and the High Court of the Cook Islands further supported the successful delivery of the FV YJ Workshop.</w:t>
      </w:r>
    </w:p>
    <w:p w14:paraId="1AF19934" w14:textId="77777777" w:rsidR="0039412B" w:rsidRPr="00BA7E3F" w:rsidRDefault="0039412B" w:rsidP="00441E66">
      <w:pPr>
        <w:pStyle w:val="ListParagraph"/>
        <w:numPr>
          <w:ilvl w:val="0"/>
          <w:numId w:val="20"/>
        </w:numPr>
        <w:spacing w:before="80"/>
        <w:ind w:left="714" w:hanging="357"/>
        <w:rPr>
          <w:rFonts w:ascii="Arial Narrow" w:hAnsi="Arial Narrow"/>
          <w:sz w:val="23"/>
          <w:szCs w:val="23"/>
          <w:lang w:eastAsia="ja-JP"/>
        </w:rPr>
      </w:pPr>
      <w:r w:rsidRPr="00BA7E3F">
        <w:rPr>
          <w:rFonts w:ascii="Arial Narrow" w:hAnsi="Arial Narrow" w:cs="Arial"/>
          <w:i/>
          <w:sz w:val="23"/>
          <w:szCs w:val="23"/>
        </w:rPr>
        <w:t>PacLII:</w:t>
      </w:r>
      <w:r w:rsidRPr="00BA7E3F">
        <w:rPr>
          <w:rFonts w:ascii="Arial Narrow" w:hAnsi="Arial Narrow" w:cs="Arial"/>
          <w:sz w:val="23"/>
          <w:szCs w:val="23"/>
        </w:rPr>
        <w:t xml:space="preserve"> </w:t>
      </w:r>
      <w:r w:rsidR="00AA15DF" w:rsidRPr="00BA7E3F">
        <w:rPr>
          <w:rFonts w:ascii="Arial Narrow" w:hAnsi="Arial Narrow" w:cs="Arial"/>
          <w:sz w:val="23"/>
          <w:szCs w:val="23"/>
        </w:rPr>
        <w:t xml:space="preserve">Continues </w:t>
      </w:r>
      <w:r w:rsidRPr="00BA7E3F">
        <w:rPr>
          <w:rFonts w:ascii="Arial Narrow" w:hAnsi="Arial Narrow" w:cs="Arial"/>
          <w:sz w:val="23"/>
          <w:szCs w:val="23"/>
        </w:rPr>
        <w:t>to disseminate PJDP information and materials and promote, through PJDP Advisers, interest by PJDP pa</w:t>
      </w:r>
      <w:r w:rsidR="00742B0F" w:rsidRPr="00BA7E3F">
        <w:rPr>
          <w:rFonts w:ascii="Arial Narrow" w:hAnsi="Arial Narrow" w:cs="Arial"/>
          <w:sz w:val="23"/>
          <w:szCs w:val="23"/>
        </w:rPr>
        <w:t>rtner courts in submitting judg</w:t>
      </w:r>
      <w:r w:rsidRPr="00BA7E3F">
        <w:rPr>
          <w:rFonts w:ascii="Arial Narrow" w:hAnsi="Arial Narrow" w:cs="Arial"/>
          <w:sz w:val="23"/>
          <w:szCs w:val="23"/>
        </w:rPr>
        <w:t xml:space="preserve">ments.  </w:t>
      </w:r>
    </w:p>
    <w:p w14:paraId="418F18E9" w14:textId="77777777" w:rsidR="0039412B" w:rsidRPr="00966743" w:rsidRDefault="0039412B" w:rsidP="009E5E6A">
      <w:pPr>
        <w:rPr>
          <w:b/>
          <w:i/>
          <w:sz w:val="23"/>
          <w:szCs w:val="23"/>
        </w:rPr>
      </w:pPr>
    </w:p>
    <w:p w14:paraId="29BB8540" w14:textId="77777777" w:rsidR="0039412B" w:rsidRPr="00D31EDC" w:rsidRDefault="0039412B" w:rsidP="00BA4968">
      <w:pPr>
        <w:pStyle w:val="ListParagraph"/>
        <w:numPr>
          <w:ilvl w:val="0"/>
          <w:numId w:val="35"/>
        </w:numPr>
        <w:spacing w:after="120"/>
        <w:ind w:left="709" w:hanging="709"/>
        <w:rPr>
          <w:rFonts w:ascii="Arial Narrow" w:hAnsi="Arial Narrow"/>
          <w:b/>
          <w:sz w:val="23"/>
          <w:szCs w:val="23"/>
        </w:rPr>
      </w:pPr>
      <w:r w:rsidRPr="00D31EDC">
        <w:rPr>
          <w:rFonts w:ascii="Arial Narrow" w:hAnsi="Arial Narrow"/>
          <w:b/>
          <w:sz w:val="23"/>
          <w:szCs w:val="23"/>
        </w:rPr>
        <w:t>Internal Links</w:t>
      </w:r>
    </w:p>
    <w:p w14:paraId="19F3C397" w14:textId="77777777" w:rsidR="0039412B" w:rsidRDefault="0039412B" w:rsidP="009E5E6A">
      <w:pPr>
        <w:spacing w:before="80"/>
        <w:rPr>
          <w:sz w:val="23"/>
          <w:szCs w:val="23"/>
        </w:rPr>
      </w:pPr>
      <w:r w:rsidRPr="007942C1">
        <w:rPr>
          <w:sz w:val="23"/>
          <w:szCs w:val="23"/>
        </w:rPr>
        <w:t>The</w:t>
      </w:r>
      <w:r w:rsidR="001F0862">
        <w:rPr>
          <w:sz w:val="23"/>
          <w:szCs w:val="23"/>
        </w:rPr>
        <w:t xml:space="preserve"> Programme continues to foster</w:t>
      </w:r>
      <w:r w:rsidRPr="007942C1">
        <w:rPr>
          <w:sz w:val="23"/>
          <w:szCs w:val="23"/>
        </w:rPr>
        <w:t xml:space="preserve"> synergy between various projects and activities to strengthen relevance and sustainability. </w:t>
      </w:r>
      <w:r w:rsidR="001F0862">
        <w:rPr>
          <w:sz w:val="23"/>
          <w:szCs w:val="23"/>
        </w:rPr>
        <w:t>The following links were</w:t>
      </w:r>
      <w:r>
        <w:rPr>
          <w:sz w:val="23"/>
          <w:szCs w:val="23"/>
        </w:rPr>
        <w:t xml:space="preserve"> </w:t>
      </w:r>
      <w:r w:rsidR="00EB22C3">
        <w:rPr>
          <w:sz w:val="23"/>
          <w:szCs w:val="23"/>
        </w:rPr>
        <w:t>fostered between the PJDP’s various activities</w:t>
      </w:r>
      <w:r>
        <w:rPr>
          <w:sz w:val="23"/>
          <w:szCs w:val="23"/>
        </w:rPr>
        <w:t xml:space="preserve">: </w:t>
      </w:r>
    </w:p>
    <w:p w14:paraId="37A33B71" w14:textId="297A7B6E" w:rsidR="00FA5960" w:rsidRPr="00DC0519" w:rsidRDefault="00FA5960" w:rsidP="00441E66">
      <w:pPr>
        <w:pStyle w:val="ListParagraph"/>
        <w:numPr>
          <w:ilvl w:val="0"/>
          <w:numId w:val="34"/>
        </w:numPr>
        <w:spacing w:before="80"/>
        <w:ind w:left="714" w:hanging="357"/>
        <w:rPr>
          <w:rFonts w:ascii="Arial Narrow" w:hAnsi="Arial Narrow" w:cs="Arial Narrow"/>
          <w:sz w:val="23"/>
          <w:szCs w:val="23"/>
        </w:rPr>
      </w:pPr>
      <w:r w:rsidRPr="00DC0519">
        <w:rPr>
          <w:rFonts w:ascii="Arial Narrow" w:hAnsi="Arial Narrow" w:cs="Arial Narrow"/>
          <w:sz w:val="23"/>
          <w:szCs w:val="23"/>
        </w:rPr>
        <w:lastRenderedPageBreak/>
        <w:t xml:space="preserve">The </w:t>
      </w:r>
      <w:r w:rsidR="0039412B" w:rsidRPr="00DC0519">
        <w:rPr>
          <w:rFonts w:ascii="Arial Narrow" w:hAnsi="Arial Narrow" w:cs="Arial Narrow"/>
          <w:sz w:val="23"/>
          <w:szCs w:val="23"/>
        </w:rPr>
        <w:t>Judicial Administration Project and the Court</w:t>
      </w:r>
      <w:r w:rsidR="001F0862" w:rsidRPr="00DC0519">
        <w:rPr>
          <w:rFonts w:ascii="Arial Narrow" w:hAnsi="Arial Narrow" w:cs="Arial Narrow"/>
          <w:sz w:val="23"/>
          <w:szCs w:val="23"/>
        </w:rPr>
        <w:t xml:space="preserve"> Annual</w:t>
      </w:r>
      <w:r w:rsidR="0039412B" w:rsidRPr="00DC0519">
        <w:rPr>
          <w:rFonts w:ascii="Arial Narrow" w:hAnsi="Arial Narrow" w:cs="Arial Narrow"/>
          <w:sz w:val="23"/>
          <w:szCs w:val="23"/>
        </w:rPr>
        <w:t xml:space="preserve"> Reporting Project</w:t>
      </w:r>
      <w:r w:rsidRPr="00DC0519">
        <w:rPr>
          <w:rFonts w:ascii="Arial Narrow" w:hAnsi="Arial Narrow" w:cs="Arial Narrow"/>
          <w:sz w:val="23"/>
          <w:szCs w:val="23"/>
        </w:rPr>
        <w:t xml:space="preserve">, through the </w:t>
      </w:r>
      <w:r w:rsidR="009437D6">
        <w:rPr>
          <w:rFonts w:ascii="Arial Narrow" w:hAnsi="Arial Narrow" w:cs="Arial Narrow"/>
          <w:sz w:val="23"/>
          <w:szCs w:val="23"/>
        </w:rPr>
        <w:t xml:space="preserve">            </w:t>
      </w:r>
      <w:r w:rsidRPr="00DC0519">
        <w:rPr>
          <w:rFonts w:ascii="Arial Narrow" w:hAnsi="Arial Narrow" w:cs="Arial Narrow"/>
          <w:sz w:val="23"/>
          <w:szCs w:val="23"/>
        </w:rPr>
        <w:t>Responsive Fund deliver</w:t>
      </w:r>
      <w:r w:rsidR="00A36092">
        <w:rPr>
          <w:rFonts w:ascii="Arial Narrow" w:hAnsi="Arial Narrow" w:cs="Arial Narrow"/>
          <w:sz w:val="23"/>
          <w:szCs w:val="23"/>
        </w:rPr>
        <w:t>ed</w:t>
      </w:r>
      <w:r w:rsidRPr="00DC0519">
        <w:rPr>
          <w:rFonts w:ascii="Arial Narrow" w:hAnsi="Arial Narrow" w:cs="Arial Narrow"/>
          <w:sz w:val="23"/>
          <w:szCs w:val="23"/>
        </w:rPr>
        <w:t xml:space="preserve"> a </w:t>
      </w:r>
      <w:r w:rsidR="004D5027" w:rsidRPr="00DC0519">
        <w:rPr>
          <w:rFonts w:ascii="Arial Narrow" w:hAnsi="Arial Narrow" w:cs="Arial Narrow"/>
          <w:sz w:val="23"/>
          <w:szCs w:val="23"/>
        </w:rPr>
        <w:t xml:space="preserve">workshop </w:t>
      </w:r>
      <w:r w:rsidRPr="00DC0519">
        <w:rPr>
          <w:rFonts w:ascii="Arial Narrow" w:hAnsi="Arial Narrow" w:cs="Arial Narrow"/>
          <w:sz w:val="23"/>
          <w:szCs w:val="23"/>
        </w:rPr>
        <w:t>on Time Standards and Court Annual Reporting in FSM</w:t>
      </w:r>
      <w:r w:rsidR="00B07B1F" w:rsidRPr="00DC0519">
        <w:rPr>
          <w:rFonts w:ascii="Arial Narrow" w:hAnsi="Arial Narrow" w:cs="Arial Narrow"/>
          <w:sz w:val="23"/>
          <w:szCs w:val="23"/>
        </w:rPr>
        <w:t xml:space="preserve"> resulting in both state and national courts adopting time standards an endeavouring to report against the 15 Cook Islands Indicators</w:t>
      </w:r>
      <w:r w:rsidRPr="00DC0519">
        <w:rPr>
          <w:rFonts w:ascii="Arial Narrow" w:hAnsi="Arial Narrow" w:cs="Arial Narrow"/>
          <w:sz w:val="23"/>
          <w:szCs w:val="23"/>
        </w:rPr>
        <w:t xml:space="preserve">. </w:t>
      </w:r>
    </w:p>
    <w:p w14:paraId="0C2C31C0" w14:textId="77777777" w:rsidR="00FA5960" w:rsidRPr="00DC0519" w:rsidRDefault="00FA5960" w:rsidP="00441E66">
      <w:pPr>
        <w:pStyle w:val="ListParagraph"/>
        <w:numPr>
          <w:ilvl w:val="0"/>
          <w:numId w:val="34"/>
        </w:numPr>
        <w:spacing w:before="80"/>
        <w:ind w:left="714" w:hanging="357"/>
        <w:rPr>
          <w:rFonts w:ascii="Arial Narrow" w:hAnsi="Arial Narrow" w:cs="Arial Narrow"/>
          <w:sz w:val="23"/>
          <w:szCs w:val="23"/>
        </w:rPr>
      </w:pPr>
      <w:r w:rsidRPr="00DC0519">
        <w:rPr>
          <w:rFonts w:ascii="Arial Narrow" w:hAnsi="Arial Narrow" w:cs="Arial Narrow"/>
          <w:sz w:val="23"/>
          <w:szCs w:val="23"/>
        </w:rPr>
        <w:t xml:space="preserve">The Judicial Administration Project and </w:t>
      </w:r>
      <w:r w:rsidR="004D5027" w:rsidRPr="00DC0519">
        <w:rPr>
          <w:rFonts w:ascii="Arial Narrow" w:hAnsi="Arial Narrow" w:cs="Arial Narrow"/>
          <w:sz w:val="23"/>
          <w:szCs w:val="23"/>
        </w:rPr>
        <w:t xml:space="preserve">the </w:t>
      </w:r>
      <w:r w:rsidRPr="00DC0519">
        <w:rPr>
          <w:rFonts w:ascii="Arial Narrow" w:hAnsi="Arial Narrow" w:cs="Arial Narrow"/>
          <w:sz w:val="23"/>
          <w:szCs w:val="23"/>
        </w:rPr>
        <w:t xml:space="preserve">Responsive Fund </w:t>
      </w:r>
      <w:r w:rsidR="004D5027" w:rsidRPr="00DC0519">
        <w:rPr>
          <w:rFonts w:ascii="Arial Narrow" w:hAnsi="Arial Narrow" w:cs="Arial Narrow"/>
          <w:sz w:val="23"/>
          <w:szCs w:val="23"/>
        </w:rPr>
        <w:t xml:space="preserve">coordinating support on the implementation of </w:t>
      </w:r>
      <w:r w:rsidRPr="00DC0519">
        <w:rPr>
          <w:rFonts w:ascii="Arial Narrow" w:hAnsi="Arial Narrow" w:cs="Arial Narrow"/>
          <w:sz w:val="23"/>
          <w:szCs w:val="23"/>
        </w:rPr>
        <w:t xml:space="preserve">the International Framework for Court Excellence </w:t>
      </w:r>
      <w:r w:rsidR="004D5027" w:rsidRPr="00DC0519">
        <w:rPr>
          <w:rFonts w:ascii="Arial Narrow" w:hAnsi="Arial Narrow" w:cs="Arial Narrow"/>
          <w:sz w:val="23"/>
          <w:szCs w:val="23"/>
        </w:rPr>
        <w:t xml:space="preserve">(IFCE) </w:t>
      </w:r>
      <w:r w:rsidRPr="00DC0519">
        <w:rPr>
          <w:rFonts w:ascii="Arial Narrow" w:hAnsi="Arial Narrow" w:cs="Arial Narrow"/>
          <w:sz w:val="23"/>
          <w:szCs w:val="23"/>
        </w:rPr>
        <w:t>in the Marshall Islands</w:t>
      </w:r>
      <w:r w:rsidR="005E6AD5" w:rsidRPr="00DC0519">
        <w:rPr>
          <w:rFonts w:ascii="Arial Narrow" w:hAnsi="Arial Narrow" w:cs="Arial Narrow"/>
          <w:sz w:val="23"/>
          <w:szCs w:val="23"/>
        </w:rPr>
        <w:t xml:space="preserve"> </w:t>
      </w:r>
      <w:r w:rsidR="004D5027" w:rsidRPr="00DC0519">
        <w:rPr>
          <w:rFonts w:ascii="Arial Narrow" w:hAnsi="Arial Narrow" w:cs="Arial Narrow"/>
          <w:sz w:val="23"/>
          <w:szCs w:val="23"/>
        </w:rPr>
        <w:t xml:space="preserve">and </w:t>
      </w:r>
      <w:r w:rsidR="005E6AD5" w:rsidRPr="00DC0519">
        <w:rPr>
          <w:rFonts w:ascii="Arial Narrow" w:hAnsi="Arial Narrow" w:cs="Arial Narrow"/>
          <w:sz w:val="23"/>
          <w:szCs w:val="23"/>
        </w:rPr>
        <w:t xml:space="preserve">the </w:t>
      </w:r>
      <w:r w:rsidR="004D5027" w:rsidRPr="00DC0519">
        <w:rPr>
          <w:rFonts w:ascii="Arial Narrow" w:hAnsi="Arial Narrow" w:cs="Arial Narrow"/>
          <w:sz w:val="23"/>
          <w:szCs w:val="23"/>
        </w:rPr>
        <w:t xml:space="preserve">incorporation of the IFCE </w:t>
      </w:r>
      <w:r w:rsidR="00EB22C3" w:rsidRPr="00DC0519">
        <w:rPr>
          <w:rFonts w:ascii="Arial Narrow" w:hAnsi="Arial Narrow" w:cs="Arial Narrow"/>
          <w:sz w:val="23"/>
          <w:szCs w:val="23"/>
        </w:rPr>
        <w:t>into th</w:t>
      </w:r>
      <w:r w:rsidR="00650570">
        <w:rPr>
          <w:rFonts w:ascii="Arial Narrow" w:hAnsi="Arial Narrow" w:cs="Arial Narrow"/>
          <w:sz w:val="23"/>
          <w:szCs w:val="23"/>
        </w:rPr>
        <w:t>e</w:t>
      </w:r>
      <w:r w:rsidR="00EB22C3" w:rsidRPr="00DC0519">
        <w:rPr>
          <w:rFonts w:ascii="Arial Narrow" w:hAnsi="Arial Narrow" w:cs="Arial Narrow"/>
          <w:sz w:val="23"/>
          <w:szCs w:val="23"/>
        </w:rPr>
        <w:t xml:space="preserve"> </w:t>
      </w:r>
      <w:r w:rsidR="00650570">
        <w:rPr>
          <w:rFonts w:ascii="Arial Narrow" w:hAnsi="Arial Narrow" w:cs="Arial Narrow"/>
          <w:sz w:val="23"/>
          <w:szCs w:val="23"/>
        </w:rPr>
        <w:t>High C</w:t>
      </w:r>
      <w:r w:rsidR="00EB22C3" w:rsidRPr="00DC0519">
        <w:rPr>
          <w:rFonts w:ascii="Arial Narrow" w:hAnsi="Arial Narrow" w:cs="Arial Narrow"/>
          <w:sz w:val="23"/>
          <w:szCs w:val="23"/>
        </w:rPr>
        <w:t xml:space="preserve">ourt’s </w:t>
      </w:r>
      <w:r w:rsidR="005E6AD5" w:rsidRPr="00DC0519">
        <w:rPr>
          <w:rFonts w:ascii="Arial Narrow" w:hAnsi="Arial Narrow" w:cs="Arial Narrow"/>
          <w:i/>
          <w:sz w:val="23"/>
          <w:szCs w:val="23"/>
        </w:rPr>
        <w:t>Court Improvement Plan</w:t>
      </w:r>
      <w:r w:rsidR="005E6AD5" w:rsidRPr="00DC0519">
        <w:rPr>
          <w:rFonts w:ascii="Arial Narrow" w:hAnsi="Arial Narrow" w:cs="Arial Narrow"/>
          <w:sz w:val="23"/>
          <w:szCs w:val="23"/>
        </w:rPr>
        <w:t>.</w:t>
      </w:r>
    </w:p>
    <w:p w14:paraId="167D421C" w14:textId="77777777" w:rsidR="00FA5960" w:rsidRPr="00DC0519" w:rsidRDefault="00EB22C3" w:rsidP="00441E66">
      <w:pPr>
        <w:pStyle w:val="ListParagraph"/>
        <w:numPr>
          <w:ilvl w:val="0"/>
          <w:numId w:val="34"/>
        </w:numPr>
        <w:spacing w:before="80"/>
        <w:ind w:left="714" w:hanging="357"/>
        <w:rPr>
          <w:rFonts w:ascii="Arial Narrow" w:hAnsi="Arial Narrow" w:cs="Arial Narrow"/>
          <w:sz w:val="23"/>
          <w:szCs w:val="23"/>
        </w:rPr>
      </w:pPr>
      <w:r w:rsidRPr="00DC0519">
        <w:rPr>
          <w:rFonts w:ascii="Arial Narrow" w:hAnsi="Arial Narrow" w:cs="Arial Narrow"/>
          <w:sz w:val="23"/>
          <w:szCs w:val="23"/>
        </w:rPr>
        <w:t xml:space="preserve">Incorporation of detailed discussions on family violence (in particular the </w:t>
      </w:r>
      <w:r w:rsidR="00FA5960" w:rsidRPr="00DC0519">
        <w:rPr>
          <w:rFonts w:ascii="Arial Narrow" w:hAnsi="Arial Narrow" w:cs="Arial Narrow"/>
          <w:sz w:val="23"/>
          <w:szCs w:val="23"/>
        </w:rPr>
        <w:t>Family Violence Act</w:t>
      </w:r>
      <w:r w:rsidRPr="00DC0519">
        <w:rPr>
          <w:rFonts w:ascii="Arial Narrow" w:hAnsi="Arial Narrow" w:cs="Arial Narrow"/>
          <w:sz w:val="23"/>
          <w:szCs w:val="23"/>
        </w:rPr>
        <w:t>)</w:t>
      </w:r>
      <w:r w:rsidR="00FA5960" w:rsidRPr="00DC0519">
        <w:rPr>
          <w:rFonts w:ascii="Arial Narrow" w:hAnsi="Arial Narrow" w:cs="Arial Narrow"/>
          <w:sz w:val="23"/>
          <w:szCs w:val="23"/>
        </w:rPr>
        <w:t xml:space="preserve"> </w:t>
      </w:r>
      <w:r w:rsidRPr="00DC0519">
        <w:rPr>
          <w:rFonts w:ascii="Arial Narrow" w:hAnsi="Arial Narrow" w:cs="Arial Narrow"/>
          <w:sz w:val="23"/>
          <w:szCs w:val="23"/>
        </w:rPr>
        <w:t xml:space="preserve">as part of the piloting of the </w:t>
      </w:r>
      <w:r w:rsidRPr="00DC0519">
        <w:rPr>
          <w:rFonts w:ascii="Arial Narrow" w:hAnsi="Arial Narrow" w:cs="Arial Narrow"/>
          <w:i/>
          <w:sz w:val="23"/>
          <w:szCs w:val="23"/>
        </w:rPr>
        <w:t xml:space="preserve">Local </w:t>
      </w:r>
      <w:r w:rsidR="00FA5960" w:rsidRPr="00DC0519">
        <w:rPr>
          <w:rFonts w:ascii="Arial Narrow" w:hAnsi="Arial Narrow" w:cs="Arial Narrow"/>
          <w:i/>
          <w:sz w:val="23"/>
          <w:szCs w:val="23"/>
        </w:rPr>
        <w:t xml:space="preserve">Orientation Training </w:t>
      </w:r>
      <w:r w:rsidRPr="00DC0519">
        <w:rPr>
          <w:rFonts w:ascii="Arial Narrow" w:hAnsi="Arial Narrow" w:cs="Arial Narrow"/>
          <w:i/>
          <w:sz w:val="23"/>
          <w:szCs w:val="23"/>
        </w:rPr>
        <w:t>Toolkit</w:t>
      </w:r>
      <w:r w:rsidRPr="00DC0519">
        <w:rPr>
          <w:rFonts w:ascii="Arial Narrow" w:hAnsi="Arial Narrow" w:cs="Arial Narrow"/>
          <w:sz w:val="23"/>
          <w:szCs w:val="23"/>
        </w:rPr>
        <w:t xml:space="preserve"> </w:t>
      </w:r>
      <w:r w:rsidR="00FA5960" w:rsidRPr="00DC0519">
        <w:rPr>
          <w:rFonts w:ascii="Arial Narrow" w:hAnsi="Arial Narrow" w:cs="Arial Narrow"/>
          <w:sz w:val="23"/>
          <w:szCs w:val="23"/>
        </w:rPr>
        <w:t>in FSM</w:t>
      </w:r>
      <w:r w:rsidRPr="00DC0519">
        <w:rPr>
          <w:rFonts w:ascii="Arial Narrow" w:hAnsi="Arial Narrow" w:cs="Arial Narrow"/>
          <w:sz w:val="23"/>
          <w:szCs w:val="23"/>
        </w:rPr>
        <w:t>.</w:t>
      </w:r>
    </w:p>
    <w:p w14:paraId="5E5DD7DB" w14:textId="77777777" w:rsidR="001D29E6" w:rsidRPr="00DC0519" w:rsidRDefault="001D29E6" w:rsidP="00441E66">
      <w:pPr>
        <w:pStyle w:val="ListParagraph"/>
        <w:numPr>
          <w:ilvl w:val="0"/>
          <w:numId w:val="34"/>
        </w:numPr>
        <w:spacing w:before="80"/>
        <w:ind w:left="714" w:hanging="357"/>
        <w:rPr>
          <w:rFonts w:ascii="Arial Narrow" w:hAnsi="Arial Narrow" w:cs="Arial Narrow"/>
          <w:sz w:val="23"/>
          <w:szCs w:val="23"/>
        </w:rPr>
      </w:pPr>
      <w:r w:rsidRPr="00DC0519">
        <w:rPr>
          <w:rFonts w:ascii="Arial Narrow" w:hAnsi="Arial Narrow" w:cs="Arial Narrow"/>
          <w:sz w:val="23"/>
          <w:szCs w:val="23"/>
        </w:rPr>
        <w:t>The Enabling Rights Toolkit and the Public Information Projects to develop a coordinated response to court engagement with end-users.</w:t>
      </w:r>
    </w:p>
    <w:p w14:paraId="512EC26D" w14:textId="77777777" w:rsidR="00A736F5" w:rsidRPr="00DC0519" w:rsidRDefault="001D29E6" w:rsidP="00441E66">
      <w:pPr>
        <w:pStyle w:val="ListParagraph"/>
        <w:numPr>
          <w:ilvl w:val="0"/>
          <w:numId w:val="34"/>
        </w:numPr>
        <w:spacing w:before="80"/>
        <w:ind w:left="714" w:hanging="357"/>
        <w:rPr>
          <w:rFonts w:ascii="Arial Narrow" w:hAnsi="Arial Narrow" w:cs="Arial Narrow"/>
          <w:sz w:val="23"/>
          <w:szCs w:val="23"/>
        </w:rPr>
      </w:pPr>
      <w:r w:rsidRPr="00DC0519">
        <w:rPr>
          <w:rFonts w:ascii="Arial Narrow" w:hAnsi="Arial Narrow" w:cs="Arial Narrow"/>
          <w:sz w:val="23"/>
          <w:szCs w:val="23"/>
        </w:rPr>
        <w:t xml:space="preserve">Links </w:t>
      </w:r>
      <w:r w:rsidR="00FA5960" w:rsidRPr="00DC0519">
        <w:rPr>
          <w:rFonts w:ascii="Arial Narrow" w:hAnsi="Arial Narrow" w:cs="Arial Narrow"/>
          <w:sz w:val="23"/>
          <w:szCs w:val="23"/>
        </w:rPr>
        <w:t xml:space="preserve">between </w:t>
      </w:r>
      <w:r w:rsidR="00A736F5" w:rsidRPr="00DC0519">
        <w:rPr>
          <w:rFonts w:ascii="Arial Narrow" w:hAnsi="Arial Narrow" w:cs="Arial Narrow"/>
          <w:sz w:val="23"/>
          <w:szCs w:val="23"/>
        </w:rPr>
        <w:t xml:space="preserve">various toolkits, in particular the: </w:t>
      </w:r>
    </w:p>
    <w:p w14:paraId="09E5AF96" w14:textId="77777777" w:rsidR="00C121A5" w:rsidRPr="00DC0519" w:rsidRDefault="00A736F5" w:rsidP="00C121A5">
      <w:pPr>
        <w:numPr>
          <w:ilvl w:val="0"/>
          <w:numId w:val="59"/>
        </w:numPr>
        <w:ind w:left="1134" w:hanging="283"/>
        <w:rPr>
          <w:sz w:val="23"/>
          <w:szCs w:val="23"/>
        </w:rPr>
      </w:pPr>
      <w:r w:rsidRPr="00DC0519">
        <w:rPr>
          <w:i/>
          <w:sz w:val="23"/>
          <w:szCs w:val="23"/>
        </w:rPr>
        <w:t>Local Orientation Training</w:t>
      </w:r>
      <w:r w:rsidRPr="00DC0519">
        <w:rPr>
          <w:sz w:val="23"/>
          <w:szCs w:val="23"/>
        </w:rPr>
        <w:t xml:space="preserve"> and the </w:t>
      </w:r>
      <w:r w:rsidRPr="00DC0519">
        <w:rPr>
          <w:i/>
          <w:sz w:val="23"/>
          <w:szCs w:val="23"/>
        </w:rPr>
        <w:t>Trainer’s Toolkits</w:t>
      </w:r>
      <w:r w:rsidR="00C121A5" w:rsidRPr="00DC0519">
        <w:rPr>
          <w:sz w:val="23"/>
          <w:szCs w:val="23"/>
        </w:rPr>
        <w:t>;</w:t>
      </w:r>
      <w:r w:rsidRPr="00DC0519">
        <w:rPr>
          <w:sz w:val="23"/>
          <w:szCs w:val="23"/>
        </w:rPr>
        <w:t xml:space="preserve"> </w:t>
      </w:r>
    </w:p>
    <w:p w14:paraId="4B8DB4C1" w14:textId="77777777" w:rsidR="00C121A5" w:rsidRPr="00DC0519" w:rsidRDefault="00C121A5" w:rsidP="00C121A5">
      <w:pPr>
        <w:numPr>
          <w:ilvl w:val="0"/>
          <w:numId w:val="59"/>
        </w:numPr>
        <w:ind w:left="1134" w:hanging="283"/>
        <w:rPr>
          <w:sz w:val="23"/>
          <w:szCs w:val="23"/>
        </w:rPr>
      </w:pPr>
      <w:r w:rsidRPr="00DC0519">
        <w:rPr>
          <w:i/>
          <w:sz w:val="23"/>
          <w:szCs w:val="23"/>
        </w:rPr>
        <w:t>NJDC</w:t>
      </w:r>
      <w:r w:rsidRPr="00DC0519">
        <w:rPr>
          <w:rFonts w:cs="Arial"/>
          <w:i/>
          <w:sz w:val="23"/>
          <w:szCs w:val="23"/>
        </w:rPr>
        <w:t xml:space="preserve"> Professional Developmen</w:t>
      </w:r>
      <w:r w:rsidR="003251B0">
        <w:rPr>
          <w:rFonts w:cs="Arial"/>
          <w:i/>
          <w:sz w:val="23"/>
          <w:szCs w:val="23"/>
        </w:rPr>
        <w:t xml:space="preserve">t, </w:t>
      </w:r>
      <w:r w:rsidRPr="00DC0519">
        <w:rPr>
          <w:i/>
          <w:sz w:val="23"/>
          <w:szCs w:val="23"/>
        </w:rPr>
        <w:t>Trainer’s, and Project Management Toolkits</w:t>
      </w:r>
      <w:r w:rsidRPr="00DC0519">
        <w:rPr>
          <w:sz w:val="23"/>
          <w:szCs w:val="23"/>
        </w:rPr>
        <w:t>; and</w:t>
      </w:r>
    </w:p>
    <w:p w14:paraId="165C30D9" w14:textId="77777777" w:rsidR="00FA5960" w:rsidRPr="00DC0519" w:rsidRDefault="00C121A5" w:rsidP="00DC0519">
      <w:pPr>
        <w:numPr>
          <w:ilvl w:val="0"/>
          <w:numId w:val="59"/>
        </w:numPr>
        <w:ind w:left="1134" w:hanging="283"/>
        <w:rPr>
          <w:sz w:val="23"/>
          <w:szCs w:val="23"/>
        </w:rPr>
      </w:pPr>
      <w:r w:rsidRPr="00DC0519">
        <w:rPr>
          <w:i/>
          <w:sz w:val="23"/>
          <w:szCs w:val="23"/>
        </w:rPr>
        <w:t xml:space="preserve">Codes of Judicial Conduct </w:t>
      </w:r>
      <w:r w:rsidRPr="00DC0519">
        <w:rPr>
          <w:sz w:val="23"/>
          <w:szCs w:val="23"/>
        </w:rPr>
        <w:t>and</w:t>
      </w:r>
      <w:r w:rsidRPr="00DC0519">
        <w:rPr>
          <w:i/>
          <w:sz w:val="23"/>
          <w:szCs w:val="23"/>
        </w:rPr>
        <w:t xml:space="preserve"> Complaints Handling Toolkits.</w:t>
      </w:r>
    </w:p>
    <w:p w14:paraId="69CABB6A" w14:textId="77777777" w:rsidR="0039412B" w:rsidRPr="001D29E6" w:rsidRDefault="0039412B" w:rsidP="00DD37EC">
      <w:pPr>
        <w:rPr>
          <w:sz w:val="23"/>
          <w:szCs w:val="23"/>
        </w:rPr>
      </w:pPr>
    </w:p>
    <w:p w14:paraId="2184AF65" w14:textId="77777777" w:rsidR="00043937" w:rsidRPr="00043937" w:rsidRDefault="00043937" w:rsidP="00043937">
      <w:pPr>
        <w:pStyle w:val="Heading1"/>
        <w:numPr>
          <w:ilvl w:val="0"/>
          <w:numId w:val="3"/>
        </w:numPr>
        <w:spacing w:before="120"/>
        <w:ind w:hanging="720"/>
        <w:rPr>
          <w:lang w:val="en-AU"/>
        </w:rPr>
      </w:pPr>
      <w:bookmarkStart w:id="48" w:name="_Toc391469734"/>
      <w:r w:rsidRPr="00CF58A2">
        <w:t xml:space="preserve">Breakdown of Participants </w:t>
      </w:r>
      <w:r w:rsidR="008B2D4F" w:rsidRPr="00CF58A2">
        <w:t xml:space="preserve">Supported </w:t>
      </w:r>
      <w:r w:rsidRPr="00CF58A2">
        <w:t xml:space="preserve">by </w:t>
      </w:r>
      <w:r w:rsidR="00AF22A3">
        <w:t xml:space="preserve">the </w:t>
      </w:r>
      <w:r w:rsidRPr="00CF58A2">
        <w:t>PJDP</w:t>
      </w:r>
      <w:bookmarkEnd w:id="48"/>
    </w:p>
    <w:p w14:paraId="7A498004" w14:textId="77777777" w:rsidR="00043937" w:rsidRPr="006B4B1F" w:rsidRDefault="00043937" w:rsidP="007529E8">
      <w:pPr>
        <w:rPr>
          <w:sz w:val="23"/>
          <w:szCs w:val="23"/>
        </w:rPr>
      </w:pPr>
    </w:p>
    <w:p w14:paraId="70C120D9" w14:textId="77777777" w:rsidR="006B4B1F" w:rsidRDefault="000E056A" w:rsidP="00E96A71">
      <w:pPr>
        <w:rPr>
          <w:rFonts w:eastAsia="MS Mincho"/>
          <w:sz w:val="23"/>
          <w:szCs w:val="23"/>
          <w:lang w:eastAsia="en-US"/>
        </w:rPr>
      </w:pPr>
      <w:r>
        <w:rPr>
          <w:rFonts w:eastAsia="MS Mincho"/>
          <w:sz w:val="23"/>
          <w:szCs w:val="23"/>
          <w:lang w:eastAsia="en-US"/>
        </w:rPr>
        <w:t>From</w:t>
      </w:r>
      <w:r w:rsidR="00E96A71" w:rsidRPr="006B4B1F">
        <w:rPr>
          <w:rFonts w:eastAsia="MS Mincho"/>
          <w:sz w:val="23"/>
          <w:szCs w:val="23"/>
          <w:lang w:eastAsia="en-US"/>
        </w:rPr>
        <w:t xml:space="preserve"> 12 months since the commencement of the </w:t>
      </w:r>
      <w:r w:rsidR="00E96A71" w:rsidRPr="006B4B1F">
        <w:rPr>
          <w:rFonts w:cs="Calibri"/>
          <w:iCs/>
          <w:sz w:val="23"/>
          <w:szCs w:val="23"/>
        </w:rPr>
        <w:t xml:space="preserve">24-month extension period a total of </w:t>
      </w:r>
      <w:r w:rsidR="00E96A71" w:rsidRPr="006B4B1F">
        <w:rPr>
          <w:bCs/>
          <w:iCs/>
          <w:sz w:val="23"/>
          <w:szCs w:val="23"/>
          <w:lang w:eastAsia="ja-JP"/>
        </w:rPr>
        <w:t>546 participants</w:t>
      </w:r>
      <w:r w:rsidR="00DF7CD7">
        <w:rPr>
          <w:rStyle w:val="FootnoteReference"/>
          <w:bCs/>
          <w:iCs/>
          <w:sz w:val="23"/>
          <w:szCs w:val="23"/>
          <w:lang w:eastAsia="ja-JP"/>
        </w:rPr>
        <w:footnoteReference w:id="3"/>
      </w:r>
      <w:r w:rsidR="00E96A71" w:rsidRPr="006B4B1F">
        <w:rPr>
          <w:bCs/>
          <w:iCs/>
          <w:sz w:val="23"/>
          <w:szCs w:val="23"/>
          <w:lang w:eastAsia="ja-JP"/>
        </w:rPr>
        <w:t xml:space="preserve"> have been involved in PJDP activities or received the support of the programme</w:t>
      </w:r>
      <w:r w:rsidR="00DF7CD7">
        <w:rPr>
          <w:bCs/>
          <w:iCs/>
          <w:sz w:val="23"/>
          <w:szCs w:val="23"/>
          <w:lang w:eastAsia="ja-JP"/>
        </w:rPr>
        <w:t xml:space="preserve">, broken down as follows: </w:t>
      </w:r>
      <w:r w:rsidR="00E96A71" w:rsidRPr="006B4B1F">
        <w:rPr>
          <w:rFonts w:eastAsia="MS Mincho"/>
          <w:sz w:val="23"/>
          <w:szCs w:val="23"/>
          <w:lang w:eastAsia="en-US"/>
        </w:rPr>
        <w:t xml:space="preserve">  </w:t>
      </w:r>
    </w:p>
    <w:p w14:paraId="3C16075D" w14:textId="77777777" w:rsidR="00CD2F38" w:rsidRDefault="00CD2F38" w:rsidP="00B51A47">
      <w:pPr>
        <w:rPr>
          <w:rFonts w:eastAsia="MS Mincho"/>
          <w:sz w:val="23"/>
          <w:szCs w:val="23"/>
          <w:lang w:eastAsia="en-US"/>
        </w:rPr>
      </w:pPr>
    </w:p>
    <w:tbl>
      <w:tblPr>
        <w:tblW w:w="8868" w:type="dxa"/>
        <w:tblInd w:w="284" w:type="dxa"/>
        <w:tblCellMar>
          <w:left w:w="0" w:type="dxa"/>
          <w:right w:w="0" w:type="dxa"/>
        </w:tblCellMar>
        <w:tblLook w:val="04A0" w:firstRow="1" w:lastRow="0" w:firstColumn="1" w:lastColumn="0" w:noHBand="0" w:noVBand="1"/>
      </w:tblPr>
      <w:tblGrid>
        <w:gridCol w:w="3969"/>
        <w:gridCol w:w="1120"/>
        <w:gridCol w:w="1120"/>
        <w:gridCol w:w="1197"/>
        <w:gridCol w:w="1462"/>
      </w:tblGrid>
      <w:tr w:rsidR="00B51A47" w:rsidRPr="00B51A47" w14:paraId="718440BF" w14:textId="77777777" w:rsidTr="00D07AB9">
        <w:tc>
          <w:tcPr>
            <w:tcW w:w="3969" w:type="dxa"/>
            <w:tcBorders>
              <w:top w:val="single" w:sz="4" w:space="0" w:color="auto"/>
              <w:left w:val="nil"/>
              <w:bottom w:val="single" w:sz="4" w:space="0" w:color="auto"/>
              <w:right w:val="single" w:sz="4" w:space="0" w:color="auto"/>
            </w:tcBorders>
            <w:shd w:val="clear" w:color="auto" w:fill="DBE5F1"/>
            <w:tcMar>
              <w:top w:w="0" w:type="dxa"/>
              <w:left w:w="108" w:type="dxa"/>
              <w:bottom w:w="0" w:type="dxa"/>
              <w:right w:w="108" w:type="dxa"/>
            </w:tcMar>
            <w:vAlign w:val="center"/>
            <w:hideMark/>
          </w:tcPr>
          <w:p w14:paraId="34254F3B" w14:textId="77777777" w:rsidR="00B51A47" w:rsidRPr="004357AC" w:rsidRDefault="00B51A47" w:rsidP="00441E66">
            <w:pPr>
              <w:spacing w:before="60" w:after="60"/>
              <w:rPr>
                <w:b/>
                <w:bCs/>
                <w:sz w:val="23"/>
                <w:szCs w:val="23"/>
                <w:lang w:eastAsia="ja-JP"/>
              </w:rPr>
            </w:pPr>
            <w:r w:rsidRPr="004357AC">
              <w:rPr>
                <w:b/>
                <w:bCs/>
                <w:sz w:val="23"/>
                <w:szCs w:val="23"/>
                <w:lang w:eastAsia="ja-JP"/>
              </w:rPr>
              <w:t>Activity</w:t>
            </w:r>
          </w:p>
        </w:tc>
        <w:tc>
          <w:tcPr>
            <w:tcW w:w="1120" w:type="dxa"/>
            <w:tcBorders>
              <w:top w:val="single" w:sz="4"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vAlign w:val="center"/>
            <w:hideMark/>
          </w:tcPr>
          <w:p w14:paraId="165D591C" w14:textId="77777777" w:rsidR="00B51A47" w:rsidRPr="004357AC" w:rsidRDefault="00B51A47" w:rsidP="00441E66">
            <w:pPr>
              <w:spacing w:before="60" w:after="60"/>
              <w:jc w:val="center"/>
              <w:rPr>
                <w:b/>
                <w:bCs/>
                <w:sz w:val="23"/>
                <w:szCs w:val="23"/>
                <w:lang w:eastAsia="ja-JP"/>
              </w:rPr>
            </w:pPr>
            <w:r w:rsidRPr="004357AC">
              <w:rPr>
                <w:b/>
                <w:bCs/>
                <w:sz w:val="23"/>
                <w:szCs w:val="23"/>
                <w:lang w:eastAsia="ja-JP"/>
              </w:rPr>
              <w:t>Judicial Officers</w:t>
            </w:r>
          </w:p>
        </w:tc>
        <w:tc>
          <w:tcPr>
            <w:tcW w:w="1120" w:type="dxa"/>
            <w:tcBorders>
              <w:top w:val="single" w:sz="4"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vAlign w:val="center"/>
            <w:hideMark/>
          </w:tcPr>
          <w:p w14:paraId="16305660" w14:textId="77777777" w:rsidR="00B51A47" w:rsidRPr="004357AC" w:rsidRDefault="00B51A47" w:rsidP="00441E66">
            <w:pPr>
              <w:spacing w:before="60" w:after="60"/>
              <w:jc w:val="center"/>
              <w:rPr>
                <w:b/>
                <w:bCs/>
                <w:sz w:val="23"/>
                <w:szCs w:val="23"/>
                <w:lang w:eastAsia="ja-JP"/>
              </w:rPr>
            </w:pPr>
            <w:r w:rsidRPr="004357AC">
              <w:rPr>
                <w:b/>
                <w:bCs/>
                <w:sz w:val="23"/>
                <w:szCs w:val="23"/>
                <w:lang w:eastAsia="ja-JP"/>
              </w:rPr>
              <w:t>Court Officers</w:t>
            </w:r>
          </w:p>
        </w:tc>
        <w:tc>
          <w:tcPr>
            <w:tcW w:w="1197" w:type="dxa"/>
            <w:tcBorders>
              <w:top w:val="single" w:sz="4"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vAlign w:val="center"/>
            <w:hideMark/>
          </w:tcPr>
          <w:p w14:paraId="576E5420" w14:textId="77777777" w:rsidR="00B51A47" w:rsidRPr="004357AC" w:rsidRDefault="00B51A47" w:rsidP="00441E66">
            <w:pPr>
              <w:spacing w:before="60" w:after="60"/>
              <w:jc w:val="center"/>
              <w:rPr>
                <w:b/>
                <w:bCs/>
                <w:sz w:val="23"/>
                <w:szCs w:val="23"/>
                <w:lang w:eastAsia="ja-JP"/>
              </w:rPr>
            </w:pPr>
            <w:r w:rsidRPr="004357AC">
              <w:rPr>
                <w:b/>
                <w:bCs/>
                <w:sz w:val="23"/>
                <w:szCs w:val="23"/>
                <w:lang w:eastAsia="ja-JP"/>
              </w:rPr>
              <w:t>Other</w:t>
            </w:r>
          </w:p>
          <w:p w14:paraId="3E9E32C1" w14:textId="77777777" w:rsidR="00B51A47" w:rsidRPr="004357AC" w:rsidRDefault="00B51A47" w:rsidP="00441E66">
            <w:pPr>
              <w:spacing w:before="60" w:after="60"/>
              <w:jc w:val="center"/>
              <w:rPr>
                <w:b/>
                <w:bCs/>
                <w:sz w:val="23"/>
                <w:szCs w:val="23"/>
                <w:lang w:eastAsia="ja-JP"/>
              </w:rPr>
            </w:pPr>
            <w:r w:rsidRPr="004357AC">
              <w:rPr>
                <w:b/>
                <w:bCs/>
                <w:sz w:val="23"/>
                <w:szCs w:val="23"/>
                <w:lang w:eastAsia="ja-JP"/>
              </w:rPr>
              <w:t>Roles</w:t>
            </w:r>
          </w:p>
        </w:tc>
        <w:tc>
          <w:tcPr>
            <w:tcW w:w="1462" w:type="dxa"/>
            <w:tcBorders>
              <w:top w:val="single" w:sz="4" w:space="0" w:color="auto"/>
              <w:left w:val="single" w:sz="4" w:space="0" w:color="auto"/>
              <w:bottom w:val="single" w:sz="4" w:space="0" w:color="auto"/>
              <w:right w:val="nil"/>
            </w:tcBorders>
            <w:shd w:val="clear" w:color="auto" w:fill="DBE5F1"/>
            <w:tcMar>
              <w:top w:w="0" w:type="dxa"/>
              <w:left w:w="108" w:type="dxa"/>
              <w:bottom w:w="0" w:type="dxa"/>
              <w:right w:w="108" w:type="dxa"/>
            </w:tcMar>
            <w:vAlign w:val="center"/>
            <w:hideMark/>
          </w:tcPr>
          <w:p w14:paraId="560DFBDD" w14:textId="77777777" w:rsidR="00B51A47" w:rsidRPr="004357AC" w:rsidRDefault="00B51A47" w:rsidP="00441E66">
            <w:pPr>
              <w:spacing w:before="60" w:after="60"/>
              <w:jc w:val="center"/>
              <w:rPr>
                <w:b/>
                <w:bCs/>
                <w:sz w:val="23"/>
                <w:szCs w:val="23"/>
                <w:lang w:eastAsia="ja-JP"/>
              </w:rPr>
            </w:pPr>
            <w:r w:rsidRPr="004357AC">
              <w:rPr>
                <w:b/>
                <w:bCs/>
                <w:sz w:val="23"/>
                <w:szCs w:val="23"/>
                <w:lang w:eastAsia="ja-JP"/>
              </w:rPr>
              <w:t>Total No. of Participants</w:t>
            </w:r>
          </w:p>
        </w:tc>
      </w:tr>
      <w:tr w:rsidR="00B51A47" w:rsidRPr="00B51A47" w14:paraId="662F9F23" w14:textId="77777777" w:rsidTr="00D07AB9">
        <w:tc>
          <w:tcPr>
            <w:tcW w:w="3969" w:type="dxa"/>
            <w:tcBorders>
              <w:top w:val="single" w:sz="4" w:space="0" w:color="auto"/>
              <w:bottom w:val="dotted" w:sz="4" w:space="0" w:color="auto"/>
              <w:right w:val="dotted" w:sz="4" w:space="0" w:color="auto"/>
            </w:tcBorders>
            <w:tcMar>
              <w:top w:w="0" w:type="dxa"/>
              <w:left w:w="108" w:type="dxa"/>
              <w:bottom w:w="0" w:type="dxa"/>
              <w:right w:w="108" w:type="dxa"/>
            </w:tcMar>
            <w:vAlign w:val="center"/>
            <w:hideMark/>
          </w:tcPr>
          <w:p w14:paraId="79B4DC10" w14:textId="77777777" w:rsidR="00B51A47" w:rsidRPr="004357AC" w:rsidRDefault="00B51A47" w:rsidP="00B51A47">
            <w:pPr>
              <w:spacing w:before="40" w:after="20"/>
              <w:ind w:left="175"/>
              <w:rPr>
                <w:lang w:eastAsia="ja-JP"/>
              </w:rPr>
            </w:pPr>
            <w:r w:rsidRPr="004357AC">
              <w:rPr>
                <w:sz w:val="22"/>
                <w:szCs w:val="22"/>
                <w:lang w:eastAsia="ja-JP"/>
              </w:rPr>
              <w:t>Governance &amp; Leadership Activities:</w:t>
            </w:r>
          </w:p>
        </w:tc>
        <w:tc>
          <w:tcPr>
            <w:tcW w:w="1120" w:type="dxa"/>
            <w:tcBorders>
              <w:top w:val="single"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hideMark/>
          </w:tcPr>
          <w:p w14:paraId="2A6B5B9B" w14:textId="77777777" w:rsidR="00B51A47" w:rsidRPr="004357AC" w:rsidRDefault="00B51A47" w:rsidP="00B51A47">
            <w:pPr>
              <w:spacing w:before="40" w:after="20"/>
              <w:jc w:val="center"/>
              <w:rPr>
                <w:lang w:eastAsia="ja-JP"/>
              </w:rPr>
            </w:pPr>
            <w:r w:rsidRPr="004357AC">
              <w:rPr>
                <w:sz w:val="22"/>
                <w:szCs w:val="22"/>
                <w:lang w:eastAsia="ja-JP"/>
              </w:rPr>
              <w:t>43</w:t>
            </w:r>
          </w:p>
        </w:tc>
        <w:tc>
          <w:tcPr>
            <w:tcW w:w="1120" w:type="dxa"/>
            <w:tcBorders>
              <w:top w:val="single"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hideMark/>
          </w:tcPr>
          <w:p w14:paraId="73A624A5" w14:textId="77777777" w:rsidR="00B51A47" w:rsidRPr="004357AC" w:rsidRDefault="00B51A47" w:rsidP="00B51A47">
            <w:pPr>
              <w:spacing w:before="40" w:after="20"/>
              <w:jc w:val="center"/>
              <w:rPr>
                <w:lang w:eastAsia="ja-JP"/>
              </w:rPr>
            </w:pPr>
            <w:r w:rsidRPr="004357AC">
              <w:rPr>
                <w:sz w:val="22"/>
                <w:szCs w:val="22"/>
                <w:lang w:eastAsia="ja-JP"/>
              </w:rPr>
              <w:t>7</w:t>
            </w:r>
          </w:p>
        </w:tc>
        <w:tc>
          <w:tcPr>
            <w:tcW w:w="1197" w:type="dxa"/>
            <w:tcBorders>
              <w:top w:val="single"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hideMark/>
          </w:tcPr>
          <w:p w14:paraId="47D8B7E4" w14:textId="77777777" w:rsidR="00B51A47" w:rsidRPr="004357AC" w:rsidRDefault="00B51A47" w:rsidP="00B51A47">
            <w:pPr>
              <w:spacing w:before="40" w:after="20"/>
              <w:jc w:val="center"/>
              <w:rPr>
                <w:lang w:eastAsia="ja-JP"/>
              </w:rPr>
            </w:pPr>
            <w:r w:rsidRPr="004357AC">
              <w:rPr>
                <w:sz w:val="22"/>
                <w:szCs w:val="22"/>
                <w:lang w:eastAsia="ja-JP"/>
              </w:rPr>
              <w:t>-</w:t>
            </w:r>
          </w:p>
        </w:tc>
        <w:tc>
          <w:tcPr>
            <w:tcW w:w="1462" w:type="dxa"/>
            <w:tcBorders>
              <w:top w:val="single" w:sz="4" w:space="0" w:color="auto"/>
              <w:left w:val="dotted" w:sz="4" w:space="0" w:color="auto"/>
              <w:bottom w:val="dotted" w:sz="4" w:space="0" w:color="auto"/>
            </w:tcBorders>
            <w:tcMar>
              <w:top w:w="0" w:type="dxa"/>
              <w:left w:w="108" w:type="dxa"/>
              <w:bottom w:w="0" w:type="dxa"/>
              <w:right w:w="108" w:type="dxa"/>
            </w:tcMar>
            <w:vAlign w:val="center"/>
            <w:hideMark/>
          </w:tcPr>
          <w:p w14:paraId="601379AC" w14:textId="77777777" w:rsidR="00B51A47" w:rsidRPr="004357AC" w:rsidRDefault="00B51A47" w:rsidP="00B51A47">
            <w:pPr>
              <w:spacing w:before="40" w:after="20"/>
              <w:jc w:val="center"/>
              <w:rPr>
                <w:lang w:eastAsia="ja-JP"/>
              </w:rPr>
            </w:pPr>
            <w:r w:rsidRPr="004357AC">
              <w:rPr>
                <w:sz w:val="22"/>
                <w:szCs w:val="22"/>
                <w:lang w:eastAsia="ja-JP"/>
              </w:rPr>
              <w:t>50</w:t>
            </w:r>
          </w:p>
        </w:tc>
      </w:tr>
      <w:tr w:rsidR="00B51A47" w:rsidRPr="00B51A47" w14:paraId="03896197" w14:textId="77777777" w:rsidTr="00D07AB9">
        <w:tc>
          <w:tcPr>
            <w:tcW w:w="3969" w:type="dxa"/>
            <w:tcBorders>
              <w:top w:val="dotted" w:sz="4" w:space="0" w:color="auto"/>
              <w:bottom w:val="dotted" w:sz="4" w:space="0" w:color="auto"/>
              <w:right w:val="dotted" w:sz="4" w:space="0" w:color="auto"/>
            </w:tcBorders>
            <w:tcMar>
              <w:top w:w="0" w:type="dxa"/>
              <w:left w:w="108" w:type="dxa"/>
              <w:bottom w:w="0" w:type="dxa"/>
              <w:right w:w="108" w:type="dxa"/>
            </w:tcMar>
            <w:vAlign w:val="center"/>
            <w:hideMark/>
          </w:tcPr>
          <w:p w14:paraId="4BF8F1E2" w14:textId="77777777" w:rsidR="00B51A47" w:rsidRPr="004357AC" w:rsidRDefault="00B51A47" w:rsidP="00B51A47">
            <w:pPr>
              <w:spacing w:before="40" w:after="20"/>
              <w:ind w:left="175"/>
              <w:rPr>
                <w:lang w:eastAsia="ja-JP"/>
              </w:rPr>
            </w:pPr>
            <w:r w:rsidRPr="004357AC">
              <w:rPr>
                <w:sz w:val="22"/>
                <w:szCs w:val="22"/>
                <w:lang w:eastAsia="ja-JP"/>
              </w:rPr>
              <w:t>Regional Training:</w:t>
            </w:r>
          </w:p>
        </w:tc>
        <w:tc>
          <w:tcPr>
            <w:tcW w:w="1120" w:type="dxa"/>
            <w:tcBorders>
              <w:top w:val="dotted"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hideMark/>
          </w:tcPr>
          <w:p w14:paraId="286441B8" w14:textId="77777777" w:rsidR="00B51A47" w:rsidRPr="004357AC" w:rsidRDefault="00B51A47" w:rsidP="00B51A47">
            <w:pPr>
              <w:spacing w:before="40" w:after="20"/>
              <w:jc w:val="center"/>
              <w:rPr>
                <w:lang w:eastAsia="ja-JP"/>
              </w:rPr>
            </w:pPr>
            <w:r w:rsidRPr="004357AC">
              <w:rPr>
                <w:sz w:val="22"/>
                <w:szCs w:val="22"/>
                <w:lang w:eastAsia="ja-JP"/>
              </w:rPr>
              <w:t>40</w:t>
            </w:r>
          </w:p>
        </w:tc>
        <w:tc>
          <w:tcPr>
            <w:tcW w:w="1120" w:type="dxa"/>
            <w:tcBorders>
              <w:top w:val="dotted"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hideMark/>
          </w:tcPr>
          <w:p w14:paraId="293A08C9" w14:textId="77777777" w:rsidR="00B51A47" w:rsidRPr="004357AC" w:rsidRDefault="00B51A47" w:rsidP="00B51A47">
            <w:pPr>
              <w:spacing w:before="40" w:after="20"/>
              <w:jc w:val="center"/>
              <w:rPr>
                <w:lang w:eastAsia="ja-JP"/>
              </w:rPr>
            </w:pPr>
            <w:r w:rsidRPr="004357AC">
              <w:rPr>
                <w:sz w:val="22"/>
                <w:szCs w:val="22"/>
                <w:lang w:eastAsia="ja-JP"/>
              </w:rPr>
              <w:t>32</w:t>
            </w:r>
          </w:p>
        </w:tc>
        <w:tc>
          <w:tcPr>
            <w:tcW w:w="1197" w:type="dxa"/>
            <w:tcBorders>
              <w:top w:val="dotted"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hideMark/>
          </w:tcPr>
          <w:p w14:paraId="326FD1CD" w14:textId="77777777" w:rsidR="00B51A47" w:rsidRPr="004357AC" w:rsidRDefault="00B51A47" w:rsidP="00B51A47">
            <w:pPr>
              <w:spacing w:before="40" w:after="20"/>
              <w:jc w:val="center"/>
              <w:rPr>
                <w:lang w:eastAsia="ja-JP"/>
              </w:rPr>
            </w:pPr>
            <w:r w:rsidRPr="004357AC">
              <w:rPr>
                <w:sz w:val="22"/>
                <w:szCs w:val="22"/>
                <w:lang w:eastAsia="ja-JP"/>
              </w:rPr>
              <w:t>0</w:t>
            </w:r>
          </w:p>
        </w:tc>
        <w:tc>
          <w:tcPr>
            <w:tcW w:w="1462" w:type="dxa"/>
            <w:tcBorders>
              <w:top w:val="dotted" w:sz="4" w:space="0" w:color="auto"/>
              <w:left w:val="dotted" w:sz="4" w:space="0" w:color="auto"/>
              <w:bottom w:val="dotted" w:sz="4" w:space="0" w:color="auto"/>
            </w:tcBorders>
            <w:tcMar>
              <w:top w:w="0" w:type="dxa"/>
              <w:left w:w="108" w:type="dxa"/>
              <w:bottom w:w="0" w:type="dxa"/>
              <w:right w:w="108" w:type="dxa"/>
            </w:tcMar>
            <w:vAlign w:val="center"/>
            <w:hideMark/>
          </w:tcPr>
          <w:p w14:paraId="06D06398" w14:textId="77777777" w:rsidR="00B51A47" w:rsidRPr="004357AC" w:rsidRDefault="00B51A47" w:rsidP="00B51A47">
            <w:pPr>
              <w:spacing w:before="40" w:after="20"/>
              <w:jc w:val="center"/>
              <w:rPr>
                <w:lang w:eastAsia="ja-JP"/>
              </w:rPr>
            </w:pPr>
            <w:r w:rsidRPr="004357AC">
              <w:rPr>
                <w:sz w:val="22"/>
                <w:szCs w:val="22"/>
                <w:lang w:eastAsia="ja-JP"/>
              </w:rPr>
              <w:t>72</w:t>
            </w:r>
          </w:p>
        </w:tc>
      </w:tr>
      <w:tr w:rsidR="00B51A47" w:rsidRPr="00B51A47" w14:paraId="3BAC617F" w14:textId="77777777" w:rsidTr="00D07AB9">
        <w:tc>
          <w:tcPr>
            <w:tcW w:w="3969" w:type="dxa"/>
            <w:tcBorders>
              <w:top w:val="dotted" w:sz="4" w:space="0" w:color="auto"/>
              <w:bottom w:val="dotted" w:sz="4" w:space="0" w:color="auto"/>
              <w:right w:val="dotted" w:sz="4" w:space="0" w:color="auto"/>
            </w:tcBorders>
            <w:tcMar>
              <w:top w:w="0" w:type="dxa"/>
              <w:left w:w="108" w:type="dxa"/>
              <w:bottom w:w="0" w:type="dxa"/>
              <w:right w:w="108" w:type="dxa"/>
            </w:tcMar>
            <w:vAlign w:val="center"/>
            <w:hideMark/>
          </w:tcPr>
          <w:p w14:paraId="48718724" w14:textId="77777777" w:rsidR="00B51A47" w:rsidRPr="004357AC" w:rsidRDefault="00B51A47" w:rsidP="00B51A47">
            <w:pPr>
              <w:spacing w:before="40" w:after="20"/>
              <w:ind w:left="175"/>
              <w:rPr>
                <w:lang w:eastAsia="ja-JP"/>
              </w:rPr>
            </w:pPr>
            <w:r w:rsidRPr="004357AC">
              <w:rPr>
                <w:sz w:val="22"/>
                <w:szCs w:val="22"/>
                <w:lang w:eastAsia="ja-JP"/>
              </w:rPr>
              <w:t>In-country (bilateral + RF):</w:t>
            </w:r>
          </w:p>
        </w:tc>
        <w:tc>
          <w:tcPr>
            <w:tcW w:w="1120" w:type="dxa"/>
            <w:tcBorders>
              <w:top w:val="dotted"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hideMark/>
          </w:tcPr>
          <w:p w14:paraId="465A4D24" w14:textId="77777777" w:rsidR="00B51A47" w:rsidRPr="004357AC" w:rsidRDefault="00B51A47" w:rsidP="00B51A47">
            <w:pPr>
              <w:spacing w:before="40" w:after="20"/>
              <w:jc w:val="center"/>
              <w:rPr>
                <w:lang w:eastAsia="ja-JP"/>
              </w:rPr>
            </w:pPr>
            <w:r w:rsidRPr="004357AC">
              <w:rPr>
                <w:sz w:val="22"/>
                <w:szCs w:val="22"/>
                <w:lang w:eastAsia="ja-JP"/>
              </w:rPr>
              <w:t>172</w:t>
            </w:r>
          </w:p>
        </w:tc>
        <w:tc>
          <w:tcPr>
            <w:tcW w:w="1120" w:type="dxa"/>
            <w:tcBorders>
              <w:top w:val="dotted"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hideMark/>
          </w:tcPr>
          <w:p w14:paraId="114E287C" w14:textId="77777777" w:rsidR="00B51A47" w:rsidRPr="004357AC" w:rsidRDefault="00B51A47" w:rsidP="00B51A47">
            <w:pPr>
              <w:spacing w:before="40" w:after="20"/>
              <w:jc w:val="center"/>
              <w:rPr>
                <w:lang w:eastAsia="ja-JP"/>
              </w:rPr>
            </w:pPr>
            <w:r w:rsidRPr="004357AC">
              <w:rPr>
                <w:sz w:val="22"/>
                <w:szCs w:val="22"/>
                <w:lang w:eastAsia="ja-JP"/>
              </w:rPr>
              <w:t>103</w:t>
            </w:r>
          </w:p>
        </w:tc>
        <w:tc>
          <w:tcPr>
            <w:tcW w:w="1197" w:type="dxa"/>
            <w:tcBorders>
              <w:top w:val="dotted" w:sz="4" w:space="0" w:color="auto"/>
              <w:left w:val="dotted" w:sz="4" w:space="0" w:color="auto"/>
              <w:bottom w:val="dotted" w:sz="4" w:space="0" w:color="auto"/>
              <w:right w:val="dotted" w:sz="4" w:space="0" w:color="auto"/>
            </w:tcBorders>
            <w:noWrap/>
            <w:tcMar>
              <w:top w:w="0" w:type="dxa"/>
              <w:left w:w="108" w:type="dxa"/>
              <w:bottom w:w="0" w:type="dxa"/>
              <w:right w:w="108" w:type="dxa"/>
            </w:tcMar>
            <w:vAlign w:val="center"/>
            <w:hideMark/>
          </w:tcPr>
          <w:p w14:paraId="7E73DEAE" w14:textId="77777777" w:rsidR="00B51A47" w:rsidRPr="004357AC" w:rsidRDefault="00B51A47" w:rsidP="00B51A47">
            <w:pPr>
              <w:spacing w:before="40" w:after="20"/>
              <w:jc w:val="center"/>
              <w:rPr>
                <w:lang w:eastAsia="ja-JP"/>
              </w:rPr>
            </w:pPr>
            <w:r w:rsidRPr="004357AC">
              <w:rPr>
                <w:sz w:val="22"/>
                <w:szCs w:val="22"/>
                <w:lang w:eastAsia="ja-JP"/>
              </w:rPr>
              <w:t>122</w:t>
            </w:r>
          </w:p>
        </w:tc>
        <w:tc>
          <w:tcPr>
            <w:tcW w:w="1462" w:type="dxa"/>
            <w:tcBorders>
              <w:top w:val="dotted" w:sz="4" w:space="0" w:color="auto"/>
              <w:left w:val="dotted" w:sz="4" w:space="0" w:color="auto"/>
              <w:bottom w:val="dotted" w:sz="4" w:space="0" w:color="auto"/>
            </w:tcBorders>
            <w:tcMar>
              <w:top w:w="0" w:type="dxa"/>
              <w:left w:w="108" w:type="dxa"/>
              <w:bottom w:w="0" w:type="dxa"/>
              <w:right w:w="108" w:type="dxa"/>
            </w:tcMar>
            <w:vAlign w:val="center"/>
            <w:hideMark/>
          </w:tcPr>
          <w:p w14:paraId="3E32BDE9" w14:textId="77777777" w:rsidR="00B51A47" w:rsidRPr="004357AC" w:rsidRDefault="00B51A47" w:rsidP="00B51A47">
            <w:pPr>
              <w:spacing w:before="40" w:after="20"/>
              <w:jc w:val="center"/>
              <w:rPr>
                <w:lang w:eastAsia="ja-JP"/>
              </w:rPr>
            </w:pPr>
            <w:r w:rsidRPr="004357AC">
              <w:rPr>
                <w:sz w:val="22"/>
                <w:szCs w:val="22"/>
                <w:lang w:eastAsia="ja-JP"/>
              </w:rPr>
              <w:t>397</w:t>
            </w:r>
          </w:p>
        </w:tc>
      </w:tr>
      <w:tr w:rsidR="00B51A47" w:rsidRPr="00B51A47" w14:paraId="5D1260A4" w14:textId="77777777" w:rsidTr="00D07AB9">
        <w:tc>
          <w:tcPr>
            <w:tcW w:w="3969" w:type="dxa"/>
            <w:tcBorders>
              <w:top w:val="dotted" w:sz="4" w:space="0" w:color="auto"/>
              <w:left w:val="nil"/>
              <w:bottom w:val="single" w:sz="4" w:space="0" w:color="auto"/>
              <w:right w:val="dotted" w:sz="4" w:space="0" w:color="auto"/>
            </w:tcBorders>
            <w:tcMar>
              <w:top w:w="0" w:type="dxa"/>
              <w:left w:w="108" w:type="dxa"/>
              <w:bottom w:w="0" w:type="dxa"/>
              <w:right w:w="108" w:type="dxa"/>
            </w:tcMar>
            <w:vAlign w:val="center"/>
            <w:hideMark/>
          </w:tcPr>
          <w:p w14:paraId="5F251469" w14:textId="77777777" w:rsidR="00B51A47" w:rsidRPr="004357AC" w:rsidRDefault="00B51A47" w:rsidP="00B51A47">
            <w:pPr>
              <w:spacing w:before="40" w:after="20"/>
              <w:ind w:left="175"/>
              <w:rPr>
                <w:lang w:eastAsia="ja-JP"/>
              </w:rPr>
            </w:pPr>
            <w:r w:rsidRPr="004357AC">
              <w:rPr>
                <w:sz w:val="22"/>
                <w:szCs w:val="22"/>
                <w:lang w:eastAsia="ja-JP"/>
              </w:rPr>
              <w:t>RTT / Local Trainers as Co-facilitators:</w:t>
            </w:r>
          </w:p>
        </w:tc>
        <w:tc>
          <w:tcPr>
            <w:tcW w:w="1120" w:type="dxa"/>
            <w:tcBorders>
              <w:top w:val="dotted" w:sz="4" w:space="0" w:color="auto"/>
              <w:left w:val="dotted" w:sz="4" w:space="0" w:color="auto"/>
              <w:bottom w:val="single" w:sz="4" w:space="0" w:color="auto"/>
              <w:right w:val="dotted" w:sz="4" w:space="0" w:color="auto"/>
            </w:tcBorders>
            <w:noWrap/>
            <w:tcMar>
              <w:top w:w="0" w:type="dxa"/>
              <w:left w:w="108" w:type="dxa"/>
              <w:bottom w:w="0" w:type="dxa"/>
              <w:right w:w="108" w:type="dxa"/>
            </w:tcMar>
            <w:vAlign w:val="center"/>
            <w:hideMark/>
          </w:tcPr>
          <w:p w14:paraId="2C8CE0BB" w14:textId="77777777" w:rsidR="00B51A47" w:rsidRPr="004357AC" w:rsidRDefault="00B51A47" w:rsidP="00B51A47">
            <w:pPr>
              <w:spacing w:before="40" w:after="20"/>
              <w:jc w:val="center"/>
              <w:rPr>
                <w:lang w:eastAsia="ja-JP"/>
              </w:rPr>
            </w:pPr>
            <w:r w:rsidRPr="004357AC">
              <w:rPr>
                <w:sz w:val="22"/>
                <w:szCs w:val="22"/>
                <w:lang w:eastAsia="ja-JP"/>
              </w:rPr>
              <w:t>15</w:t>
            </w:r>
          </w:p>
        </w:tc>
        <w:tc>
          <w:tcPr>
            <w:tcW w:w="1120" w:type="dxa"/>
            <w:tcBorders>
              <w:top w:val="dotted" w:sz="4" w:space="0" w:color="auto"/>
              <w:left w:val="dotted" w:sz="4" w:space="0" w:color="auto"/>
              <w:bottom w:val="single" w:sz="4" w:space="0" w:color="auto"/>
              <w:right w:val="dotted" w:sz="4" w:space="0" w:color="auto"/>
            </w:tcBorders>
            <w:noWrap/>
            <w:tcMar>
              <w:top w:w="0" w:type="dxa"/>
              <w:left w:w="108" w:type="dxa"/>
              <w:bottom w:w="0" w:type="dxa"/>
              <w:right w:w="108" w:type="dxa"/>
            </w:tcMar>
            <w:vAlign w:val="center"/>
            <w:hideMark/>
          </w:tcPr>
          <w:p w14:paraId="33961E95" w14:textId="77777777" w:rsidR="00B51A47" w:rsidRPr="004357AC" w:rsidRDefault="00B51A47" w:rsidP="00B51A47">
            <w:pPr>
              <w:spacing w:before="40" w:after="20"/>
              <w:jc w:val="center"/>
              <w:rPr>
                <w:lang w:eastAsia="ja-JP"/>
              </w:rPr>
            </w:pPr>
            <w:r w:rsidRPr="004357AC">
              <w:rPr>
                <w:sz w:val="22"/>
                <w:szCs w:val="22"/>
                <w:lang w:eastAsia="ja-JP"/>
              </w:rPr>
              <w:t>12</w:t>
            </w:r>
          </w:p>
        </w:tc>
        <w:tc>
          <w:tcPr>
            <w:tcW w:w="1197" w:type="dxa"/>
            <w:tcBorders>
              <w:top w:val="dotted" w:sz="4" w:space="0" w:color="auto"/>
              <w:left w:val="dotted" w:sz="4" w:space="0" w:color="auto"/>
              <w:bottom w:val="single" w:sz="4" w:space="0" w:color="auto"/>
              <w:right w:val="dotted" w:sz="4" w:space="0" w:color="auto"/>
            </w:tcBorders>
            <w:noWrap/>
            <w:tcMar>
              <w:top w:w="0" w:type="dxa"/>
              <w:left w:w="108" w:type="dxa"/>
              <w:bottom w:w="0" w:type="dxa"/>
              <w:right w:w="108" w:type="dxa"/>
            </w:tcMar>
            <w:vAlign w:val="center"/>
            <w:hideMark/>
          </w:tcPr>
          <w:p w14:paraId="211FF9E5" w14:textId="77777777" w:rsidR="00B51A47" w:rsidRPr="004357AC" w:rsidRDefault="00B51A47" w:rsidP="00B51A47">
            <w:pPr>
              <w:spacing w:before="40" w:after="20"/>
              <w:jc w:val="center"/>
              <w:rPr>
                <w:lang w:eastAsia="ja-JP"/>
              </w:rPr>
            </w:pPr>
            <w:r w:rsidRPr="004357AC">
              <w:rPr>
                <w:sz w:val="22"/>
                <w:szCs w:val="22"/>
                <w:lang w:eastAsia="ja-JP"/>
              </w:rPr>
              <w:t>0</w:t>
            </w:r>
          </w:p>
        </w:tc>
        <w:tc>
          <w:tcPr>
            <w:tcW w:w="1462" w:type="dxa"/>
            <w:tcBorders>
              <w:top w:val="dotted" w:sz="4" w:space="0" w:color="auto"/>
              <w:left w:val="dotted" w:sz="4" w:space="0" w:color="auto"/>
              <w:bottom w:val="single" w:sz="4" w:space="0" w:color="auto"/>
              <w:right w:val="nil"/>
            </w:tcBorders>
            <w:tcMar>
              <w:top w:w="0" w:type="dxa"/>
              <w:left w:w="108" w:type="dxa"/>
              <w:bottom w:w="0" w:type="dxa"/>
              <w:right w:w="108" w:type="dxa"/>
            </w:tcMar>
            <w:vAlign w:val="center"/>
            <w:hideMark/>
          </w:tcPr>
          <w:p w14:paraId="62C28FC5" w14:textId="77777777" w:rsidR="00B51A47" w:rsidRPr="004357AC" w:rsidRDefault="00B51A47" w:rsidP="00B51A47">
            <w:pPr>
              <w:spacing w:before="40" w:after="20"/>
              <w:jc w:val="center"/>
              <w:rPr>
                <w:lang w:eastAsia="ja-JP"/>
              </w:rPr>
            </w:pPr>
            <w:r w:rsidRPr="004357AC">
              <w:rPr>
                <w:sz w:val="22"/>
                <w:szCs w:val="22"/>
                <w:lang w:eastAsia="ja-JP"/>
              </w:rPr>
              <w:t>27</w:t>
            </w:r>
          </w:p>
        </w:tc>
      </w:tr>
      <w:tr w:rsidR="00B51A47" w:rsidRPr="00B51A47" w14:paraId="2F0031C0" w14:textId="77777777" w:rsidTr="00D07AB9">
        <w:tc>
          <w:tcPr>
            <w:tcW w:w="3969" w:type="dxa"/>
            <w:tcBorders>
              <w:top w:val="single" w:sz="4" w:space="0" w:color="auto"/>
              <w:left w:val="nil"/>
              <w:bottom w:val="single" w:sz="4" w:space="0" w:color="auto"/>
              <w:right w:val="nil"/>
            </w:tcBorders>
            <w:shd w:val="clear" w:color="auto" w:fill="DBE5F1"/>
            <w:tcMar>
              <w:top w:w="0" w:type="dxa"/>
              <w:left w:w="108" w:type="dxa"/>
              <w:bottom w:w="0" w:type="dxa"/>
              <w:right w:w="108" w:type="dxa"/>
            </w:tcMar>
            <w:vAlign w:val="center"/>
            <w:hideMark/>
          </w:tcPr>
          <w:p w14:paraId="251258E2" w14:textId="77777777" w:rsidR="00B51A47" w:rsidRPr="004357AC" w:rsidRDefault="00D07AB9" w:rsidP="00B51A47">
            <w:pPr>
              <w:spacing w:before="60" w:after="60"/>
              <w:rPr>
                <w:b/>
                <w:bCs/>
                <w:i/>
                <w:iCs/>
                <w:sz w:val="23"/>
                <w:szCs w:val="23"/>
                <w:lang w:eastAsia="ja-JP"/>
              </w:rPr>
            </w:pPr>
            <w:r w:rsidRPr="004357AC">
              <w:rPr>
                <w:b/>
                <w:bCs/>
                <w:i/>
                <w:iCs/>
                <w:sz w:val="23"/>
                <w:szCs w:val="23"/>
                <w:lang w:eastAsia="ja-JP"/>
              </w:rPr>
              <w:t xml:space="preserve">TOTAL FY 2013/2014: </w:t>
            </w:r>
          </w:p>
        </w:tc>
        <w:tc>
          <w:tcPr>
            <w:tcW w:w="1120" w:type="dxa"/>
            <w:tcBorders>
              <w:top w:val="single" w:sz="4" w:space="0" w:color="auto"/>
              <w:left w:val="nil"/>
              <w:bottom w:val="single" w:sz="4" w:space="0" w:color="auto"/>
              <w:right w:val="nil"/>
            </w:tcBorders>
            <w:shd w:val="clear" w:color="auto" w:fill="DBE5F1"/>
            <w:tcMar>
              <w:top w:w="0" w:type="dxa"/>
              <w:left w:w="108" w:type="dxa"/>
              <w:bottom w:w="0" w:type="dxa"/>
              <w:right w:w="108" w:type="dxa"/>
            </w:tcMar>
            <w:vAlign w:val="center"/>
          </w:tcPr>
          <w:p w14:paraId="4BE89FC1" w14:textId="77777777" w:rsidR="00B51A47" w:rsidRPr="004357AC" w:rsidRDefault="00B51A47" w:rsidP="00B51A47">
            <w:pPr>
              <w:spacing w:before="60" w:after="60"/>
              <w:rPr>
                <w:b/>
                <w:bCs/>
                <w:i/>
                <w:iCs/>
                <w:sz w:val="23"/>
                <w:szCs w:val="23"/>
                <w:lang w:eastAsia="ja-JP"/>
              </w:rPr>
            </w:pPr>
          </w:p>
        </w:tc>
        <w:tc>
          <w:tcPr>
            <w:tcW w:w="1120" w:type="dxa"/>
            <w:tcBorders>
              <w:top w:val="single" w:sz="4" w:space="0" w:color="auto"/>
              <w:left w:val="nil"/>
              <w:bottom w:val="single" w:sz="4" w:space="0" w:color="auto"/>
              <w:right w:val="nil"/>
            </w:tcBorders>
            <w:shd w:val="clear" w:color="auto" w:fill="DBE5F1"/>
            <w:tcMar>
              <w:top w:w="0" w:type="dxa"/>
              <w:left w:w="108" w:type="dxa"/>
              <w:bottom w:w="0" w:type="dxa"/>
              <w:right w:w="108" w:type="dxa"/>
            </w:tcMar>
            <w:vAlign w:val="center"/>
          </w:tcPr>
          <w:p w14:paraId="36459E28" w14:textId="77777777" w:rsidR="00B51A47" w:rsidRPr="004357AC" w:rsidRDefault="00B51A47" w:rsidP="00B51A47">
            <w:pPr>
              <w:spacing w:before="60" w:after="60"/>
              <w:rPr>
                <w:b/>
                <w:bCs/>
                <w:i/>
                <w:iCs/>
                <w:sz w:val="23"/>
                <w:szCs w:val="23"/>
                <w:lang w:eastAsia="ja-JP"/>
              </w:rPr>
            </w:pPr>
          </w:p>
        </w:tc>
        <w:tc>
          <w:tcPr>
            <w:tcW w:w="1197" w:type="dxa"/>
            <w:tcBorders>
              <w:top w:val="single" w:sz="4" w:space="0" w:color="auto"/>
              <w:left w:val="nil"/>
              <w:bottom w:val="single" w:sz="4" w:space="0" w:color="auto"/>
              <w:right w:val="nil"/>
            </w:tcBorders>
            <w:shd w:val="clear" w:color="auto" w:fill="DBE5F1"/>
            <w:tcMar>
              <w:top w:w="0" w:type="dxa"/>
              <w:left w:w="108" w:type="dxa"/>
              <w:bottom w:w="0" w:type="dxa"/>
              <w:right w:w="108" w:type="dxa"/>
            </w:tcMar>
            <w:vAlign w:val="center"/>
          </w:tcPr>
          <w:p w14:paraId="27D145B7" w14:textId="77777777" w:rsidR="00B51A47" w:rsidRPr="004357AC" w:rsidRDefault="00B51A47" w:rsidP="00B51A47">
            <w:pPr>
              <w:spacing w:before="60" w:after="60"/>
              <w:rPr>
                <w:b/>
                <w:bCs/>
                <w:i/>
                <w:iCs/>
                <w:sz w:val="23"/>
                <w:szCs w:val="23"/>
                <w:lang w:eastAsia="ja-JP"/>
              </w:rPr>
            </w:pPr>
          </w:p>
        </w:tc>
        <w:tc>
          <w:tcPr>
            <w:tcW w:w="1462" w:type="dxa"/>
            <w:tcBorders>
              <w:top w:val="single" w:sz="4" w:space="0" w:color="auto"/>
              <w:left w:val="nil"/>
              <w:bottom w:val="single" w:sz="4" w:space="0" w:color="auto"/>
              <w:right w:val="nil"/>
            </w:tcBorders>
            <w:shd w:val="clear" w:color="auto" w:fill="DBE5F1"/>
            <w:tcMar>
              <w:top w:w="0" w:type="dxa"/>
              <w:left w:w="108" w:type="dxa"/>
              <w:bottom w:w="0" w:type="dxa"/>
              <w:right w:w="108" w:type="dxa"/>
            </w:tcMar>
            <w:vAlign w:val="center"/>
            <w:hideMark/>
          </w:tcPr>
          <w:p w14:paraId="226C4783" w14:textId="77777777" w:rsidR="00B51A47" w:rsidRPr="004357AC" w:rsidRDefault="00D07AB9" w:rsidP="00B51A47">
            <w:pPr>
              <w:spacing w:before="60" w:after="60"/>
              <w:jc w:val="center"/>
              <w:rPr>
                <w:b/>
                <w:bCs/>
                <w:i/>
                <w:iCs/>
                <w:sz w:val="23"/>
                <w:szCs w:val="23"/>
                <w:lang w:eastAsia="ja-JP"/>
              </w:rPr>
            </w:pPr>
            <w:r w:rsidRPr="004357AC">
              <w:rPr>
                <w:b/>
                <w:bCs/>
                <w:i/>
                <w:iCs/>
                <w:sz w:val="23"/>
                <w:szCs w:val="23"/>
                <w:lang w:eastAsia="ja-JP"/>
              </w:rPr>
              <w:t>546</w:t>
            </w:r>
          </w:p>
        </w:tc>
      </w:tr>
    </w:tbl>
    <w:p w14:paraId="35815F54" w14:textId="77777777" w:rsidR="00B51A47" w:rsidRDefault="00B51A47" w:rsidP="00B51A47">
      <w:pPr>
        <w:rPr>
          <w:rFonts w:eastAsia="MS Mincho"/>
          <w:sz w:val="23"/>
          <w:szCs w:val="23"/>
          <w:lang w:eastAsia="en-US"/>
        </w:rPr>
      </w:pPr>
    </w:p>
    <w:p w14:paraId="3F32E56B" w14:textId="77777777" w:rsidR="00B51A47" w:rsidRPr="00AA15DF" w:rsidRDefault="00AA15DF" w:rsidP="00AA15DF">
      <w:pPr>
        <w:rPr>
          <w:rFonts w:ascii="Calibri" w:hAnsi="Calibri"/>
          <w:sz w:val="23"/>
          <w:szCs w:val="23"/>
        </w:rPr>
      </w:pPr>
      <w:r w:rsidRPr="00AA15DF">
        <w:rPr>
          <w:sz w:val="23"/>
          <w:szCs w:val="23"/>
        </w:rPr>
        <w:t xml:space="preserve">Of the 546 participants, 177 (or 32.4%) were female.  Furthermore, this </w:t>
      </w:r>
      <w:r w:rsidR="00B51A47" w:rsidRPr="00AA15DF">
        <w:rPr>
          <w:sz w:val="23"/>
          <w:szCs w:val="23"/>
        </w:rPr>
        <w:t>support equates to approximately 1,670 participation days during financial year 2013</w:t>
      </w:r>
      <w:r w:rsidRPr="00AA15DF">
        <w:rPr>
          <w:sz w:val="23"/>
          <w:szCs w:val="23"/>
        </w:rPr>
        <w:t xml:space="preserve"> </w:t>
      </w:r>
      <w:r w:rsidR="00B51A47" w:rsidRPr="00AA15DF">
        <w:rPr>
          <w:sz w:val="23"/>
          <w:szCs w:val="23"/>
        </w:rPr>
        <w:t>/</w:t>
      </w:r>
      <w:r w:rsidRPr="00AA15DF">
        <w:rPr>
          <w:sz w:val="23"/>
          <w:szCs w:val="23"/>
        </w:rPr>
        <w:t xml:space="preserve"> </w:t>
      </w:r>
      <w:r w:rsidR="00B51A47" w:rsidRPr="00AA15DF">
        <w:rPr>
          <w:sz w:val="23"/>
          <w:szCs w:val="23"/>
        </w:rPr>
        <w:t>2014.</w:t>
      </w:r>
    </w:p>
    <w:p w14:paraId="1E9813CA" w14:textId="77777777" w:rsidR="004357AC" w:rsidRPr="009437D6" w:rsidRDefault="004357AC" w:rsidP="00D723A4">
      <w:pPr>
        <w:rPr>
          <w:sz w:val="28"/>
          <w:lang w:eastAsia="en-US"/>
        </w:rPr>
      </w:pPr>
    </w:p>
    <w:p w14:paraId="4B3BDEA9" w14:textId="77777777" w:rsidR="00043937" w:rsidRPr="00043937" w:rsidRDefault="00043937" w:rsidP="00043937">
      <w:pPr>
        <w:pStyle w:val="Heading1"/>
        <w:numPr>
          <w:ilvl w:val="0"/>
          <w:numId w:val="3"/>
        </w:numPr>
        <w:spacing w:before="120"/>
        <w:ind w:hanging="720"/>
        <w:rPr>
          <w:szCs w:val="26"/>
          <w:lang w:val="en-AU"/>
        </w:rPr>
      </w:pPr>
      <w:bookmarkStart w:id="49" w:name="_Toc325112225"/>
      <w:bookmarkStart w:id="50" w:name="_Toc391469735"/>
      <w:r w:rsidRPr="00043937">
        <w:rPr>
          <w:szCs w:val="26"/>
          <w:lang w:val="en-AU"/>
        </w:rPr>
        <w:t>Cross-cutting Issues</w:t>
      </w:r>
      <w:bookmarkEnd w:id="49"/>
      <w:bookmarkEnd w:id="50"/>
    </w:p>
    <w:p w14:paraId="52D9CEA9" w14:textId="77777777" w:rsidR="00236BF7" w:rsidRDefault="00236BF7" w:rsidP="00236BF7"/>
    <w:p w14:paraId="08DA1E5C" w14:textId="77777777" w:rsidR="00236BF7" w:rsidRDefault="00236BF7" w:rsidP="00236BF7">
      <w:pPr>
        <w:rPr>
          <w:sz w:val="23"/>
          <w:szCs w:val="23"/>
        </w:rPr>
      </w:pPr>
      <w:r>
        <w:rPr>
          <w:sz w:val="23"/>
          <w:szCs w:val="23"/>
        </w:rPr>
        <w:t>PJDP adopts a holistic justice-focussed approach to concepts of human rights, gender equity and sustainability as these</w:t>
      </w:r>
      <w:r w:rsidR="00A5108D">
        <w:rPr>
          <w:sz w:val="23"/>
          <w:szCs w:val="23"/>
        </w:rPr>
        <w:t xml:space="preserve"> concepts</w:t>
      </w:r>
      <w:r>
        <w:rPr>
          <w:sz w:val="23"/>
          <w:szCs w:val="23"/>
        </w:rPr>
        <w:t xml:space="preserve"> underpin the services that judiciaries provide.  </w:t>
      </w:r>
    </w:p>
    <w:p w14:paraId="32CB77A7" w14:textId="77777777" w:rsidR="00AA15DF" w:rsidRPr="00E00B47" w:rsidRDefault="00AA15DF" w:rsidP="00C03135">
      <w:pPr>
        <w:rPr>
          <w:b/>
          <w:bCs/>
          <w:i/>
          <w:iCs/>
          <w:sz w:val="16"/>
          <w:szCs w:val="23"/>
        </w:rPr>
      </w:pPr>
    </w:p>
    <w:p w14:paraId="42BA1F67" w14:textId="77777777" w:rsidR="00990C7C" w:rsidRDefault="00C03135" w:rsidP="00990C7C">
      <w:pPr>
        <w:autoSpaceDE w:val="0"/>
        <w:autoSpaceDN w:val="0"/>
        <w:adjustRightInd w:val="0"/>
        <w:rPr>
          <w:sz w:val="23"/>
          <w:szCs w:val="23"/>
        </w:rPr>
      </w:pPr>
      <w:r w:rsidRPr="00C03135">
        <w:rPr>
          <w:b/>
          <w:bCs/>
          <w:i/>
          <w:iCs/>
          <w:sz w:val="23"/>
          <w:szCs w:val="23"/>
        </w:rPr>
        <w:t>Gender equity and equality</w:t>
      </w:r>
      <w:r w:rsidRPr="00C03135">
        <w:rPr>
          <w:sz w:val="23"/>
          <w:szCs w:val="23"/>
        </w:rPr>
        <w:t xml:space="preserve"> issues are incorporated into the design of all training activities.  </w:t>
      </w:r>
      <w:r w:rsidR="00990C7C">
        <w:rPr>
          <w:sz w:val="23"/>
          <w:szCs w:val="23"/>
        </w:rPr>
        <w:t xml:space="preserve">Selected examples include: </w:t>
      </w:r>
    </w:p>
    <w:p w14:paraId="7953952C" w14:textId="77777777" w:rsidR="00990C7C" w:rsidRDefault="00990C7C" w:rsidP="00990C7C">
      <w:pPr>
        <w:numPr>
          <w:ilvl w:val="0"/>
          <w:numId w:val="66"/>
        </w:numPr>
        <w:autoSpaceDE w:val="0"/>
        <w:autoSpaceDN w:val="0"/>
        <w:adjustRightInd w:val="0"/>
        <w:spacing w:before="120"/>
        <w:rPr>
          <w:sz w:val="23"/>
          <w:szCs w:val="23"/>
        </w:rPr>
      </w:pPr>
      <w:r>
        <w:rPr>
          <w:sz w:val="23"/>
          <w:szCs w:val="23"/>
        </w:rPr>
        <w:t xml:space="preserve">The </w:t>
      </w:r>
      <w:r w:rsidR="00C03135" w:rsidRPr="00C03135">
        <w:rPr>
          <w:i/>
          <w:sz w:val="23"/>
          <w:szCs w:val="23"/>
        </w:rPr>
        <w:t>Enabling Rights Toolkit</w:t>
      </w:r>
      <w:r w:rsidR="00C03135" w:rsidRPr="00C03135">
        <w:rPr>
          <w:sz w:val="23"/>
          <w:szCs w:val="23"/>
        </w:rPr>
        <w:t xml:space="preserve"> being developed while focussing on unrepresented litigants will include practical guidelines for magistrates and court clerks on how to treat - and orally advise - unrepresented litigants, and will </w:t>
      </w:r>
      <w:r w:rsidR="007029F3">
        <w:rPr>
          <w:sz w:val="23"/>
          <w:szCs w:val="23"/>
        </w:rPr>
        <w:t xml:space="preserve">provide </w:t>
      </w:r>
      <w:r w:rsidR="00C03135" w:rsidRPr="00C03135">
        <w:rPr>
          <w:sz w:val="23"/>
          <w:szCs w:val="23"/>
        </w:rPr>
        <w:t>example(s) which highlight domestic violence cases, among others.</w:t>
      </w:r>
      <w:r w:rsidR="00C03135">
        <w:rPr>
          <w:sz w:val="23"/>
          <w:szCs w:val="23"/>
        </w:rPr>
        <w:t xml:space="preserve">  </w:t>
      </w:r>
    </w:p>
    <w:p w14:paraId="168EA243" w14:textId="5ADDF151" w:rsidR="00990C7C" w:rsidRDefault="00990C7C" w:rsidP="00990C7C">
      <w:pPr>
        <w:numPr>
          <w:ilvl w:val="0"/>
          <w:numId w:val="66"/>
        </w:numPr>
        <w:autoSpaceDE w:val="0"/>
        <w:autoSpaceDN w:val="0"/>
        <w:adjustRightInd w:val="0"/>
        <w:spacing w:before="120"/>
        <w:rPr>
          <w:sz w:val="23"/>
          <w:szCs w:val="23"/>
        </w:rPr>
      </w:pPr>
      <w:r>
        <w:rPr>
          <w:sz w:val="23"/>
          <w:szCs w:val="23"/>
        </w:rPr>
        <w:lastRenderedPageBreak/>
        <w:t>I</w:t>
      </w:r>
      <w:r w:rsidR="00B73B69">
        <w:rPr>
          <w:sz w:val="23"/>
          <w:szCs w:val="23"/>
        </w:rPr>
        <w:t>n i</w:t>
      </w:r>
      <w:r>
        <w:rPr>
          <w:sz w:val="23"/>
          <w:szCs w:val="23"/>
        </w:rPr>
        <w:t xml:space="preserve">mplementing </w:t>
      </w:r>
      <w:r w:rsidR="00807EA8">
        <w:rPr>
          <w:sz w:val="23"/>
          <w:szCs w:val="23"/>
        </w:rPr>
        <w:t xml:space="preserve">the </w:t>
      </w:r>
      <w:r w:rsidR="00807EA8" w:rsidRPr="00990C7C">
        <w:rPr>
          <w:i/>
          <w:sz w:val="23"/>
          <w:szCs w:val="23"/>
        </w:rPr>
        <w:t>Time Standards Toolkit</w:t>
      </w:r>
      <w:r w:rsidR="00807EA8">
        <w:rPr>
          <w:sz w:val="23"/>
          <w:szCs w:val="23"/>
        </w:rPr>
        <w:t xml:space="preserve"> </w:t>
      </w:r>
      <w:r w:rsidRPr="00F36495">
        <w:rPr>
          <w:sz w:val="23"/>
          <w:szCs w:val="23"/>
        </w:rPr>
        <w:t xml:space="preserve">crimes </w:t>
      </w:r>
      <w:r w:rsidR="00807EA8" w:rsidRPr="00F36495">
        <w:rPr>
          <w:sz w:val="23"/>
          <w:szCs w:val="23"/>
        </w:rPr>
        <w:t xml:space="preserve">of violence in domestic situations </w:t>
      </w:r>
      <w:r>
        <w:rPr>
          <w:sz w:val="23"/>
          <w:szCs w:val="23"/>
        </w:rPr>
        <w:t xml:space="preserve">are </w:t>
      </w:r>
      <w:r w:rsidR="009437D6">
        <w:rPr>
          <w:sz w:val="23"/>
          <w:szCs w:val="23"/>
        </w:rPr>
        <w:t xml:space="preserve">   </w:t>
      </w:r>
      <w:r w:rsidR="00807EA8" w:rsidRPr="00F36495">
        <w:rPr>
          <w:sz w:val="23"/>
          <w:szCs w:val="23"/>
        </w:rPr>
        <w:t xml:space="preserve">highlighted and goals </w:t>
      </w:r>
      <w:r>
        <w:rPr>
          <w:sz w:val="23"/>
          <w:szCs w:val="23"/>
        </w:rPr>
        <w:t xml:space="preserve">agreed on </w:t>
      </w:r>
      <w:r w:rsidR="00B73B69">
        <w:rPr>
          <w:sz w:val="23"/>
          <w:szCs w:val="23"/>
        </w:rPr>
        <w:t xml:space="preserve">with partner courts </w:t>
      </w:r>
      <w:r w:rsidR="00807EA8" w:rsidRPr="00F36495">
        <w:rPr>
          <w:sz w:val="23"/>
          <w:szCs w:val="23"/>
        </w:rPr>
        <w:t xml:space="preserve">in recognition of the generally unacceptable levels of domestic violence against women in the Pacific Region.  </w:t>
      </w:r>
      <w:r w:rsidRPr="00F36495">
        <w:rPr>
          <w:sz w:val="23"/>
          <w:szCs w:val="23"/>
        </w:rPr>
        <w:t xml:space="preserve">Specific </w:t>
      </w:r>
      <w:r w:rsidR="00807EA8" w:rsidRPr="00F36495">
        <w:rPr>
          <w:sz w:val="23"/>
          <w:szCs w:val="23"/>
        </w:rPr>
        <w:t xml:space="preserve">time goals and processes relating family and matters of personal status - often affecting women - have </w:t>
      </w:r>
      <w:r>
        <w:rPr>
          <w:sz w:val="23"/>
          <w:szCs w:val="23"/>
        </w:rPr>
        <w:t xml:space="preserve">also </w:t>
      </w:r>
      <w:r w:rsidR="00807EA8" w:rsidRPr="00F36495">
        <w:rPr>
          <w:sz w:val="23"/>
          <w:szCs w:val="23"/>
        </w:rPr>
        <w:t xml:space="preserve">been </w:t>
      </w:r>
      <w:r>
        <w:rPr>
          <w:sz w:val="23"/>
          <w:szCs w:val="23"/>
        </w:rPr>
        <w:t xml:space="preserve">developed </w:t>
      </w:r>
      <w:r w:rsidR="00B73B69">
        <w:rPr>
          <w:sz w:val="23"/>
          <w:szCs w:val="23"/>
        </w:rPr>
        <w:t xml:space="preserve">by </w:t>
      </w:r>
      <w:r w:rsidR="00807EA8" w:rsidRPr="00F36495">
        <w:rPr>
          <w:sz w:val="23"/>
          <w:szCs w:val="23"/>
        </w:rPr>
        <w:t>partner courts</w:t>
      </w:r>
      <w:r w:rsidR="00B73B69">
        <w:rPr>
          <w:sz w:val="23"/>
          <w:szCs w:val="23"/>
        </w:rPr>
        <w:t xml:space="preserve"> during implementation</w:t>
      </w:r>
      <w:r w:rsidR="00807EA8" w:rsidRPr="00F36495">
        <w:rPr>
          <w:sz w:val="23"/>
          <w:szCs w:val="23"/>
        </w:rPr>
        <w:t>.</w:t>
      </w:r>
      <w:r>
        <w:rPr>
          <w:sz w:val="23"/>
          <w:szCs w:val="23"/>
        </w:rPr>
        <w:t xml:space="preserve">  </w:t>
      </w:r>
    </w:p>
    <w:p w14:paraId="78F39FC1" w14:textId="77777777" w:rsidR="00990C7C" w:rsidRDefault="00C03135" w:rsidP="00990C7C">
      <w:pPr>
        <w:numPr>
          <w:ilvl w:val="0"/>
          <w:numId w:val="66"/>
        </w:numPr>
        <w:autoSpaceDE w:val="0"/>
        <w:autoSpaceDN w:val="0"/>
        <w:adjustRightInd w:val="0"/>
        <w:spacing w:before="120"/>
        <w:rPr>
          <w:sz w:val="23"/>
          <w:szCs w:val="23"/>
        </w:rPr>
      </w:pPr>
      <w:r>
        <w:rPr>
          <w:sz w:val="23"/>
          <w:szCs w:val="23"/>
        </w:rPr>
        <w:t xml:space="preserve">The draft </w:t>
      </w:r>
      <w:r w:rsidRPr="007029F3">
        <w:rPr>
          <w:i/>
          <w:sz w:val="23"/>
          <w:szCs w:val="23"/>
        </w:rPr>
        <w:t>Project Management Toolkit</w:t>
      </w:r>
      <w:r>
        <w:rPr>
          <w:sz w:val="23"/>
          <w:szCs w:val="23"/>
        </w:rPr>
        <w:t xml:space="preserve"> also addresses ‘cross-cutting issues’ as part of the project design and implementation processes so that these concepts are better embedded in locally led activities in the future. </w:t>
      </w:r>
    </w:p>
    <w:p w14:paraId="3544B0E4" w14:textId="77777777" w:rsidR="00C03135" w:rsidRDefault="00C03135" w:rsidP="00990C7C">
      <w:pPr>
        <w:numPr>
          <w:ilvl w:val="0"/>
          <w:numId w:val="66"/>
        </w:numPr>
        <w:autoSpaceDE w:val="0"/>
        <w:autoSpaceDN w:val="0"/>
        <w:adjustRightInd w:val="0"/>
        <w:spacing w:before="120"/>
        <w:rPr>
          <w:sz w:val="23"/>
          <w:szCs w:val="23"/>
        </w:rPr>
      </w:pPr>
      <w:r>
        <w:rPr>
          <w:sz w:val="23"/>
          <w:szCs w:val="23"/>
        </w:rPr>
        <w:t xml:space="preserve">The </w:t>
      </w:r>
      <w:r w:rsidRPr="00990C7C">
        <w:rPr>
          <w:i/>
          <w:sz w:val="23"/>
          <w:szCs w:val="23"/>
        </w:rPr>
        <w:t xml:space="preserve">Family Violence and Youth Justice </w:t>
      </w:r>
      <w:r w:rsidR="00990C7C" w:rsidRPr="00990C7C">
        <w:rPr>
          <w:i/>
          <w:sz w:val="23"/>
          <w:szCs w:val="23"/>
        </w:rPr>
        <w:t>Project</w:t>
      </w:r>
      <w:r w:rsidR="00990C7C">
        <w:rPr>
          <w:sz w:val="23"/>
          <w:szCs w:val="23"/>
        </w:rPr>
        <w:t xml:space="preserve"> </w:t>
      </w:r>
      <w:r>
        <w:rPr>
          <w:sz w:val="23"/>
          <w:szCs w:val="23"/>
        </w:rPr>
        <w:t xml:space="preserve">held included the participation of women’s support groups and women victim’s advocates who inform on the impact of violence on women.  In addition, PJDP is continuing to develop its relationship with the PPDVP and highlight their involvement in the Programme to highlight gender issues and raise awareness of domestic violence in the Pacific.  Finally, in this period women represented over </w:t>
      </w:r>
      <w:r w:rsidR="003C796B" w:rsidRPr="00C94C7D">
        <w:rPr>
          <w:sz w:val="23"/>
          <w:szCs w:val="23"/>
        </w:rPr>
        <w:t>32.4</w:t>
      </w:r>
      <w:r w:rsidRPr="00C94C7D">
        <w:rPr>
          <w:sz w:val="23"/>
          <w:szCs w:val="23"/>
        </w:rPr>
        <w:t>%</w:t>
      </w:r>
      <w:r>
        <w:rPr>
          <w:sz w:val="23"/>
          <w:szCs w:val="23"/>
        </w:rPr>
        <w:t xml:space="preserve"> of all participants across </w:t>
      </w:r>
      <w:r w:rsidR="003C796B">
        <w:rPr>
          <w:sz w:val="23"/>
          <w:szCs w:val="23"/>
        </w:rPr>
        <w:t xml:space="preserve">all regional, </w:t>
      </w:r>
      <w:r>
        <w:rPr>
          <w:sz w:val="23"/>
          <w:szCs w:val="23"/>
        </w:rPr>
        <w:t>in-country/bilateral and RF activities.</w:t>
      </w:r>
    </w:p>
    <w:p w14:paraId="2742E562" w14:textId="77777777" w:rsidR="00AA15DF" w:rsidRDefault="00AA15DF" w:rsidP="00C03135">
      <w:pPr>
        <w:rPr>
          <w:sz w:val="16"/>
          <w:szCs w:val="23"/>
          <w:lang w:eastAsia="en-US"/>
        </w:rPr>
      </w:pPr>
    </w:p>
    <w:p w14:paraId="4C66B02D" w14:textId="77777777" w:rsidR="006A5533" w:rsidRDefault="00C03135" w:rsidP="00C03135">
      <w:pPr>
        <w:rPr>
          <w:sz w:val="23"/>
          <w:szCs w:val="23"/>
          <w:lang w:eastAsia="en-US"/>
        </w:rPr>
      </w:pPr>
      <w:r>
        <w:rPr>
          <w:sz w:val="23"/>
          <w:szCs w:val="23"/>
        </w:rPr>
        <w:t xml:space="preserve">Concepts relating to </w:t>
      </w:r>
      <w:r>
        <w:rPr>
          <w:b/>
          <w:bCs/>
          <w:i/>
          <w:iCs/>
          <w:sz w:val="23"/>
          <w:szCs w:val="23"/>
        </w:rPr>
        <w:t>human rights</w:t>
      </w:r>
      <w:r>
        <w:rPr>
          <w:sz w:val="23"/>
          <w:szCs w:val="23"/>
        </w:rPr>
        <w:t xml:space="preserve"> are focussed upon in all PJDP activities, with training courses incorporating sessions, discussions and/or exercises on: people with legal disabilities; juvenile justice; management of the court room in cases where there were juveniles or children; the relationship between customary law and common law; discussion of the nature of the rule of law; and the use of appropriate language in decision-making.  </w:t>
      </w:r>
      <w:r w:rsidRPr="00C03135">
        <w:rPr>
          <w:sz w:val="23"/>
          <w:szCs w:val="23"/>
        </w:rPr>
        <w:t>The</w:t>
      </w:r>
      <w:r>
        <w:rPr>
          <w:sz w:val="23"/>
          <w:szCs w:val="23"/>
        </w:rPr>
        <w:t xml:space="preserve"> focus of the</w:t>
      </w:r>
      <w:r w:rsidRPr="00C03135">
        <w:rPr>
          <w:sz w:val="23"/>
          <w:szCs w:val="23"/>
        </w:rPr>
        <w:t xml:space="preserve"> </w:t>
      </w:r>
      <w:r w:rsidRPr="00C03135">
        <w:rPr>
          <w:i/>
          <w:sz w:val="23"/>
          <w:szCs w:val="23"/>
        </w:rPr>
        <w:t>Enabling Rights Toolkit</w:t>
      </w:r>
      <w:r w:rsidRPr="00C03135">
        <w:rPr>
          <w:sz w:val="23"/>
          <w:szCs w:val="23"/>
        </w:rPr>
        <w:t xml:space="preserve"> on unrepresented litigants </w:t>
      </w:r>
      <w:r>
        <w:rPr>
          <w:sz w:val="23"/>
          <w:szCs w:val="23"/>
        </w:rPr>
        <w:t xml:space="preserve">is also a key strategy in supporting human rights.  This toolkit will be a valuable resource to counterparts, and will enable better access to justice for citizens even if they are unable to afford legal representation.  </w:t>
      </w:r>
      <w:r w:rsidR="002E0A46" w:rsidRPr="002E0A46">
        <w:rPr>
          <w:sz w:val="23"/>
          <w:szCs w:val="23"/>
        </w:rPr>
        <w:t>In implementing the</w:t>
      </w:r>
      <w:r w:rsidR="002E0A46" w:rsidRPr="002E0A46">
        <w:rPr>
          <w:i/>
          <w:sz w:val="23"/>
          <w:szCs w:val="23"/>
        </w:rPr>
        <w:t xml:space="preserve"> Time Standards Toolkit</w:t>
      </w:r>
      <w:r w:rsidR="002E0A46" w:rsidRPr="002E0A46">
        <w:rPr>
          <w:sz w:val="23"/>
          <w:szCs w:val="23"/>
        </w:rPr>
        <w:t xml:space="preserve">, </w:t>
      </w:r>
      <w:r w:rsidR="00A313B5">
        <w:rPr>
          <w:sz w:val="23"/>
          <w:szCs w:val="23"/>
        </w:rPr>
        <w:t>workshops have</w:t>
      </w:r>
      <w:r w:rsidR="002E0A46">
        <w:rPr>
          <w:sz w:val="23"/>
          <w:szCs w:val="23"/>
        </w:rPr>
        <w:t xml:space="preserve"> been</w:t>
      </w:r>
      <w:r w:rsidR="002E0A46" w:rsidRPr="002E0A46">
        <w:rPr>
          <w:sz w:val="23"/>
          <w:szCs w:val="23"/>
        </w:rPr>
        <w:t xml:space="preserve"> </w:t>
      </w:r>
      <w:r w:rsidR="00A313B5">
        <w:rPr>
          <w:sz w:val="23"/>
          <w:szCs w:val="23"/>
        </w:rPr>
        <w:t xml:space="preserve">held in </w:t>
      </w:r>
      <w:r w:rsidR="002E0A46" w:rsidRPr="002E0A46">
        <w:rPr>
          <w:sz w:val="23"/>
          <w:szCs w:val="23"/>
        </w:rPr>
        <w:t xml:space="preserve">partner courts on the right to a fair trial in a reasonable time referring to international human rights instruments and local frameworks.  Additionally, time goals for habeas corpus have been developed. </w:t>
      </w:r>
    </w:p>
    <w:p w14:paraId="1A818471" w14:textId="77777777" w:rsidR="006A5533" w:rsidRPr="00E00B47" w:rsidRDefault="006A5533" w:rsidP="00C03135">
      <w:pPr>
        <w:rPr>
          <w:sz w:val="16"/>
          <w:szCs w:val="23"/>
        </w:rPr>
      </w:pPr>
    </w:p>
    <w:p w14:paraId="75C2B193" w14:textId="77777777" w:rsidR="00C03135" w:rsidRDefault="00E00B47" w:rsidP="00C03135">
      <w:pPr>
        <w:rPr>
          <w:sz w:val="23"/>
          <w:szCs w:val="23"/>
        </w:rPr>
      </w:pPr>
      <w:r>
        <w:rPr>
          <w:sz w:val="23"/>
          <w:szCs w:val="23"/>
        </w:rPr>
        <w:t>Furthermore</w:t>
      </w:r>
      <w:r w:rsidR="006A5533">
        <w:rPr>
          <w:sz w:val="23"/>
          <w:szCs w:val="23"/>
        </w:rPr>
        <w:t xml:space="preserve">, a </w:t>
      </w:r>
      <w:r w:rsidR="00C03135">
        <w:rPr>
          <w:sz w:val="23"/>
          <w:szCs w:val="23"/>
        </w:rPr>
        <w:t>key criterion for the approval of all accepted Responsive Fund activities was also a clear definition of how human rights issues were being addressed by the proposed activity. The Family Violence and Youth Justice Workshop in the Cook Islands proposed the concept design for a new Youth Court in Rarotonga to ensure that young offenders are now represented and that they have better access to their families, to their communities and other support networks.</w:t>
      </w:r>
    </w:p>
    <w:p w14:paraId="49233C07" w14:textId="77777777" w:rsidR="00236BF7" w:rsidRPr="00E00B47" w:rsidRDefault="00236BF7" w:rsidP="00236BF7">
      <w:pPr>
        <w:rPr>
          <w:sz w:val="16"/>
          <w:highlight w:val="yellow"/>
          <w:lang w:eastAsia="en-US"/>
        </w:rPr>
      </w:pPr>
    </w:p>
    <w:p w14:paraId="67C2BA79" w14:textId="77777777" w:rsidR="00C03135" w:rsidRDefault="00236BF7" w:rsidP="00236BF7">
      <w:pPr>
        <w:rPr>
          <w:sz w:val="23"/>
          <w:szCs w:val="23"/>
        </w:rPr>
      </w:pPr>
      <w:r>
        <w:rPr>
          <w:b/>
          <w:bCs/>
          <w:i/>
          <w:iCs/>
          <w:sz w:val="23"/>
          <w:szCs w:val="23"/>
        </w:rPr>
        <w:t>Sustainability</w:t>
      </w:r>
      <w:r>
        <w:rPr>
          <w:sz w:val="23"/>
          <w:szCs w:val="23"/>
        </w:rPr>
        <w:t xml:space="preserve"> considerations </w:t>
      </w:r>
      <w:r w:rsidR="00C03135">
        <w:rPr>
          <w:sz w:val="23"/>
          <w:szCs w:val="23"/>
        </w:rPr>
        <w:t xml:space="preserve">are </w:t>
      </w:r>
      <w:r>
        <w:rPr>
          <w:sz w:val="23"/>
          <w:szCs w:val="23"/>
        </w:rPr>
        <w:t xml:space="preserve">at the forefront of the development and piloting of the Programme’s toolkits. </w:t>
      </w:r>
      <w:r w:rsidR="00C03135">
        <w:rPr>
          <w:sz w:val="23"/>
          <w:szCs w:val="23"/>
        </w:rPr>
        <w:t xml:space="preserve"> </w:t>
      </w:r>
      <w:r>
        <w:rPr>
          <w:sz w:val="23"/>
          <w:szCs w:val="23"/>
        </w:rPr>
        <w:t xml:space="preserve">Aiming to </w:t>
      </w:r>
      <w:r w:rsidR="00C03135">
        <w:rPr>
          <w:sz w:val="23"/>
          <w:szCs w:val="23"/>
        </w:rPr>
        <w:t xml:space="preserve">support </w:t>
      </w:r>
      <w:r w:rsidR="008F61A4" w:rsidRPr="00D07AB9">
        <w:rPr>
          <w:sz w:val="23"/>
          <w:szCs w:val="23"/>
        </w:rPr>
        <w:t xml:space="preserve">partner courts </w:t>
      </w:r>
      <w:r w:rsidRPr="00D07AB9">
        <w:rPr>
          <w:sz w:val="23"/>
          <w:szCs w:val="23"/>
        </w:rPr>
        <w:t xml:space="preserve">in the local implementation of their judicial </w:t>
      </w:r>
      <w:r w:rsidR="008F61A4" w:rsidRPr="00D07AB9">
        <w:rPr>
          <w:sz w:val="23"/>
          <w:szCs w:val="23"/>
        </w:rPr>
        <w:t xml:space="preserve">and court development </w:t>
      </w:r>
      <w:r w:rsidRPr="00D07AB9">
        <w:rPr>
          <w:sz w:val="23"/>
          <w:szCs w:val="23"/>
        </w:rPr>
        <w:t xml:space="preserve">activities, an additional 7 toolkits </w:t>
      </w:r>
      <w:r w:rsidR="008F61A4" w:rsidRPr="00D07AB9">
        <w:rPr>
          <w:sz w:val="23"/>
          <w:szCs w:val="23"/>
        </w:rPr>
        <w:t xml:space="preserve">(a total of </w:t>
      </w:r>
      <w:r w:rsidR="00FF763D" w:rsidRPr="00D07AB9">
        <w:rPr>
          <w:sz w:val="23"/>
          <w:szCs w:val="23"/>
        </w:rPr>
        <w:t>13</w:t>
      </w:r>
      <w:r w:rsidR="008F61A4" w:rsidRPr="00D07AB9">
        <w:rPr>
          <w:sz w:val="23"/>
          <w:szCs w:val="23"/>
        </w:rPr>
        <w:t xml:space="preserve"> </w:t>
      </w:r>
      <w:r w:rsidR="00C03135" w:rsidRPr="00D07AB9">
        <w:rPr>
          <w:sz w:val="23"/>
          <w:szCs w:val="23"/>
        </w:rPr>
        <w:t>will be available at</w:t>
      </w:r>
      <w:r w:rsidR="00C03135">
        <w:rPr>
          <w:sz w:val="23"/>
          <w:szCs w:val="23"/>
        </w:rPr>
        <w:t xml:space="preserve"> the end of the PJDP</w:t>
      </w:r>
      <w:r w:rsidR="008F61A4">
        <w:rPr>
          <w:sz w:val="23"/>
          <w:szCs w:val="23"/>
        </w:rPr>
        <w:t xml:space="preserve">) </w:t>
      </w:r>
      <w:r>
        <w:rPr>
          <w:sz w:val="23"/>
          <w:szCs w:val="23"/>
        </w:rPr>
        <w:t xml:space="preserve">have been </w:t>
      </w:r>
      <w:r w:rsidR="008F61A4">
        <w:rPr>
          <w:sz w:val="23"/>
          <w:szCs w:val="23"/>
        </w:rPr>
        <w:t xml:space="preserve">or are in the process of being </w:t>
      </w:r>
      <w:r>
        <w:rPr>
          <w:sz w:val="23"/>
          <w:szCs w:val="23"/>
        </w:rPr>
        <w:t>developed and</w:t>
      </w:r>
      <w:r w:rsidR="008F61A4">
        <w:rPr>
          <w:sz w:val="23"/>
          <w:szCs w:val="23"/>
        </w:rPr>
        <w:t xml:space="preserve"> </w:t>
      </w:r>
      <w:r>
        <w:rPr>
          <w:sz w:val="23"/>
          <w:szCs w:val="23"/>
        </w:rPr>
        <w:t xml:space="preserve">piloted during </w:t>
      </w:r>
      <w:r w:rsidR="008F61A4">
        <w:rPr>
          <w:sz w:val="23"/>
          <w:szCs w:val="23"/>
        </w:rPr>
        <w:t xml:space="preserve">this </w:t>
      </w:r>
      <w:r>
        <w:rPr>
          <w:sz w:val="23"/>
          <w:szCs w:val="23"/>
        </w:rPr>
        <w:t xml:space="preserve">reporting period.  </w:t>
      </w:r>
    </w:p>
    <w:p w14:paraId="34789D4F" w14:textId="77777777" w:rsidR="00C03135" w:rsidRPr="00E00B47" w:rsidRDefault="00C03135" w:rsidP="00236BF7">
      <w:pPr>
        <w:rPr>
          <w:sz w:val="16"/>
          <w:szCs w:val="23"/>
        </w:rPr>
      </w:pPr>
    </w:p>
    <w:p w14:paraId="1237A204" w14:textId="77777777" w:rsidR="008F61A4" w:rsidRDefault="008F61A4" w:rsidP="00236BF7">
      <w:pPr>
        <w:rPr>
          <w:sz w:val="23"/>
          <w:szCs w:val="23"/>
        </w:rPr>
      </w:pPr>
      <w:r>
        <w:rPr>
          <w:sz w:val="23"/>
          <w:szCs w:val="23"/>
        </w:rPr>
        <w:t xml:space="preserve">Furthermore, the practical outcomes of the PJDP’s strategy to devolve responsibility to the local level is illustrated </w:t>
      </w:r>
      <w:r w:rsidR="00C03135">
        <w:rPr>
          <w:sz w:val="23"/>
          <w:szCs w:val="23"/>
        </w:rPr>
        <w:t xml:space="preserve">by </w:t>
      </w:r>
      <w:r>
        <w:rPr>
          <w:sz w:val="23"/>
          <w:szCs w:val="23"/>
        </w:rPr>
        <w:t xml:space="preserve">27 </w:t>
      </w:r>
      <w:r w:rsidR="00236BF7">
        <w:rPr>
          <w:sz w:val="23"/>
          <w:szCs w:val="23"/>
        </w:rPr>
        <w:t xml:space="preserve">RTT members and National Trainers </w:t>
      </w:r>
      <w:r>
        <w:rPr>
          <w:sz w:val="23"/>
          <w:szCs w:val="23"/>
        </w:rPr>
        <w:t xml:space="preserve">facilitating / </w:t>
      </w:r>
      <w:r w:rsidR="00236BF7">
        <w:rPr>
          <w:sz w:val="23"/>
          <w:szCs w:val="23"/>
        </w:rPr>
        <w:t>present</w:t>
      </w:r>
      <w:r>
        <w:rPr>
          <w:sz w:val="23"/>
          <w:szCs w:val="23"/>
        </w:rPr>
        <w:t>ing</w:t>
      </w:r>
      <w:r w:rsidR="00236BF7">
        <w:rPr>
          <w:sz w:val="23"/>
          <w:szCs w:val="23"/>
        </w:rPr>
        <w:t xml:space="preserve"> </w:t>
      </w:r>
      <w:r>
        <w:rPr>
          <w:sz w:val="23"/>
          <w:szCs w:val="23"/>
        </w:rPr>
        <w:t xml:space="preserve">at both regional and in-country activities </w:t>
      </w:r>
      <w:r w:rsidR="009877B6">
        <w:rPr>
          <w:sz w:val="23"/>
          <w:szCs w:val="23"/>
        </w:rPr>
        <w:t>in the p</w:t>
      </w:r>
      <w:r w:rsidR="00C03135">
        <w:rPr>
          <w:sz w:val="23"/>
          <w:szCs w:val="23"/>
        </w:rPr>
        <w:t xml:space="preserve">ast 12 months.  This active involvement of non-adviser technical resources </w:t>
      </w:r>
      <w:r>
        <w:rPr>
          <w:sz w:val="23"/>
          <w:szCs w:val="23"/>
        </w:rPr>
        <w:t>includ</w:t>
      </w:r>
      <w:r w:rsidR="00C03135">
        <w:rPr>
          <w:sz w:val="23"/>
          <w:szCs w:val="23"/>
        </w:rPr>
        <w:t>ed</w:t>
      </w:r>
      <w:r>
        <w:rPr>
          <w:sz w:val="23"/>
          <w:szCs w:val="23"/>
        </w:rPr>
        <w:t>:</w:t>
      </w:r>
    </w:p>
    <w:p w14:paraId="7B4F1D69" w14:textId="77777777" w:rsidR="008F61A4" w:rsidRDefault="00634F6A" w:rsidP="00441E66">
      <w:pPr>
        <w:numPr>
          <w:ilvl w:val="0"/>
          <w:numId w:val="61"/>
        </w:numPr>
        <w:spacing w:before="80"/>
        <w:rPr>
          <w:sz w:val="23"/>
          <w:szCs w:val="23"/>
        </w:rPr>
      </w:pPr>
      <w:r>
        <w:rPr>
          <w:sz w:val="23"/>
          <w:szCs w:val="23"/>
        </w:rPr>
        <w:t xml:space="preserve">leading </w:t>
      </w:r>
      <w:r w:rsidR="008F61A4">
        <w:rPr>
          <w:sz w:val="23"/>
          <w:szCs w:val="23"/>
        </w:rPr>
        <w:t xml:space="preserve">the training at </w:t>
      </w:r>
      <w:r w:rsidR="00236BF7">
        <w:rPr>
          <w:sz w:val="23"/>
          <w:szCs w:val="23"/>
        </w:rPr>
        <w:t>the first locally delivered Orientation Training in Pohnpei, FSM</w:t>
      </w:r>
      <w:r>
        <w:rPr>
          <w:sz w:val="23"/>
          <w:szCs w:val="23"/>
        </w:rPr>
        <w:t>;</w:t>
      </w:r>
    </w:p>
    <w:p w14:paraId="25283A8F" w14:textId="77777777" w:rsidR="00634F6A" w:rsidRPr="009877B6" w:rsidRDefault="00634F6A" w:rsidP="009877B6">
      <w:pPr>
        <w:numPr>
          <w:ilvl w:val="0"/>
          <w:numId w:val="61"/>
        </w:numPr>
        <w:spacing w:before="80"/>
        <w:rPr>
          <w:sz w:val="23"/>
          <w:szCs w:val="23"/>
        </w:rPr>
      </w:pPr>
      <w:r>
        <w:rPr>
          <w:sz w:val="23"/>
          <w:szCs w:val="23"/>
        </w:rPr>
        <w:t>co</w:t>
      </w:r>
      <w:r w:rsidR="008F61A4">
        <w:rPr>
          <w:sz w:val="23"/>
          <w:szCs w:val="23"/>
        </w:rPr>
        <w:t>-facilitating sessions at the two Regional Decision Making Workshops in Port Vila, Vanuatu</w:t>
      </w:r>
      <w:r>
        <w:rPr>
          <w:sz w:val="23"/>
          <w:szCs w:val="23"/>
        </w:rPr>
        <w:t>;</w:t>
      </w:r>
      <w:r w:rsidR="009877B6">
        <w:rPr>
          <w:sz w:val="23"/>
          <w:szCs w:val="23"/>
        </w:rPr>
        <w:t xml:space="preserve"> F</w:t>
      </w:r>
      <w:r w:rsidRPr="009877B6">
        <w:rPr>
          <w:sz w:val="23"/>
          <w:szCs w:val="23"/>
        </w:rPr>
        <w:t xml:space="preserve">amily </w:t>
      </w:r>
      <w:r w:rsidR="00236BF7" w:rsidRPr="009877B6">
        <w:rPr>
          <w:sz w:val="23"/>
          <w:szCs w:val="23"/>
        </w:rPr>
        <w:t>Violence and Youth Justice Workshop</w:t>
      </w:r>
      <w:r w:rsidR="00AC4F09" w:rsidRPr="009877B6">
        <w:rPr>
          <w:sz w:val="23"/>
          <w:szCs w:val="23"/>
        </w:rPr>
        <w:t>s/Follow-up Visits</w:t>
      </w:r>
      <w:r w:rsidR="00236BF7" w:rsidRPr="009877B6">
        <w:rPr>
          <w:sz w:val="23"/>
          <w:szCs w:val="23"/>
        </w:rPr>
        <w:t xml:space="preserve"> in</w:t>
      </w:r>
      <w:r w:rsidR="00AC4F09" w:rsidRPr="009877B6">
        <w:rPr>
          <w:sz w:val="23"/>
          <w:szCs w:val="23"/>
        </w:rPr>
        <w:t xml:space="preserve"> Tonga and</w:t>
      </w:r>
      <w:r w:rsidR="00236BF7" w:rsidRPr="009877B6">
        <w:rPr>
          <w:sz w:val="23"/>
          <w:szCs w:val="23"/>
        </w:rPr>
        <w:t xml:space="preserve"> the Cook Islands</w:t>
      </w:r>
      <w:r w:rsidRPr="009877B6">
        <w:rPr>
          <w:sz w:val="23"/>
          <w:szCs w:val="23"/>
        </w:rPr>
        <w:t xml:space="preserve">; and </w:t>
      </w:r>
    </w:p>
    <w:p w14:paraId="135B4BB4" w14:textId="77777777" w:rsidR="00236BF7" w:rsidRDefault="009877B6" w:rsidP="00441E66">
      <w:pPr>
        <w:numPr>
          <w:ilvl w:val="0"/>
          <w:numId w:val="61"/>
        </w:numPr>
        <w:spacing w:before="80"/>
        <w:rPr>
          <w:sz w:val="23"/>
          <w:szCs w:val="23"/>
        </w:rPr>
      </w:pPr>
      <w:proofErr w:type="gramStart"/>
      <w:r>
        <w:rPr>
          <w:sz w:val="23"/>
          <w:szCs w:val="23"/>
        </w:rPr>
        <w:t>deliver</w:t>
      </w:r>
      <w:proofErr w:type="gramEnd"/>
      <w:r>
        <w:rPr>
          <w:sz w:val="23"/>
          <w:szCs w:val="23"/>
        </w:rPr>
        <w:t xml:space="preserve"> of R</w:t>
      </w:r>
      <w:r w:rsidR="00236BF7">
        <w:rPr>
          <w:sz w:val="23"/>
          <w:szCs w:val="23"/>
        </w:rPr>
        <w:t xml:space="preserve">esponsive Fund </w:t>
      </w:r>
      <w:r w:rsidR="00634F6A">
        <w:rPr>
          <w:sz w:val="23"/>
          <w:szCs w:val="23"/>
        </w:rPr>
        <w:t>activities in</w:t>
      </w:r>
      <w:r w:rsidR="004357AC">
        <w:rPr>
          <w:sz w:val="23"/>
          <w:szCs w:val="23"/>
        </w:rPr>
        <w:t xml:space="preserve"> the Cook Islands, FSM, Kiribati, Marshall Islands, Palau, Samoa and Tonga</w:t>
      </w:r>
      <w:r w:rsidR="00634F6A">
        <w:rPr>
          <w:sz w:val="23"/>
          <w:szCs w:val="23"/>
        </w:rPr>
        <w:t>.</w:t>
      </w:r>
    </w:p>
    <w:p w14:paraId="3074045F" w14:textId="77777777" w:rsidR="0039412B" w:rsidRPr="009437D6" w:rsidRDefault="0039412B" w:rsidP="0016706C">
      <w:pPr>
        <w:rPr>
          <w:sz w:val="28"/>
          <w:szCs w:val="23"/>
        </w:rPr>
      </w:pPr>
    </w:p>
    <w:p w14:paraId="6DD86B07" w14:textId="77777777" w:rsidR="0039412B" w:rsidRPr="007942C1" w:rsidRDefault="0039412B" w:rsidP="00FF2C4A">
      <w:pPr>
        <w:pStyle w:val="Heading1"/>
        <w:numPr>
          <w:ilvl w:val="0"/>
          <w:numId w:val="3"/>
        </w:numPr>
        <w:spacing w:before="120"/>
        <w:ind w:hanging="720"/>
        <w:rPr>
          <w:lang w:val="en-AU"/>
        </w:rPr>
      </w:pPr>
      <w:bookmarkStart w:id="51" w:name="_Toc325112226"/>
      <w:bookmarkStart w:id="52" w:name="_Toc391469736"/>
      <w:r w:rsidRPr="007942C1">
        <w:rPr>
          <w:lang w:val="en-AU"/>
        </w:rPr>
        <w:t>Emerging Risks</w:t>
      </w:r>
      <w:bookmarkEnd w:id="51"/>
      <w:bookmarkEnd w:id="52"/>
      <w:r w:rsidRPr="007942C1">
        <w:rPr>
          <w:lang w:val="en-AU"/>
        </w:rPr>
        <w:t xml:space="preserve"> </w:t>
      </w:r>
    </w:p>
    <w:p w14:paraId="228EE66D" w14:textId="77777777" w:rsidR="0039412B" w:rsidRPr="007F0113" w:rsidRDefault="0039412B" w:rsidP="00F71EEE">
      <w:pPr>
        <w:rPr>
          <w:sz w:val="16"/>
        </w:rPr>
      </w:pPr>
    </w:p>
    <w:p w14:paraId="3246724E" w14:textId="77777777" w:rsidR="00E67D35" w:rsidRDefault="00870ED3" w:rsidP="0012129F">
      <w:pPr>
        <w:rPr>
          <w:rFonts w:cs="Calibri"/>
          <w:sz w:val="23"/>
          <w:szCs w:val="23"/>
        </w:rPr>
      </w:pPr>
      <w:r>
        <w:rPr>
          <w:rFonts w:cs="Calibri"/>
          <w:sz w:val="23"/>
          <w:szCs w:val="23"/>
        </w:rPr>
        <w:t>The Programme’s risk management matrix continues to be reviewed periodic</w:t>
      </w:r>
      <w:r w:rsidR="00650570">
        <w:rPr>
          <w:rFonts w:cs="Calibri"/>
          <w:sz w:val="23"/>
          <w:szCs w:val="23"/>
        </w:rPr>
        <w:t>ally</w:t>
      </w:r>
      <w:r w:rsidR="0012129F">
        <w:rPr>
          <w:rFonts w:cs="Calibri"/>
          <w:sz w:val="23"/>
          <w:szCs w:val="23"/>
        </w:rPr>
        <w:t xml:space="preserve">.  No new risks have been </w:t>
      </w:r>
    </w:p>
    <w:p w14:paraId="5F2AB93D" w14:textId="539BE1E4" w:rsidR="0012129F" w:rsidRPr="007942C1" w:rsidRDefault="0012129F" w:rsidP="0012129F">
      <w:pPr>
        <w:rPr>
          <w:rFonts w:cs="Arial"/>
          <w:sz w:val="23"/>
          <w:szCs w:val="23"/>
        </w:rPr>
      </w:pPr>
      <w:proofErr w:type="gramStart"/>
      <w:r>
        <w:rPr>
          <w:rFonts w:cs="Calibri"/>
          <w:sz w:val="23"/>
          <w:szCs w:val="23"/>
        </w:rPr>
        <w:lastRenderedPageBreak/>
        <w:t>identified</w:t>
      </w:r>
      <w:proofErr w:type="gramEnd"/>
      <w:r w:rsidR="00870ED3">
        <w:rPr>
          <w:rFonts w:cs="Calibri"/>
          <w:sz w:val="23"/>
          <w:szCs w:val="23"/>
        </w:rPr>
        <w:t xml:space="preserve"> since last update in January 2014</w:t>
      </w:r>
      <w:r w:rsidR="005E6AD5">
        <w:rPr>
          <w:rFonts w:cs="Calibri"/>
          <w:sz w:val="23"/>
          <w:szCs w:val="23"/>
        </w:rPr>
        <w:t xml:space="preserve">. </w:t>
      </w:r>
      <w:r>
        <w:rPr>
          <w:rFonts w:cs="Calibri"/>
          <w:sz w:val="23"/>
          <w:szCs w:val="23"/>
        </w:rPr>
        <w:t xml:space="preserve"> The full, updated, risk matrix for the 24-month extension period is detailed in </w:t>
      </w:r>
      <w:r w:rsidRPr="00593856">
        <w:rPr>
          <w:rFonts w:cs="Calibri"/>
          <w:b/>
          <w:i/>
          <w:sz w:val="23"/>
          <w:szCs w:val="23"/>
        </w:rPr>
        <w:t>Annex S</w:t>
      </w:r>
      <w:r>
        <w:rPr>
          <w:rFonts w:cs="Calibri"/>
          <w:b/>
          <w:i/>
          <w:sz w:val="23"/>
          <w:szCs w:val="23"/>
        </w:rPr>
        <w:t>ix</w:t>
      </w:r>
      <w:r w:rsidRPr="00593856">
        <w:rPr>
          <w:rFonts w:cs="Calibri"/>
          <w:sz w:val="23"/>
          <w:szCs w:val="23"/>
        </w:rPr>
        <w:t>.</w:t>
      </w:r>
    </w:p>
    <w:p w14:paraId="05114A9B" w14:textId="77777777" w:rsidR="0012129F" w:rsidRPr="0012129F" w:rsidRDefault="0012129F" w:rsidP="00D131E2">
      <w:pPr>
        <w:rPr>
          <w:rFonts w:cs="Calibri"/>
          <w:sz w:val="16"/>
          <w:szCs w:val="23"/>
        </w:rPr>
      </w:pPr>
    </w:p>
    <w:p w14:paraId="0367CFF0" w14:textId="77777777" w:rsidR="0012129F" w:rsidRPr="0012129F" w:rsidRDefault="00AB4B8A" w:rsidP="00D131E2">
      <w:pPr>
        <w:rPr>
          <w:rFonts w:cs="Calibri"/>
          <w:sz w:val="23"/>
          <w:szCs w:val="23"/>
        </w:rPr>
      </w:pPr>
      <w:r>
        <w:rPr>
          <w:rFonts w:cs="Calibri"/>
          <w:sz w:val="23"/>
          <w:szCs w:val="23"/>
        </w:rPr>
        <w:t xml:space="preserve">As part of the </w:t>
      </w:r>
      <w:r w:rsidR="005E6AD5">
        <w:rPr>
          <w:rFonts w:cs="Calibri"/>
          <w:sz w:val="23"/>
          <w:szCs w:val="23"/>
        </w:rPr>
        <w:t>MSC</w:t>
      </w:r>
      <w:r>
        <w:rPr>
          <w:rFonts w:cs="Calibri"/>
          <w:sz w:val="23"/>
          <w:szCs w:val="23"/>
        </w:rPr>
        <w:t xml:space="preserve">’s commitment to continuous improvement in its systems and processes the Risk Management Strategy has been reviewed, updated and adapted into a user friendly resource for travelling in-country personnel. The Travel Risk Management Plan is compact and provides immediate guidance on the management of risks as they arise. </w:t>
      </w:r>
    </w:p>
    <w:p w14:paraId="7741EA78" w14:textId="77777777" w:rsidR="00F11142" w:rsidRPr="009437D6" w:rsidRDefault="00F11142" w:rsidP="00D131E2">
      <w:pPr>
        <w:rPr>
          <w:rFonts w:cs="Arial"/>
          <w:sz w:val="28"/>
          <w:szCs w:val="23"/>
        </w:rPr>
      </w:pPr>
    </w:p>
    <w:p w14:paraId="36CCF2EF" w14:textId="77777777" w:rsidR="0039412B" w:rsidRPr="007942C1" w:rsidRDefault="0039412B" w:rsidP="00FF2C4A">
      <w:pPr>
        <w:pStyle w:val="Heading1"/>
        <w:numPr>
          <w:ilvl w:val="0"/>
          <w:numId w:val="3"/>
        </w:numPr>
        <w:spacing w:before="120"/>
        <w:ind w:hanging="720"/>
        <w:rPr>
          <w:szCs w:val="26"/>
          <w:lang w:val="en-AU"/>
        </w:rPr>
      </w:pPr>
      <w:bookmarkStart w:id="53" w:name="_Toc325112227"/>
      <w:bookmarkStart w:id="54" w:name="_Toc391469737"/>
      <w:r w:rsidRPr="007942C1">
        <w:rPr>
          <w:rFonts w:cs="Arial"/>
          <w:szCs w:val="26"/>
          <w:lang w:val="en-AU"/>
        </w:rPr>
        <w:t xml:space="preserve">Lessons </w:t>
      </w:r>
      <w:bookmarkEnd w:id="53"/>
      <w:r w:rsidRPr="007942C1">
        <w:rPr>
          <w:rFonts w:cs="Arial"/>
          <w:szCs w:val="26"/>
          <w:lang w:val="en-AU"/>
        </w:rPr>
        <w:t>Lea</w:t>
      </w:r>
      <w:r w:rsidR="005E6AD5">
        <w:rPr>
          <w:rFonts w:cs="Arial"/>
          <w:szCs w:val="26"/>
          <w:lang w:val="en-AU"/>
        </w:rPr>
        <w:t>r</w:t>
      </w:r>
      <w:r w:rsidRPr="007942C1">
        <w:rPr>
          <w:rFonts w:cs="Arial"/>
          <w:szCs w:val="26"/>
          <w:lang w:val="en-AU"/>
        </w:rPr>
        <w:t>n</w:t>
      </w:r>
      <w:r w:rsidR="005E6AD5">
        <w:rPr>
          <w:rFonts w:cs="Arial"/>
          <w:szCs w:val="26"/>
          <w:lang w:val="en-AU"/>
        </w:rPr>
        <w:t>t</w:t>
      </w:r>
      <w:bookmarkEnd w:id="54"/>
      <w:r w:rsidRPr="007942C1">
        <w:rPr>
          <w:rFonts w:cs="Arial"/>
          <w:szCs w:val="26"/>
          <w:lang w:val="en-AU"/>
        </w:rPr>
        <w:t xml:space="preserve"> </w:t>
      </w:r>
    </w:p>
    <w:p w14:paraId="6F907FAE" w14:textId="77777777" w:rsidR="0039412B" w:rsidRPr="007F0113" w:rsidRDefault="0039412B" w:rsidP="00D131E2">
      <w:pPr>
        <w:rPr>
          <w:sz w:val="16"/>
          <w:szCs w:val="20"/>
        </w:rPr>
      </w:pPr>
    </w:p>
    <w:p w14:paraId="157F33A5" w14:textId="77777777" w:rsidR="00AB4B8A" w:rsidRPr="00FB4D03" w:rsidRDefault="0039412B" w:rsidP="00AB4B8A">
      <w:pPr>
        <w:rPr>
          <w:rFonts w:cs="Calibri"/>
          <w:sz w:val="23"/>
          <w:szCs w:val="23"/>
        </w:rPr>
      </w:pPr>
      <w:r w:rsidRPr="007942C1">
        <w:rPr>
          <w:rFonts w:cs="Arial Narrow"/>
          <w:sz w:val="23"/>
          <w:szCs w:val="23"/>
        </w:rPr>
        <w:t xml:space="preserve">As part of the MSC’s commitment to continuous improvement, a </w:t>
      </w:r>
      <w:r w:rsidRPr="007942C1">
        <w:rPr>
          <w:sz w:val="23"/>
          <w:szCs w:val="23"/>
        </w:rPr>
        <w:t xml:space="preserve">comprehensive analysis of lessons learned from implementing PJDP </w:t>
      </w:r>
      <w:r>
        <w:rPr>
          <w:sz w:val="23"/>
          <w:szCs w:val="23"/>
        </w:rPr>
        <w:t>was developed and</w:t>
      </w:r>
      <w:r w:rsidRPr="007942C1">
        <w:rPr>
          <w:sz w:val="23"/>
          <w:szCs w:val="23"/>
        </w:rPr>
        <w:t xml:space="preserve"> submitted in sa</w:t>
      </w:r>
      <w:r w:rsidR="00AB4B8A">
        <w:rPr>
          <w:sz w:val="23"/>
          <w:szCs w:val="23"/>
        </w:rPr>
        <w:t xml:space="preserve">tisfaction of Milestone 22(b). </w:t>
      </w:r>
      <w:r w:rsidR="00AB4B8A" w:rsidRPr="00FB4D03">
        <w:rPr>
          <w:sz w:val="23"/>
          <w:szCs w:val="23"/>
        </w:rPr>
        <w:t xml:space="preserve">These lessons </w:t>
      </w:r>
      <w:r w:rsidR="00AB4B8A" w:rsidRPr="00FB4D03">
        <w:rPr>
          <w:rFonts w:cs="Calibri"/>
          <w:sz w:val="23"/>
          <w:szCs w:val="23"/>
        </w:rPr>
        <w:t xml:space="preserve">have been </w:t>
      </w:r>
      <w:r w:rsidR="00AB4B8A">
        <w:rPr>
          <w:rFonts w:cs="Calibri"/>
          <w:sz w:val="23"/>
          <w:szCs w:val="23"/>
        </w:rPr>
        <w:t xml:space="preserve">continuously </w:t>
      </w:r>
      <w:r w:rsidR="00AB4B8A" w:rsidRPr="00FB4D03">
        <w:rPr>
          <w:rFonts w:cs="Calibri"/>
          <w:sz w:val="23"/>
          <w:szCs w:val="23"/>
        </w:rPr>
        <w:t xml:space="preserve">reviewed as part of the </w:t>
      </w:r>
      <w:r w:rsidR="00AB4B8A">
        <w:rPr>
          <w:rFonts w:cs="Calibri"/>
          <w:sz w:val="23"/>
          <w:szCs w:val="23"/>
        </w:rPr>
        <w:t>24-month Extension Plan design process and again in developing this progress</w:t>
      </w:r>
      <w:r w:rsidR="00AB4B8A" w:rsidRPr="00FB4D03">
        <w:rPr>
          <w:rFonts w:cs="Calibri"/>
          <w:sz w:val="23"/>
          <w:szCs w:val="23"/>
        </w:rPr>
        <w:t xml:space="preserve"> report</w:t>
      </w:r>
      <w:r w:rsidR="00AB4B8A">
        <w:rPr>
          <w:rFonts w:cs="Calibri"/>
          <w:sz w:val="23"/>
          <w:szCs w:val="23"/>
        </w:rPr>
        <w:t>,</w:t>
      </w:r>
      <w:r w:rsidR="00AB4B8A" w:rsidRPr="00FB4D03">
        <w:rPr>
          <w:rFonts w:cs="Calibri"/>
          <w:sz w:val="23"/>
          <w:szCs w:val="23"/>
        </w:rPr>
        <w:t xml:space="preserve"> and are considered to remain valid and current.</w:t>
      </w:r>
    </w:p>
    <w:p w14:paraId="4BECF71D" w14:textId="77777777" w:rsidR="0039412B" w:rsidRPr="009437D6" w:rsidRDefault="0039412B" w:rsidP="00584A0B">
      <w:pPr>
        <w:rPr>
          <w:rFonts w:cs="Arial Narrow"/>
          <w:sz w:val="28"/>
          <w:szCs w:val="23"/>
        </w:rPr>
      </w:pPr>
    </w:p>
    <w:p w14:paraId="5CD0F9E3" w14:textId="77777777" w:rsidR="0039412B" w:rsidRPr="007942C1" w:rsidRDefault="0039412B" w:rsidP="00FF2C4A">
      <w:pPr>
        <w:pStyle w:val="Heading1"/>
        <w:numPr>
          <w:ilvl w:val="0"/>
          <w:numId w:val="3"/>
        </w:numPr>
        <w:spacing w:before="60"/>
        <w:ind w:hanging="720"/>
        <w:rPr>
          <w:szCs w:val="26"/>
          <w:lang w:val="en-AU"/>
        </w:rPr>
      </w:pPr>
      <w:bookmarkStart w:id="55" w:name="_Toc391469738"/>
      <w:r w:rsidRPr="007942C1">
        <w:rPr>
          <w:szCs w:val="26"/>
          <w:lang w:val="en-AU"/>
        </w:rPr>
        <w:t>Conclusio</w:t>
      </w:r>
      <w:bookmarkEnd w:id="6"/>
      <w:r w:rsidRPr="007942C1">
        <w:rPr>
          <w:szCs w:val="26"/>
          <w:lang w:val="en-AU"/>
        </w:rPr>
        <w:t>n</w:t>
      </w:r>
      <w:bookmarkEnd w:id="55"/>
      <w:r w:rsidRPr="007942C1">
        <w:rPr>
          <w:szCs w:val="26"/>
          <w:lang w:val="en-AU"/>
        </w:rPr>
        <w:t xml:space="preserve"> </w:t>
      </w:r>
    </w:p>
    <w:p w14:paraId="580F57F3" w14:textId="77777777" w:rsidR="0039412B" w:rsidRPr="00911277" w:rsidRDefault="00AE438A" w:rsidP="00AE438A">
      <w:pPr>
        <w:tabs>
          <w:tab w:val="left" w:pos="2289"/>
        </w:tabs>
        <w:rPr>
          <w:sz w:val="23"/>
          <w:szCs w:val="23"/>
        </w:rPr>
      </w:pPr>
      <w:r>
        <w:rPr>
          <w:sz w:val="23"/>
          <w:szCs w:val="23"/>
        </w:rPr>
        <w:tab/>
      </w:r>
    </w:p>
    <w:p w14:paraId="5FADE0FD" w14:textId="77777777" w:rsidR="00393C6F" w:rsidRDefault="00AE438A" w:rsidP="000D17C8">
      <w:pPr>
        <w:rPr>
          <w:sz w:val="23"/>
          <w:szCs w:val="23"/>
        </w:rPr>
      </w:pPr>
      <w:r>
        <w:rPr>
          <w:sz w:val="23"/>
          <w:szCs w:val="23"/>
        </w:rPr>
        <w:t xml:space="preserve">At the half-way point in the 24-month extension period, </w:t>
      </w:r>
      <w:r w:rsidR="00393C6F">
        <w:rPr>
          <w:sz w:val="23"/>
          <w:szCs w:val="23"/>
        </w:rPr>
        <w:t xml:space="preserve">implementation of </w:t>
      </w:r>
      <w:r>
        <w:rPr>
          <w:sz w:val="23"/>
          <w:szCs w:val="23"/>
        </w:rPr>
        <w:t xml:space="preserve">all </w:t>
      </w:r>
      <w:r w:rsidR="00393C6F">
        <w:rPr>
          <w:sz w:val="23"/>
          <w:szCs w:val="23"/>
        </w:rPr>
        <w:t xml:space="preserve">approved projects, as well as </w:t>
      </w:r>
      <w:r w:rsidR="00C47436">
        <w:rPr>
          <w:sz w:val="23"/>
          <w:szCs w:val="23"/>
        </w:rPr>
        <w:t xml:space="preserve">of </w:t>
      </w:r>
      <w:r w:rsidR="00393C6F">
        <w:rPr>
          <w:sz w:val="23"/>
          <w:szCs w:val="23"/>
        </w:rPr>
        <w:t>three additional activities, has commenced</w:t>
      </w:r>
      <w:r w:rsidR="00C47436">
        <w:rPr>
          <w:sz w:val="23"/>
          <w:szCs w:val="23"/>
        </w:rPr>
        <w:t xml:space="preserve"> and is progressing according to the schedule discussed and approved at the PEC meeting and Chief Justices’ Leadership Workshop in March</w:t>
      </w:r>
      <w:r>
        <w:rPr>
          <w:sz w:val="23"/>
          <w:szCs w:val="23"/>
        </w:rPr>
        <w:t xml:space="preserve">.  </w:t>
      </w:r>
    </w:p>
    <w:p w14:paraId="2C9D3057" w14:textId="77777777" w:rsidR="00393C6F" w:rsidRPr="00C47436" w:rsidRDefault="00393C6F" w:rsidP="000D17C8">
      <w:pPr>
        <w:rPr>
          <w:sz w:val="16"/>
          <w:szCs w:val="23"/>
        </w:rPr>
      </w:pPr>
    </w:p>
    <w:p w14:paraId="255438B2" w14:textId="77777777" w:rsidR="0039412B" w:rsidRDefault="00AE438A" w:rsidP="000D17C8">
      <w:pPr>
        <w:rPr>
          <w:rFonts w:cs="Verdana"/>
          <w:bCs/>
          <w:sz w:val="23"/>
          <w:szCs w:val="23"/>
        </w:rPr>
      </w:pPr>
      <w:r>
        <w:rPr>
          <w:sz w:val="23"/>
          <w:szCs w:val="23"/>
        </w:rPr>
        <w:t>The PJDP Team is grateful for the ongoing direction and support of the region’s leadership in leading and guiding these activities</w:t>
      </w:r>
      <w:r>
        <w:rPr>
          <w:rFonts w:cs="Verdana"/>
          <w:bCs/>
          <w:sz w:val="23"/>
          <w:szCs w:val="23"/>
        </w:rPr>
        <w:t xml:space="preserve">.  Without this high-level support, it would not be possible for the PJDP Team to implement the Programme.  </w:t>
      </w:r>
    </w:p>
    <w:p w14:paraId="2B0FDC42" w14:textId="77777777" w:rsidR="0039412B" w:rsidRPr="007942C1" w:rsidRDefault="0039412B" w:rsidP="008F524F">
      <w:pPr>
        <w:rPr>
          <w:rFonts w:cs="Arial"/>
          <w:bCs/>
          <w:kern w:val="32"/>
          <w:sz w:val="20"/>
          <w:szCs w:val="20"/>
          <w:lang w:eastAsia="en-US"/>
        </w:rPr>
      </w:pPr>
    </w:p>
    <w:p w14:paraId="1A81906B" w14:textId="77777777" w:rsidR="0039412B" w:rsidRPr="007942C1" w:rsidRDefault="0039412B" w:rsidP="008F524F">
      <w:pPr>
        <w:rPr>
          <w:sz w:val="20"/>
          <w:szCs w:val="20"/>
          <w:lang w:eastAsia="en-US"/>
        </w:rPr>
        <w:sectPr w:rsidR="0039412B" w:rsidRPr="007942C1" w:rsidSect="0060320D">
          <w:pgSz w:w="11907" w:h="16840" w:code="9"/>
          <w:pgMar w:top="1361" w:right="1304" w:bottom="1418" w:left="1531" w:header="397" w:footer="680" w:gutter="0"/>
          <w:pgNumType w:start="1"/>
          <w:cols w:space="708"/>
          <w:docGrid w:linePitch="360"/>
        </w:sectPr>
      </w:pPr>
    </w:p>
    <w:p w14:paraId="778E1470" w14:textId="77777777" w:rsidR="0039412B" w:rsidRPr="007942C1" w:rsidRDefault="0039412B" w:rsidP="007E1599">
      <w:pPr>
        <w:pStyle w:val="Heading1"/>
        <w:ind w:left="0" w:firstLine="0"/>
        <w:rPr>
          <w:szCs w:val="26"/>
          <w:lang w:val="en-AU"/>
        </w:rPr>
      </w:pPr>
      <w:bookmarkStart w:id="56" w:name="_Toc391469739"/>
      <w:r w:rsidRPr="007942C1">
        <w:rPr>
          <w:szCs w:val="26"/>
          <w:lang w:val="en-AU"/>
        </w:rPr>
        <w:lastRenderedPageBreak/>
        <w:t>Annexes</w:t>
      </w:r>
      <w:bookmarkEnd w:id="56"/>
    </w:p>
    <w:p w14:paraId="20B2F60A" w14:textId="77777777" w:rsidR="0039412B" w:rsidRPr="007942C1" w:rsidRDefault="0039412B" w:rsidP="00EA0BAD">
      <w:pPr>
        <w:rPr>
          <w:lang w:eastAsia="en-US"/>
        </w:rPr>
      </w:pPr>
    </w:p>
    <w:p w14:paraId="0C95A019" w14:textId="77777777" w:rsidR="0039412B" w:rsidRPr="00912465" w:rsidRDefault="00146CE8" w:rsidP="00912465">
      <w:pPr>
        <w:rPr>
          <w:sz w:val="23"/>
          <w:szCs w:val="23"/>
        </w:rPr>
      </w:pPr>
      <w:bookmarkStart w:id="57" w:name="_Toc391469740"/>
      <w:r w:rsidRPr="00912465">
        <w:rPr>
          <w:sz w:val="23"/>
          <w:szCs w:val="23"/>
        </w:rPr>
        <w:t>Annex One:</w:t>
      </w:r>
      <w:r w:rsidR="002713CA" w:rsidRPr="00912465">
        <w:rPr>
          <w:sz w:val="23"/>
          <w:szCs w:val="23"/>
        </w:rPr>
        <w:tab/>
        <w:t xml:space="preserve">Progress </w:t>
      </w:r>
      <w:proofErr w:type="gramStart"/>
      <w:r w:rsidR="002713CA" w:rsidRPr="00912465">
        <w:rPr>
          <w:sz w:val="23"/>
          <w:szCs w:val="23"/>
        </w:rPr>
        <w:t>Against</w:t>
      </w:r>
      <w:proofErr w:type="gramEnd"/>
      <w:r w:rsidR="002713CA" w:rsidRPr="00912465">
        <w:rPr>
          <w:sz w:val="23"/>
          <w:szCs w:val="23"/>
        </w:rPr>
        <w:t xml:space="preserve"> Approved Monitori</w:t>
      </w:r>
      <w:r w:rsidR="00CD2F38" w:rsidRPr="00912465">
        <w:rPr>
          <w:sz w:val="23"/>
          <w:szCs w:val="23"/>
        </w:rPr>
        <w:t>ng and Evaluation Framework -</w:t>
      </w:r>
      <w:r w:rsidR="002713CA" w:rsidRPr="00912465">
        <w:rPr>
          <w:sz w:val="23"/>
          <w:szCs w:val="23"/>
        </w:rPr>
        <w:t xml:space="preserve"> at 30 June 2014</w:t>
      </w:r>
      <w:bookmarkEnd w:id="57"/>
    </w:p>
    <w:p w14:paraId="632B96FA" w14:textId="77777777" w:rsidR="00146CE8" w:rsidRPr="00912465" w:rsidRDefault="00146CE8" w:rsidP="00912465">
      <w:pPr>
        <w:rPr>
          <w:sz w:val="23"/>
          <w:szCs w:val="23"/>
          <w:lang w:eastAsia="en-US"/>
        </w:rPr>
      </w:pPr>
    </w:p>
    <w:p w14:paraId="1A4BE1FE" w14:textId="77777777" w:rsidR="00146CE8" w:rsidRPr="00912465" w:rsidRDefault="00146CE8" w:rsidP="00912465">
      <w:pPr>
        <w:rPr>
          <w:sz w:val="23"/>
          <w:szCs w:val="23"/>
          <w:lang w:eastAsia="en-US"/>
        </w:rPr>
      </w:pPr>
      <w:r w:rsidRPr="00912465">
        <w:rPr>
          <w:sz w:val="23"/>
          <w:szCs w:val="23"/>
          <w:lang w:eastAsia="en-US"/>
        </w:rPr>
        <w:t>Annex Two:</w:t>
      </w:r>
      <w:r w:rsidR="002713CA" w:rsidRPr="00912465">
        <w:rPr>
          <w:sz w:val="23"/>
          <w:szCs w:val="23"/>
          <w:lang w:eastAsia="en-US"/>
        </w:rPr>
        <w:tab/>
      </w:r>
      <w:r w:rsidR="002713CA" w:rsidRPr="00912465">
        <w:rPr>
          <w:sz w:val="23"/>
          <w:szCs w:val="23"/>
        </w:rPr>
        <w:t>Milestone Reports and Submission Dates</w:t>
      </w:r>
    </w:p>
    <w:p w14:paraId="6C2999B3" w14:textId="77777777" w:rsidR="00146CE8" w:rsidRPr="00912465" w:rsidRDefault="00146CE8" w:rsidP="00912465">
      <w:pPr>
        <w:rPr>
          <w:sz w:val="23"/>
          <w:szCs w:val="23"/>
          <w:lang w:eastAsia="en-US"/>
        </w:rPr>
      </w:pPr>
    </w:p>
    <w:p w14:paraId="12FA4C5C" w14:textId="77777777" w:rsidR="00146CE8" w:rsidRPr="00912465" w:rsidRDefault="00146CE8" w:rsidP="00912465">
      <w:pPr>
        <w:rPr>
          <w:sz w:val="23"/>
          <w:szCs w:val="23"/>
        </w:rPr>
      </w:pPr>
      <w:r w:rsidRPr="00912465">
        <w:rPr>
          <w:sz w:val="23"/>
          <w:szCs w:val="23"/>
          <w:lang w:eastAsia="en-US"/>
        </w:rPr>
        <w:t>Annex Three:</w:t>
      </w:r>
      <w:r w:rsidR="002713CA" w:rsidRPr="00912465">
        <w:rPr>
          <w:sz w:val="23"/>
          <w:szCs w:val="23"/>
          <w:lang w:eastAsia="en-US"/>
        </w:rPr>
        <w:tab/>
      </w:r>
      <w:r w:rsidR="002713CA" w:rsidRPr="00912465">
        <w:rPr>
          <w:sz w:val="23"/>
          <w:szCs w:val="23"/>
        </w:rPr>
        <w:t>Financial Summary as at 31 May, 2014</w:t>
      </w:r>
    </w:p>
    <w:p w14:paraId="2750214B" w14:textId="77777777" w:rsidR="00146CE8" w:rsidRPr="00912465" w:rsidRDefault="00146CE8" w:rsidP="00912465">
      <w:pPr>
        <w:rPr>
          <w:sz w:val="23"/>
          <w:szCs w:val="23"/>
          <w:lang w:eastAsia="en-US"/>
        </w:rPr>
      </w:pPr>
    </w:p>
    <w:p w14:paraId="4819F2BE" w14:textId="77777777" w:rsidR="00146CE8" w:rsidRPr="00912465" w:rsidRDefault="00146CE8" w:rsidP="00912465">
      <w:pPr>
        <w:rPr>
          <w:sz w:val="23"/>
          <w:szCs w:val="23"/>
          <w:lang w:eastAsia="en-US"/>
        </w:rPr>
      </w:pPr>
      <w:r w:rsidRPr="00912465">
        <w:rPr>
          <w:sz w:val="23"/>
          <w:szCs w:val="23"/>
          <w:lang w:eastAsia="en-US"/>
        </w:rPr>
        <w:t>Annex Four:</w:t>
      </w:r>
      <w:r w:rsidR="00EC222F" w:rsidRPr="00912465">
        <w:rPr>
          <w:sz w:val="23"/>
          <w:szCs w:val="23"/>
          <w:lang w:eastAsia="en-US"/>
        </w:rPr>
        <w:tab/>
      </w:r>
      <w:r w:rsidR="00EC222F" w:rsidRPr="00912465">
        <w:rPr>
          <w:sz w:val="23"/>
          <w:szCs w:val="23"/>
        </w:rPr>
        <w:t xml:space="preserve">Summary of Additional, Un-costed, and Pro Bono Support Mobilised by the FCA for </w:t>
      </w:r>
      <w:r w:rsidR="00742B0F" w:rsidRPr="00912465">
        <w:rPr>
          <w:sz w:val="23"/>
          <w:szCs w:val="23"/>
        </w:rPr>
        <w:tab/>
      </w:r>
      <w:r w:rsidR="00742B0F" w:rsidRPr="00912465">
        <w:rPr>
          <w:sz w:val="23"/>
          <w:szCs w:val="23"/>
        </w:rPr>
        <w:tab/>
      </w:r>
      <w:r w:rsidR="00912465">
        <w:rPr>
          <w:sz w:val="23"/>
          <w:szCs w:val="23"/>
        </w:rPr>
        <w:tab/>
      </w:r>
      <w:r w:rsidR="00EC222F" w:rsidRPr="00912465">
        <w:rPr>
          <w:sz w:val="23"/>
          <w:szCs w:val="23"/>
        </w:rPr>
        <w:t>PJDP (1 January-30 June 2014)</w:t>
      </w:r>
    </w:p>
    <w:p w14:paraId="26823B37" w14:textId="77777777" w:rsidR="00EC222F" w:rsidRPr="00912465" w:rsidRDefault="00EC222F" w:rsidP="00912465">
      <w:pPr>
        <w:rPr>
          <w:sz w:val="23"/>
          <w:szCs w:val="23"/>
          <w:lang w:eastAsia="en-US"/>
        </w:rPr>
      </w:pPr>
    </w:p>
    <w:p w14:paraId="6D267ECD" w14:textId="77777777" w:rsidR="00EC222F" w:rsidRPr="00912465" w:rsidRDefault="00EC222F" w:rsidP="00912465">
      <w:pPr>
        <w:rPr>
          <w:sz w:val="23"/>
          <w:szCs w:val="23"/>
        </w:rPr>
      </w:pPr>
      <w:r w:rsidRPr="00912465">
        <w:rPr>
          <w:sz w:val="23"/>
          <w:szCs w:val="23"/>
          <w:lang w:eastAsia="en-US"/>
        </w:rPr>
        <w:t xml:space="preserve">Annex Five: </w:t>
      </w:r>
      <w:r w:rsidRPr="00912465">
        <w:rPr>
          <w:sz w:val="23"/>
          <w:szCs w:val="23"/>
          <w:lang w:eastAsia="en-US"/>
        </w:rPr>
        <w:tab/>
      </w:r>
      <w:r w:rsidRPr="00912465">
        <w:rPr>
          <w:iCs/>
          <w:sz w:val="23"/>
          <w:szCs w:val="23"/>
        </w:rPr>
        <w:t>Self-assessment</w:t>
      </w:r>
      <w:r w:rsidRPr="00912465">
        <w:rPr>
          <w:sz w:val="23"/>
          <w:szCs w:val="23"/>
        </w:rPr>
        <w:t xml:space="preserve"> </w:t>
      </w:r>
      <w:proofErr w:type="gramStart"/>
      <w:r w:rsidRPr="00912465">
        <w:rPr>
          <w:sz w:val="23"/>
          <w:szCs w:val="23"/>
        </w:rPr>
        <w:t>Against</w:t>
      </w:r>
      <w:proofErr w:type="gramEnd"/>
      <w:r w:rsidRPr="00912465">
        <w:rPr>
          <w:sz w:val="23"/>
          <w:szCs w:val="23"/>
        </w:rPr>
        <w:t xml:space="preserve"> the Quality Indicators in the Contract</w:t>
      </w:r>
    </w:p>
    <w:p w14:paraId="78DB65CC" w14:textId="77777777" w:rsidR="00EC222F" w:rsidRPr="00912465" w:rsidRDefault="00EC222F" w:rsidP="00912465">
      <w:pPr>
        <w:rPr>
          <w:sz w:val="23"/>
          <w:szCs w:val="23"/>
        </w:rPr>
      </w:pPr>
    </w:p>
    <w:p w14:paraId="13DD2F89" w14:textId="77777777" w:rsidR="00EC222F" w:rsidRPr="00912465" w:rsidRDefault="00EC222F" w:rsidP="00912465">
      <w:pPr>
        <w:rPr>
          <w:sz w:val="23"/>
          <w:szCs w:val="23"/>
        </w:rPr>
      </w:pPr>
      <w:r w:rsidRPr="00912465">
        <w:rPr>
          <w:sz w:val="23"/>
          <w:szCs w:val="23"/>
        </w:rPr>
        <w:t>Annex S</w:t>
      </w:r>
      <w:r w:rsidR="00742B0F" w:rsidRPr="00912465">
        <w:rPr>
          <w:sz w:val="23"/>
          <w:szCs w:val="23"/>
        </w:rPr>
        <w:t>ix</w:t>
      </w:r>
      <w:r w:rsidRPr="00912465">
        <w:rPr>
          <w:sz w:val="23"/>
          <w:szCs w:val="23"/>
        </w:rPr>
        <w:t>:</w:t>
      </w:r>
      <w:r w:rsidRPr="00912465">
        <w:rPr>
          <w:sz w:val="23"/>
          <w:szCs w:val="23"/>
        </w:rPr>
        <w:tab/>
        <w:t>Risk Analysis and Management</w:t>
      </w:r>
    </w:p>
    <w:p w14:paraId="277547F4" w14:textId="77777777" w:rsidR="00EC222F" w:rsidRDefault="00EC222F" w:rsidP="00146CE8"/>
    <w:p w14:paraId="5956236C" w14:textId="77777777" w:rsidR="0039412B" w:rsidRPr="007942C1" w:rsidRDefault="0039412B" w:rsidP="002A7D34">
      <w:pPr>
        <w:spacing w:before="120" w:after="120"/>
        <w:rPr>
          <w:rFonts w:cs="Arial"/>
          <w:b/>
          <w:szCs w:val="25"/>
          <w:lang w:eastAsia="en-US"/>
        </w:rPr>
      </w:pPr>
    </w:p>
    <w:p w14:paraId="5899C086" w14:textId="77777777" w:rsidR="0039412B" w:rsidRPr="007942C1" w:rsidRDefault="0039412B" w:rsidP="00C20128">
      <w:pPr>
        <w:rPr>
          <w:lang w:eastAsia="en-US"/>
        </w:rPr>
        <w:sectPr w:rsidR="0039412B" w:rsidRPr="007942C1" w:rsidSect="0060320D">
          <w:headerReference w:type="default" r:id="rId16"/>
          <w:footerReference w:type="default" r:id="rId17"/>
          <w:pgSz w:w="11907" w:h="16840" w:code="9"/>
          <w:pgMar w:top="1361" w:right="1304" w:bottom="1418" w:left="1531" w:header="397" w:footer="680" w:gutter="0"/>
          <w:pgNumType w:start="1"/>
          <w:cols w:space="708"/>
          <w:docGrid w:linePitch="360"/>
        </w:sectPr>
      </w:pPr>
    </w:p>
    <w:p w14:paraId="1D7BA9CD" w14:textId="77777777" w:rsidR="0039412B" w:rsidRPr="007942C1" w:rsidRDefault="0039412B" w:rsidP="00AD7FB5">
      <w:pPr>
        <w:pStyle w:val="Heading1"/>
        <w:rPr>
          <w:lang w:val="en-AU"/>
        </w:rPr>
      </w:pPr>
      <w:bookmarkStart w:id="58" w:name="_Toc391469741"/>
      <w:r w:rsidRPr="007942C1">
        <w:rPr>
          <w:lang w:val="en-AU"/>
        </w:rPr>
        <w:lastRenderedPageBreak/>
        <w:t xml:space="preserve">Annex </w:t>
      </w:r>
      <w:r>
        <w:rPr>
          <w:lang w:val="en-AU"/>
        </w:rPr>
        <w:t>One</w:t>
      </w:r>
      <w:r w:rsidRPr="007942C1">
        <w:rPr>
          <w:lang w:val="en-AU"/>
        </w:rPr>
        <w:t xml:space="preserve"> - Progress Against Approved </w:t>
      </w:r>
      <w:r w:rsidRPr="002462BB">
        <w:rPr>
          <w:lang w:val="en-AU"/>
        </w:rPr>
        <w:t>Monitoring and Evaluation Framework</w:t>
      </w:r>
      <w:r w:rsidRPr="007942C1">
        <w:rPr>
          <w:lang w:val="en-AU"/>
        </w:rPr>
        <w:t xml:space="preserve"> </w:t>
      </w:r>
      <w:r>
        <w:rPr>
          <w:lang w:val="en-AU"/>
        </w:rPr>
        <w:t>-</w:t>
      </w:r>
      <w:r w:rsidR="002462BB">
        <w:rPr>
          <w:lang w:val="en-AU"/>
        </w:rPr>
        <w:t xml:space="preserve"> </w:t>
      </w:r>
      <w:r w:rsidRPr="007942C1">
        <w:rPr>
          <w:lang w:val="en-AU"/>
        </w:rPr>
        <w:t>at 30 June 201</w:t>
      </w:r>
      <w:r w:rsidR="002462BB">
        <w:rPr>
          <w:lang w:val="en-AU"/>
        </w:rPr>
        <w:t>4</w:t>
      </w:r>
      <w:bookmarkEnd w:id="58"/>
    </w:p>
    <w:p w14:paraId="2C2DDE23" w14:textId="77777777" w:rsidR="0039412B" w:rsidRPr="007942C1" w:rsidRDefault="0039412B" w:rsidP="00C95942">
      <w:pPr>
        <w:keepNext/>
        <w:ind w:left="709" w:hanging="709"/>
        <w:jc w:val="center"/>
        <w:outlineLvl w:val="0"/>
        <w:rPr>
          <w:rFonts w:cs="Arial"/>
          <w:b/>
          <w:bCs/>
          <w:smallCaps/>
          <w:kern w:val="32"/>
          <w:sz w:val="26"/>
          <w:szCs w:val="27"/>
          <w:lang w:eastAsia="en-US"/>
        </w:rPr>
      </w:pPr>
    </w:p>
    <w:p w14:paraId="76AFB52F" w14:textId="77777777" w:rsidR="0039412B" w:rsidRPr="00D65E2A" w:rsidRDefault="0039412B" w:rsidP="00027BD2">
      <w:pPr>
        <w:rPr>
          <w:sz w:val="2"/>
          <w:lang w:eastAsia="en-US"/>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1694"/>
        <w:gridCol w:w="1798"/>
        <w:gridCol w:w="2693"/>
        <w:gridCol w:w="1843"/>
        <w:gridCol w:w="2178"/>
        <w:gridCol w:w="1559"/>
        <w:gridCol w:w="851"/>
      </w:tblGrid>
      <w:tr w:rsidR="00BB3746" w:rsidRPr="00E92571" w14:paraId="4BD86EF6" w14:textId="77777777" w:rsidTr="000F6360">
        <w:trPr>
          <w:trHeight w:val="255"/>
          <w:tblHeader/>
          <w:jc w:val="center"/>
        </w:trPr>
        <w:tc>
          <w:tcPr>
            <w:tcW w:w="1838" w:type="dxa"/>
            <w:shd w:val="clear" w:color="auto" w:fill="BFBFBF"/>
            <w:vAlign w:val="center"/>
          </w:tcPr>
          <w:p w14:paraId="4DC6CF6C" w14:textId="77777777" w:rsidR="00BB3746" w:rsidRPr="00E92571" w:rsidRDefault="00BB3746" w:rsidP="002462BB">
            <w:pPr>
              <w:jc w:val="center"/>
              <w:rPr>
                <w:rFonts w:cs="Arial"/>
                <w:b/>
                <w:bCs/>
                <w:szCs w:val="23"/>
              </w:rPr>
            </w:pPr>
            <w:r w:rsidRPr="00E92571">
              <w:rPr>
                <w:rFonts w:cs="Arial"/>
                <w:b/>
                <w:bCs/>
                <w:szCs w:val="23"/>
              </w:rPr>
              <w:t xml:space="preserve">24-month EP: </w:t>
            </w:r>
          </w:p>
          <w:p w14:paraId="5F104C1B" w14:textId="77777777" w:rsidR="00BB3746" w:rsidRPr="00E92571" w:rsidRDefault="00BB3746" w:rsidP="002462BB">
            <w:pPr>
              <w:ind w:left="-57" w:right="-57"/>
              <w:jc w:val="center"/>
              <w:rPr>
                <w:rFonts w:cs="Arial"/>
                <w:b/>
                <w:bCs/>
                <w:szCs w:val="23"/>
              </w:rPr>
            </w:pPr>
            <w:r w:rsidRPr="00E92571">
              <w:rPr>
                <w:rFonts w:cs="Arial"/>
                <w:b/>
                <w:bCs/>
                <w:szCs w:val="23"/>
              </w:rPr>
              <w:t xml:space="preserve">Year 4.5 Target        </w:t>
            </w:r>
            <w:r w:rsidRPr="00E92571">
              <w:rPr>
                <w:rFonts w:cs="Arial"/>
                <w:bCs/>
                <w:i/>
                <w:szCs w:val="23"/>
              </w:rPr>
              <w:t>(June 2015)</w:t>
            </w:r>
          </w:p>
        </w:tc>
        <w:tc>
          <w:tcPr>
            <w:tcW w:w="1694" w:type="dxa"/>
            <w:shd w:val="clear" w:color="auto" w:fill="BFBFBF"/>
            <w:vAlign w:val="center"/>
          </w:tcPr>
          <w:p w14:paraId="0F449AE7" w14:textId="77777777" w:rsidR="00BB3746" w:rsidRPr="00E92571" w:rsidRDefault="00BB3746" w:rsidP="002462BB">
            <w:pPr>
              <w:ind w:left="-57" w:right="-57"/>
              <w:jc w:val="center"/>
              <w:rPr>
                <w:rFonts w:cs="Arial"/>
                <w:b/>
                <w:bCs/>
                <w:szCs w:val="23"/>
              </w:rPr>
            </w:pPr>
            <w:r w:rsidRPr="00E92571">
              <w:rPr>
                <w:rFonts w:cs="Arial"/>
                <w:b/>
                <w:bCs/>
                <w:szCs w:val="23"/>
              </w:rPr>
              <w:t xml:space="preserve">18-mth Plan + 12-mth EP: </w:t>
            </w:r>
          </w:p>
          <w:p w14:paraId="55F74365" w14:textId="77777777" w:rsidR="00BB3746" w:rsidRPr="00E92571" w:rsidRDefault="00BB3746" w:rsidP="002462BB">
            <w:pPr>
              <w:ind w:left="-57" w:right="-57"/>
              <w:jc w:val="center"/>
              <w:rPr>
                <w:rFonts w:cs="Arial"/>
                <w:b/>
                <w:bCs/>
                <w:szCs w:val="23"/>
              </w:rPr>
            </w:pPr>
            <w:r w:rsidRPr="00E92571">
              <w:rPr>
                <w:rFonts w:cs="Arial"/>
                <w:b/>
                <w:bCs/>
                <w:szCs w:val="23"/>
              </w:rPr>
              <w:t xml:space="preserve">Year 2.5 Target                  </w:t>
            </w:r>
            <w:r w:rsidRPr="00E92571">
              <w:rPr>
                <w:rFonts w:cs="Arial"/>
                <w:bCs/>
                <w:i/>
                <w:szCs w:val="23"/>
              </w:rPr>
              <w:t>(June 2013)</w:t>
            </w:r>
          </w:p>
        </w:tc>
        <w:tc>
          <w:tcPr>
            <w:tcW w:w="1798" w:type="dxa"/>
            <w:shd w:val="clear" w:color="auto" w:fill="BFBFBF"/>
            <w:vAlign w:val="center"/>
          </w:tcPr>
          <w:p w14:paraId="09E14B5E" w14:textId="77777777" w:rsidR="00BB3746" w:rsidRPr="00E92571" w:rsidRDefault="00BB3746" w:rsidP="002462BB">
            <w:pPr>
              <w:jc w:val="center"/>
              <w:rPr>
                <w:rFonts w:cs="Arial"/>
                <w:b/>
                <w:bCs/>
                <w:szCs w:val="23"/>
              </w:rPr>
            </w:pPr>
            <w:r w:rsidRPr="00E92571">
              <w:rPr>
                <w:rFonts w:cs="Arial"/>
                <w:b/>
                <w:bCs/>
                <w:szCs w:val="23"/>
              </w:rPr>
              <w:t>Baseline 2010</w:t>
            </w:r>
          </w:p>
        </w:tc>
        <w:tc>
          <w:tcPr>
            <w:tcW w:w="2693" w:type="dxa"/>
            <w:shd w:val="clear" w:color="auto" w:fill="BFBFBF"/>
            <w:vAlign w:val="center"/>
          </w:tcPr>
          <w:p w14:paraId="2315082D" w14:textId="77777777" w:rsidR="00BB3746" w:rsidRPr="00E92571" w:rsidRDefault="00BB3746" w:rsidP="00BB3746">
            <w:pPr>
              <w:jc w:val="center"/>
              <w:rPr>
                <w:rFonts w:cs="Arial"/>
                <w:b/>
                <w:bCs/>
                <w:szCs w:val="23"/>
              </w:rPr>
            </w:pPr>
            <w:r>
              <w:rPr>
                <w:rFonts w:cs="Arial"/>
                <w:b/>
                <w:bCs/>
                <w:szCs w:val="23"/>
              </w:rPr>
              <w:t>Progress against baseline June 2014</w:t>
            </w:r>
          </w:p>
        </w:tc>
        <w:tc>
          <w:tcPr>
            <w:tcW w:w="1843" w:type="dxa"/>
            <w:shd w:val="clear" w:color="auto" w:fill="BFBFBF"/>
            <w:vAlign w:val="center"/>
          </w:tcPr>
          <w:p w14:paraId="78E77492" w14:textId="77777777" w:rsidR="00BB3746" w:rsidRPr="00E92571" w:rsidRDefault="00BB3746" w:rsidP="002462BB">
            <w:pPr>
              <w:jc w:val="center"/>
              <w:rPr>
                <w:rFonts w:cs="Arial"/>
                <w:b/>
                <w:bCs/>
                <w:szCs w:val="23"/>
              </w:rPr>
            </w:pPr>
            <w:r w:rsidRPr="00E92571">
              <w:rPr>
                <w:rFonts w:cs="Arial"/>
                <w:b/>
                <w:bCs/>
                <w:szCs w:val="23"/>
              </w:rPr>
              <w:t xml:space="preserve">Output(s) </w:t>
            </w:r>
          </w:p>
          <w:p w14:paraId="626FF727" w14:textId="77777777" w:rsidR="00BB3746" w:rsidRPr="00E92571" w:rsidRDefault="00BB3746" w:rsidP="002462BB">
            <w:pPr>
              <w:jc w:val="center"/>
              <w:rPr>
                <w:rFonts w:cs="Arial"/>
                <w:b/>
                <w:bCs/>
                <w:szCs w:val="23"/>
              </w:rPr>
            </w:pPr>
            <w:r w:rsidRPr="00E92571">
              <w:rPr>
                <w:rFonts w:cs="Arial"/>
                <w:b/>
                <w:bCs/>
                <w:szCs w:val="23"/>
              </w:rPr>
              <w:t>(for 24-mth EP)</w:t>
            </w:r>
          </w:p>
        </w:tc>
        <w:tc>
          <w:tcPr>
            <w:tcW w:w="2178" w:type="dxa"/>
            <w:shd w:val="clear" w:color="auto" w:fill="BFBFBF"/>
            <w:vAlign w:val="center"/>
          </w:tcPr>
          <w:p w14:paraId="7C698595" w14:textId="77777777" w:rsidR="00BB3746" w:rsidRPr="00E92571" w:rsidRDefault="00BB3746" w:rsidP="002462BB">
            <w:pPr>
              <w:jc w:val="center"/>
              <w:rPr>
                <w:rFonts w:cs="Arial"/>
                <w:b/>
                <w:bCs/>
                <w:szCs w:val="23"/>
              </w:rPr>
            </w:pPr>
            <w:r w:rsidRPr="00E92571">
              <w:rPr>
                <w:rFonts w:cs="Arial"/>
                <w:b/>
                <w:bCs/>
                <w:szCs w:val="23"/>
              </w:rPr>
              <w:t>Indicator</w:t>
            </w:r>
          </w:p>
        </w:tc>
        <w:tc>
          <w:tcPr>
            <w:tcW w:w="1559" w:type="dxa"/>
            <w:shd w:val="clear" w:color="auto" w:fill="BFBFBF"/>
            <w:vAlign w:val="center"/>
          </w:tcPr>
          <w:p w14:paraId="77368CFA" w14:textId="77777777" w:rsidR="00BB3746" w:rsidRPr="00E92571" w:rsidRDefault="00BB3746" w:rsidP="002462BB">
            <w:pPr>
              <w:jc w:val="center"/>
              <w:rPr>
                <w:rFonts w:cs="Arial"/>
                <w:b/>
                <w:bCs/>
                <w:szCs w:val="23"/>
              </w:rPr>
            </w:pPr>
            <w:r w:rsidRPr="00E92571">
              <w:rPr>
                <w:rFonts w:cs="Arial"/>
                <w:b/>
                <w:bCs/>
                <w:szCs w:val="23"/>
              </w:rPr>
              <w:t>Verification / Source</w:t>
            </w:r>
          </w:p>
        </w:tc>
        <w:tc>
          <w:tcPr>
            <w:tcW w:w="851" w:type="dxa"/>
            <w:shd w:val="clear" w:color="auto" w:fill="BFBFBF"/>
            <w:vAlign w:val="center"/>
          </w:tcPr>
          <w:p w14:paraId="02CB49BC" w14:textId="77777777" w:rsidR="00BB3746" w:rsidRPr="00E92571" w:rsidRDefault="00BB3746" w:rsidP="002462BB">
            <w:pPr>
              <w:jc w:val="center"/>
              <w:rPr>
                <w:rFonts w:cs="Arial"/>
                <w:b/>
                <w:bCs/>
                <w:szCs w:val="23"/>
              </w:rPr>
            </w:pPr>
            <w:r w:rsidRPr="00E92571">
              <w:rPr>
                <w:rFonts w:cs="Arial"/>
                <w:b/>
                <w:bCs/>
                <w:szCs w:val="23"/>
              </w:rPr>
              <w:t>Who</w:t>
            </w:r>
          </w:p>
        </w:tc>
      </w:tr>
      <w:tr w:rsidR="00BB3746" w:rsidRPr="00E92571" w14:paraId="48443278" w14:textId="77777777" w:rsidTr="000F6360">
        <w:trPr>
          <w:trHeight w:val="527"/>
          <w:jc w:val="center"/>
        </w:trPr>
        <w:tc>
          <w:tcPr>
            <w:tcW w:w="14454" w:type="dxa"/>
            <w:gridSpan w:val="8"/>
            <w:shd w:val="clear" w:color="auto" w:fill="F2F2F2" w:themeFill="background1" w:themeFillShade="F2"/>
            <w:vAlign w:val="center"/>
          </w:tcPr>
          <w:p w14:paraId="4925C004" w14:textId="77777777" w:rsidR="00BB3746" w:rsidRPr="00BB3746" w:rsidRDefault="00BB3746" w:rsidP="002462BB">
            <w:pPr>
              <w:rPr>
                <w:rFonts w:cs="Arial"/>
                <w:b/>
              </w:rPr>
            </w:pPr>
            <w:r w:rsidRPr="00BB3746">
              <w:rPr>
                <w:rFonts w:cs="Arial"/>
                <w:b/>
                <w:sz w:val="22"/>
                <w:szCs w:val="22"/>
              </w:rPr>
              <w:t>Programme Goal: Strengthened governance and rule of law in Pacific Island Countries through enhanced access to justice and professional judicial officers who act indepen</w:t>
            </w:r>
            <w:r>
              <w:rPr>
                <w:rFonts w:cs="Arial"/>
                <w:b/>
                <w:sz w:val="22"/>
                <w:szCs w:val="22"/>
              </w:rPr>
              <w:t>den</w:t>
            </w:r>
            <w:r w:rsidRPr="00BB3746">
              <w:rPr>
                <w:rFonts w:cs="Arial"/>
                <w:b/>
                <w:sz w:val="22"/>
                <w:szCs w:val="22"/>
              </w:rPr>
              <w:t>tly according to legal principles</w:t>
            </w:r>
            <w:r>
              <w:rPr>
                <w:rFonts w:cs="Arial"/>
                <w:b/>
                <w:sz w:val="22"/>
                <w:szCs w:val="22"/>
              </w:rPr>
              <w:t>.</w:t>
            </w:r>
          </w:p>
        </w:tc>
      </w:tr>
      <w:tr w:rsidR="00BB3746" w:rsidRPr="00E92571" w14:paraId="16660D11" w14:textId="77777777" w:rsidTr="000F6360">
        <w:trPr>
          <w:trHeight w:val="376"/>
          <w:jc w:val="center"/>
        </w:trPr>
        <w:tc>
          <w:tcPr>
            <w:tcW w:w="1838" w:type="dxa"/>
            <w:vMerge w:val="restart"/>
            <w:shd w:val="clear" w:color="auto" w:fill="auto"/>
            <w:vAlign w:val="center"/>
          </w:tcPr>
          <w:p w14:paraId="7B50F756" w14:textId="77777777" w:rsidR="00BB3746" w:rsidRPr="00E92571" w:rsidRDefault="00BB3746" w:rsidP="002462BB">
            <w:pPr>
              <w:rPr>
                <w:rFonts w:cs="Arial"/>
                <w:sz w:val="20"/>
                <w:szCs w:val="20"/>
              </w:rPr>
            </w:pPr>
            <w:r w:rsidRPr="00E92571">
              <w:rPr>
                <w:rFonts w:cs="Arial"/>
                <w:sz w:val="20"/>
                <w:szCs w:val="20"/>
              </w:rPr>
              <w:t>All PICs report a continuing positive trend in court performance, transparently accounting for performance and routinely using performance data to forward plan.</w:t>
            </w:r>
          </w:p>
        </w:tc>
        <w:tc>
          <w:tcPr>
            <w:tcW w:w="1694" w:type="dxa"/>
            <w:vMerge w:val="restart"/>
            <w:shd w:val="clear" w:color="auto" w:fill="auto"/>
            <w:vAlign w:val="center"/>
          </w:tcPr>
          <w:p w14:paraId="6C2DA4F6" w14:textId="77777777" w:rsidR="00BB3746" w:rsidRPr="00E92571" w:rsidRDefault="00BB3746" w:rsidP="002462BB">
            <w:pPr>
              <w:rPr>
                <w:rFonts w:cs="Arial"/>
                <w:sz w:val="20"/>
                <w:szCs w:val="20"/>
              </w:rPr>
            </w:pPr>
            <w:r w:rsidRPr="00E92571">
              <w:rPr>
                <w:rFonts w:cs="Arial"/>
                <w:sz w:val="20"/>
                <w:szCs w:val="20"/>
              </w:rPr>
              <w:t>All PICs have court and judicial performance feedback from court users and demonstrate a positive trend in internal court performance data.</w:t>
            </w:r>
          </w:p>
        </w:tc>
        <w:tc>
          <w:tcPr>
            <w:tcW w:w="1798" w:type="dxa"/>
            <w:vMerge w:val="restart"/>
            <w:shd w:val="clear" w:color="auto" w:fill="auto"/>
            <w:vAlign w:val="center"/>
          </w:tcPr>
          <w:p w14:paraId="2E1E61FC" w14:textId="77777777" w:rsidR="00BB3746" w:rsidRPr="00E92571" w:rsidRDefault="00BB3746" w:rsidP="002462BB">
            <w:pPr>
              <w:rPr>
                <w:rFonts w:cs="Arial"/>
                <w:color w:val="000000"/>
                <w:sz w:val="20"/>
                <w:szCs w:val="20"/>
              </w:rPr>
            </w:pPr>
            <w:r w:rsidRPr="00E92571">
              <w:rPr>
                <w:rFonts w:cs="Arial"/>
                <w:color w:val="000000"/>
                <w:sz w:val="20"/>
                <w:szCs w:val="20"/>
              </w:rPr>
              <w:t>PICs have: no common set of indicators to assess court performance or performance enhancement models to transpose, no regional governance mechanisms to institutionalise judicial development or manage internal governance / ethics, an unquantified number of marginalised prospective court users and a significant number of lay judicial officers.</w:t>
            </w:r>
          </w:p>
        </w:tc>
        <w:tc>
          <w:tcPr>
            <w:tcW w:w="2693" w:type="dxa"/>
            <w:vMerge w:val="restart"/>
            <w:vAlign w:val="center"/>
          </w:tcPr>
          <w:p w14:paraId="5EA1DAAF" w14:textId="77777777" w:rsidR="00BB3746" w:rsidRDefault="00BB3746" w:rsidP="002462BB">
            <w:pPr>
              <w:rPr>
                <w:sz w:val="20"/>
              </w:rPr>
            </w:pPr>
            <w:r>
              <w:rPr>
                <w:sz w:val="20"/>
              </w:rPr>
              <w:t>PICs have qualitatively and quantitatively assessed and provided court performance data for the second year.</w:t>
            </w:r>
          </w:p>
          <w:p w14:paraId="024F5920" w14:textId="77777777" w:rsidR="00BB3746" w:rsidRDefault="00BB3746" w:rsidP="002462BB">
            <w:pPr>
              <w:rPr>
                <w:sz w:val="20"/>
              </w:rPr>
            </w:pPr>
          </w:p>
          <w:p w14:paraId="391AC32B" w14:textId="77777777" w:rsidR="00BB3746" w:rsidRDefault="00BB3746" w:rsidP="002462BB">
            <w:pPr>
              <w:rPr>
                <w:rFonts w:cs="Arial"/>
                <w:sz w:val="20"/>
                <w:szCs w:val="20"/>
              </w:rPr>
            </w:pPr>
            <w:r>
              <w:rPr>
                <w:rFonts w:cs="Arial"/>
                <w:sz w:val="20"/>
                <w:szCs w:val="20"/>
              </w:rPr>
              <w:t xml:space="preserve">Tools have been disseminated to all PICs, and further revision of these is underway, to assist the PICs in the process of assessing and reporting on court performance, as well as developing codes of judicial conduct, including the management of internal governance/ethics. </w:t>
            </w:r>
          </w:p>
          <w:p w14:paraId="52BE1859" w14:textId="77777777" w:rsidR="00BB3746" w:rsidRDefault="00BB3746" w:rsidP="002462BB">
            <w:pPr>
              <w:rPr>
                <w:sz w:val="20"/>
              </w:rPr>
            </w:pPr>
          </w:p>
          <w:p w14:paraId="61B8E300" w14:textId="77777777" w:rsidR="00BB3746" w:rsidRPr="00E92571" w:rsidRDefault="00BB3746" w:rsidP="002462BB">
            <w:pPr>
              <w:rPr>
                <w:rFonts w:cs="Arial"/>
                <w:sz w:val="20"/>
                <w:szCs w:val="20"/>
              </w:rPr>
            </w:pPr>
            <w:r>
              <w:rPr>
                <w:rFonts w:cs="Arial"/>
                <w:sz w:val="20"/>
                <w:szCs w:val="20"/>
              </w:rPr>
              <w:t>J</w:t>
            </w:r>
            <w:r w:rsidRPr="00E92571">
              <w:rPr>
                <w:rFonts w:cs="Arial"/>
                <w:sz w:val="20"/>
                <w:szCs w:val="20"/>
              </w:rPr>
              <w:t>udicial and court officers in all PICs have, and are continuing to receive training in a broad range of legal and procedural areas according to their individual needs</w:t>
            </w:r>
            <w:r>
              <w:rPr>
                <w:rFonts w:cs="Arial"/>
                <w:sz w:val="20"/>
                <w:szCs w:val="20"/>
              </w:rPr>
              <w:t>, and the needs of their court</w:t>
            </w:r>
            <w:r w:rsidRPr="00E92571">
              <w:rPr>
                <w:rFonts w:cs="Arial"/>
                <w:sz w:val="20"/>
                <w:szCs w:val="20"/>
              </w:rPr>
              <w:t xml:space="preserve">.  RTT members </w:t>
            </w:r>
            <w:r>
              <w:rPr>
                <w:rFonts w:cs="Arial"/>
                <w:sz w:val="20"/>
                <w:szCs w:val="20"/>
              </w:rPr>
              <w:t>are continuously engaged in designing</w:t>
            </w:r>
            <w:r w:rsidRPr="00E92571">
              <w:rPr>
                <w:rFonts w:cs="Arial"/>
                <w:sz w:val="20"/>
                <w:szCs w:val="20"/>
              </w:rPr>
              <w:t xml:space="preserve">, </w:t>
            </w:r>
            <w:r>
              <w:rPr>
                <w:rFonts w:cs="Arial"/>
                <w:sz w:val="20"/>
                <w:szCs w:val="20"/>
              </w:rPr>
              <w:t>facilitating</w:t>
            </w:r>
            <w:r w:rsidRPr="00E92571">
              <w:rPr>
                <w:rFonts w:cs="Arial"/>
                <w:sz w:val="20"/>
                <w:szCs w:val="20"/>
              </w:rPr>
              <w:t xml:space="preserve"> and/</w:t>
            </w:r>
            <w:r>
              <w:rPr>
                <w:rFonts w:cs="Arial"/>
                <w:sz w:val="20"/>
                <w:szCs w:val="20"/>
              </w:rPr>
              <w:t>or co-facilitating</w:t>
            </w:r>
            <w:r w:rsidRPr="00E92571">
              <w:rPr>
                <w:rFonts w:cs="Arial"/>
                <w:sz w:val="20"/>
                <w:szCs w:val="20"/>
              </w:rPr>
              <w:t xml:space="preserve"> </w:t>
            </w:r>
            <w:r>
              <w:rPr>
                <w:rFonts w:cs="Arial"/>
                <w:sz w:val="20"/>
                <w:szCs w:val="20"/>
              </w:rPr>
              <w:t xml:space="preserve">local and regional </w:t>
            </w:r>
            <w:r w:rsidRPr="00E92571">
              <w:rPr>
                <w:rFonts w:cs="Arial"/>
                <w:sz w:val="20"/>
                <w:szCs w:val="20"/>
              </w:rPr>
              <w:lastRenderedPageBreak/>
              <w:t>training</w:t>
            </w:r>
            <w:r>
              <w:rPr>
                <w:rFonts w:cs="Arial"/>
                <w:sz w:val="20"/>
                <w:szCs w:val="20"/>
              </w:rPr>
              <w:t xml:space="preserve"> activities.</w:t>
            </w:r>
          </w:p>
        </w:tc>
        <w:tc>
          <w:tcPr>
            <w:tcW w:w="1843" w:type="dxa"/>
            <w:shd w:val="clear" w:color="auto" w:fill="auto"/>
            <w:vAlign w:val="center"/>
          </w:tcPr>
          <w:p w14:paraId="0CE95A95" w14:textId="77777777" w:rsidR="00BB3746" w:rsidRPr="00E92571" w:rsidRDefault="00BB3746" w:rsidP="002462BB">
            <w:pPr>
              <w:rPr>
                <w:rFonts w:cs="Arial"/>
                <w:sz w:val="20"/>
                <w:szCs w:val="20"/>
              </w:rPr>
            </w:pPr>
            <w:r w:rsidRPr="00E92571">
              <w:rPr>
                <w:rFonts w:cs="Arial"/>
                <w:sz w:val="20"/>
                <w:szCs w:val="20"/>
              </w:rPr>
              <w:lastRenderedPageBreak/>
              <w:t xml:space="preserve">PICs provide year two and four court performance data. </w:t>
            </w:r>
          </w:p>
        </w:tc>
        <w:tc>
          <w:tcPr>
            <w:tcW w:w="2178" w:type="dxa"/>
            <w:vMerge w:val="restart"/>
            <w:shd w:val="clear" w:color="auto" w:fill="auto"/>
            <w:vAlign w:val="center"/>
          </w:tcPr>
          <w:p w14:paraId="6F44C8F6" w14:textId="77777777" w:rsidR="00BB3746" w:rsidRPr="00E92571" w:rsidRDefault="00BB3746" w:rsidP="002462BB">
            <w:pPr>
              <w:rPr>
                <w:rFonts w:cs="Arial"/>
                <w:sz w:val="20"/>
                <w:szCs w:val="20"/>
              </w:rPr>
            </w:pPr>
            <w:r w:rsidRPr="00E92571">
              <w:rPr>
                <w:rFonts w:cs="Arial"/>
                <w:sz w:val="20"/>
                <w:szCs w:val="20"/>
              </w:rPr>
              <w:t>Perceptions of quality, professionalism, accessibility, efficiency and reliability of judicial services.</w:t>
            </w:r>
          </w:p>
        </w:tc>
        <w:tc>
          <w:tcPr>
            <w:tcW w:w="1559" w:type="dxa"/>
            <w:vMerge w:val="restart"/>
            <w:shd w:val="clear" w:color="auto" w:fill="auto"/>
            <w:vAlign w:val="center"/>
          </w:tcPr>
          <w:p w14:paraId="3CDE8678" w14:textId="77777777" w:rsidR="00BB3746" w:rsidRPr="00E92571" w:rsidRDefault="00BB3746" w:rsidP="002462BB">
            <w:pPr>
              <w:rPr>
                <w:rFonts w:cs="Arial"/>
                <w:sz w:val="20"/>
                <w:szCs w:val="20"/>
              </w:rPr>
            </w:pPr>
            <w:r w:rsidRPr="00E92571">
              <w:rPr>
                <w:rFonts w:cs="Arial"/>
                <w:sz w:val="20"/>
                <w:szCs w:val="20"/>
              </w:rPr>
              <w:t>PIC courts and court users’ surveys.</w:t>
            </w:r>
          </w:p>
        </w:tc>
        <w:tc>
          <w:tcPr>
            <w:tcW w:w="851" w:type="dxa"/>
            <w:vMerge w:val="restart"/>
            <w:shd w:val="clear" w:color="auto" w:fill="auto"/>
            <w:vAlign w:val="center"/>
          </w:tcPr>
          <w:p w14:paraId="3FD9823C" w14:textId="77777777" w:rsidR="00BB3746" w:rsidRPr="00E92571" w:rsidRDefault="00BB3746" w:rsidP="002462BB">
            <w:pPr>
              <w:rPr>
                <w:rFonts w:cs="Arial"/>
                <w:sz w:val="20"/>
                <w:szCs w:val="20"/>
              </w:rPr>
            </w:pPr>
            <w:r w:rsidRPr="00E92571">
              <w:rPr>
                <w:rFonts w:cs="Arial"/>
                <w:sz w:val="20"/>
                <w:szCs w:val="20"/>
              </w:rPr>
              <w:t>TA</w:t>
            </w:r>
          </w:p>
        </w:tc>
      </w:tr>
      <w:tr w:rsidR="00BB3746" w:rsidRPr="00E92571" w14:paraId="744F0043" w14:textId="77777777" w:rsidTr="000F6360">
        <w:trPr>
          <w:trHeight w:val="85"/>
          <w:jc w:val="center"/>
        </w:trPr>
        <w:tc>
          <w:tcPr>
            <w:tcW w:w="1838" w:type="dxa"/>
            <w:vMerge/>
            <w:shd w:val="clear" w:color="auto" w:fill="auto"/>
            <w:vAlign w:val="center"/>
          </w:tcPr>
          <w:p w14:paraId="641013C6" w14:textId="77777777" w:rsidR="00BB3746" w:rsidRPr="00E92571" w:rsidRDefault="00BB3746" w:rsidP="002462BB">
            <w:pPr>
              <w:rPr>
                <w:rFonts w:cs="Arial"/>
                <w:sz w:val="20"/>
                <w:szCs w:val="20"/>
              </w:rPr>
            </w:pPr>
          </w:p>
        </w:tc>
        <w:tc>
          <w:tcPr>
            <w:tcW w:w="1694" w:type="dxa"/>
            <w:vMerge/>
            <w:shd w:val="clear" w:color="auto" w:fill="auto"/>
            <w:vAlign w:val="center"/>
          </w:tcPr>
          <w:p w14:paraId="57D38186" w14:textId="77777777" w:rsidR="00BB3746" w:rsidRPr="00E92571" w:rsidRDefault="00BB3746" w:rsidP="002462BB">
            <w:pPr>
              <w:rPr>
                <w:rFonts w:cs="Arial"/>
                <w:sz w:val="20"/>
                <w:szCs w:val="20"/>
              </w:rPr>
            </w:pPr>
          </w:p>
        </w:tc>
        <w:tc>
          <w:tcPr>
            <w:tcW w:w="1798" w:type="dxa"/>
            <w:vMerge/>
            <w:shd w:val="clear" w:color="auto" w:fill="auto"/>
            <w:vAlign w:val="center"/>
          </w:tcPr>
          <w:p w14:paraId="681CCF6A" w14:textId="77777777" w:rsidR="00BB3746" w:rsidRPr="00E92571" w:rsidRDefault="00BB3746" w:rsidP="002462BB">
            <w:pPr>
              <w:rPr>
                <w:rFonts w:cs="Arial"/>
                <w:color w:val="000000"/>
                <w:sz w:val="20"/>
                <w:szCs w:val="20"/>
              </w:rPr>
            </w:pPr>
          </w:p>
        </w:tc>
        <w:tc>
          <w:tcPr>
            <w:tcW w:w="2693" w:type="dxa"/>
            <w:vMerge/>
          </w:tcPr>
          <w:p w14:paraId="344DF844" w14:textId="77777777" w:rsidR="00BB3746" w:rsidRPr="00E92571" w:rsidRDefault="00BB3746" w:rsidP="002462BB">
            <w:pPr>
              <w:rPr>
                <w:rFonts w:cs="Arial"/>
                <w:sz w:val="20"/>
                <w:szCs w:val="20"/>
              </w:rPr>
            </w:pPr>
          </w:p>
        </w:tc>
        <w:tc>
          <w:tcPr>
            <w:tcW w:w="1843" w:type="dxa"/>
            <w:shd w:val="clear" w:color="auto" w:fill="auto"/>
            <w:vAlign w:val="center"/>
          </w:tcPr>
          <w:p w14:paraId="2E3A0B9E" w14:textId="77777777" w:rsidR="00BB3746" w:rsidRPr="00E92571" w:rsidRDefault="00BB3746" w:rsidP="002462BB">
            <w:pPr>
              <w:rPr>
                <w:rFonts w:cs="Arial"/>
                <w:sz w:val="20"/>
                <w:szCs w:val="20"/>
              </w:rPr>
            </w:pPr>
            <w:r w:rsidRPr="00E92571">
              <w:rPr>
                <w:rFonts w:cs="Arial"/>
                <w:sz w:val="20"/>
                <w:szCs w:val="20"/>
              </w:rPr>
              <w:t>Courts aware of what court users' needs are.</w:t>
            </w:r>
          </w:p>
        </w:tc>
        <w:tc>
          <w:tcPr>
            <w:tcW w:w="2178" w:type="dxa"/>
            <w:vMerge/>
            <w:shd w:val="clear" w:color="auto" w:fill="auto"/>
            <w:vAlign w:val="center"/>
          </w:tcPr>
          <w:p w14:paraId="03DC67BF" w14:textId="77777777" w:rsidR="00BB3746" w:rsidRPr="00E92571" w:rsidRDefault="00BB3746" w:rsidP="002462BB">
            <w:pPr>
              <w:rPr>
                <w:rFonts w:cs="Arial"/>
                <w:sz w:val="20"/>
                <w:szCs w:val="20"/>
              </w:rPr>
            </w:pPr>
          </w:p>
        </w:tc>
        <w:tc>
          <w:tcPr>
            <w:tcW w:w="1559" w:type="dxa"/>
            <w:vMerge/>
            <w:shd w:val="clear" w:color="auto" w:fill="auto"/>
            <w:vAlign w:val="center"/>
          </w:tcPr>
          <w:p w14:paraId="3984B878" w14:textId="77777777" w:rsidR="00BB3746" w:rsidRPr="00E92571" w:rsidRDefault="00BB3746" w:rsidP="002462BB">
            <w:pPr>
              <w:rPr>
                <w:rFonts w:cs="Arial"/>
                <w:sz w:val="20"/>
                <w:szCs w:val="20"/>
              </w:rPr>
            </w:pPr>
          </w:p>
        </w:tc>
        <w:tc>
          <w:tcPr>
            <w:tcW w:w="851" w:type="dxa"/>
            <w:vMerge/>
            <w:shd w:val="clear" w:color="auto" w:fill="auto"/>
            <w:vAlign w:val="center"/>
          </w:tcPr>
          <w:p w14:paraId="33A5A245" w14:textId="77777777" w:rsidR="00BB3746" w:rsidRPr="00E92571" w:rsidRDefault="00BB3746" w:rsidP="002462BB">
            <w:pPr>
              <w:rPr>
                <w:rFonts w:cs="Arial"/>
                <w:sz w:val="20"/>
                <w:szCs w:val="20"/>
              </w:rPr>
            </w:pPr>
          </w:p>
        </w:tc>
      </w:tr>
      <w:tr w:rsidR="00BB3746" w:rsidRPr="00E92571" w14:paraId="441F42BB" w14:textId="77777777" w:rsidTr="000F6360">
        <w:trPr>
          <w:trHeight w:val="1030"/>
          <w:jc w:val="center"/>
        </w:trPr>
        <w:tc>
          <w:tcPr>
            <w:tcW w:w="1838" w:type="dxa"/>
            <w:vMerge/>
            <w:shd w:val="clear" w:color="auto" w:fill="auto"/>
            <w:vAlign w:val="center"/>
          </w:tcPr>
          <w:p w14:paraId="15CA0A52" w14:textId="77777777" w:rsidR="00BB3746" w:rsidRPr="00E92571" w:rsidRDefault="00BB3746" w:rsidP="002462BB">
            <w:pPr>
              <w:rPr>
                <w:rFonts w:cs="Arial"/>
                <w:sz w:val="20"/>
                <w:szCs w:val="20"/>
              </w:rPr>
            </w:pPr>
          </w:p>
        </w:tc>
        <w:tc>
          <w:tcPr>
            <w:tcW w:w="1694" w:type="dxa"/>
            <w:vMerge/>
            <w:shd w:val="clear" w:color="auto" w:fill="auto"/>
            <w:vAlign w:val="center"/>
          </w:tcPr>
          <w:p w14:paraId="02FAA88F" w14:textId="77777777" w:rsidR="00BB3746" w:rsidRPr="00E92571" w:rsidRDefault="00BB3746" w:rsidP="002462BB">
            <w:pPr>
              <w:rPr>
                <w:rFonts w:cs="Arial"/>
                <w:sz w:val="20"/>
                <w:szCs w:val="20"/>
              </w:rPr>
            </w:pPr>
          </w:p>
        </w:tc>
        <w:tc>
          <w:tcPr>
            <w:tcW w:w="1798" w:type="dxa"/>
            <w:vMerge/>
            <w:shd w:val="clear" w:color="auto" w:fill="auto"/>
            <w:vAlign w:val="center"/>
          </w:tcPr>
          <w:p w14:paraId="65213556" w14:textId="77777777" w:rsidR="00BB3746" w:rsidRPr="00E92571" w:rsidRDefault="00BB3746" w:rsidP="002462BB">
            <w:pPr>
              <w:rPr>
                <w:rFonts w:cs="Arial"/>
                <w:color w:val="000000"/>
                <w:sz w:val="20"/>
                <w:szCs w:val="20"/>
              </w:rPr>
            </w:pPr>
          </w:p>
        </w:tc>
        <w:tc>
          <w:tcPr>
            <w:tcW w:w="2693" w:type="dxa"/>
            <w:vMerge/>
          </w:tcPr>
          <w:p w14:paraId="460817B5" w14:textId="77777777" w:rsidR="00BB3746" w:rsidRPr="00E92571" w:rsidRDefault="00BB3746" w:rsidP="002462BB">
            <w:pPr>
              <w:rPr>
                <w:rFonts w:cs="Arial"/>
                <w:sz w:val="20"/>
                <w:szCs w:val="20"/>
              </w:rPr>
            </w:pPr>
          </w:p>
        </w:tc>
        <w:tc>
          <w:tcPr>
            <w:tcW w:w="1843" w:type="dxa"/>
            <w:vMerge w:val="restart"/>
            <w:shd w:val="clear" w:color="auto" w:fill="auto"/>
            <w:vAlign w:val="center"/>
          </w:tcPr>
          <w:p w14:paraId="3F826813" w14:textId="77777777" w:rsidR="00BB3746" w:rsidRPr="00E92571" w:rsidRDefault="00BB3746" w:rsidP="002462BB">
            <w:pPr>
              <w:rPr>
                <w:rFonts w:cs="Arial"/>
                <w:sz w:val="20"/>
                <w:szCs w:val="20"/>
              </w:rPr>
            </w:pPr>
            <w:r w:rsidRPr="00E92571">
              <w:rPr>
                <w:rFonts w:cs="Arial"/>
                <w:sz w:val="20"/>
                <w:szCs w:val="20"/>
              </w:rPr>
              <w:t>Participating PICs have qualitatively and quantitatively assessed court performance and judicial development and participated in self-improvement activities to strengthen governance, access to justice, judicial administration and professionalism.</w:t>
            </w:r>
          </w:p>
        </w:tc>
        <w:tc>
          <w:tcPr>
            <w:tcW w:w="2178" w:type="dxa"/>
            <w:vMerge w:val="restart"/>
            <w:shd w:val="clear" w:color="auto" w:fill="auto"/>
            <w:vAlign w:val="center"/>
          </w:tcPr>
          <w:p w14:paraId="08DF7B45" w14:textId="77777777" w:rsidR="00BB3746" w:rsidRPr="00E92571" w:rsidRDefault="00BB3746" w:rsidP="002462BB">
            <w:pPr>
              <w:rPr>
                <w:rFonts w:cs="Arial"/>
                <w:sz w:val="20"/>
                <w:szCs w:val="20"/>
              </w:rPr>
            </w:pPr>
            <w:r w:rsidRPr="00E92571">
              <w:rPr>
                <w:rFonts w:cs="Arial"/>
                <w:sz w:val="20"/>
                <w:szCs w:val="20"/>
              </w:rPr>
              <w:t>Evidence of progress against judicial development and court performance goals in each PIC.</w:t>
            </w:r>
          </w:p>
        </w:tc>
        <w:tc>
          <w:tcPr>
            <w:tcW w:w="1559" w:type="dxa"/>
            <w:shd w:val="clear" w:color="auto" w:fill="auto"/>
            <w:vAlign w:val="center"/>
          </w:tcPr>
          <w:p w14:paraId="0088BBCB" w14:textId="77777777" w:rsidR="00BB3746" w:rsidRPr="00E92571" w:rsidRDefault="00BB3746" w:rsidP="002462BB">
            <w:pPr>
              <w:rPr>
                <w:rFonts w:cs="Arial"/>
                <w:sz w:val="20"/>
                <w:szCs w:val="20"/>
              </w:rPr>
            </w:pPr>
            <w:r w:rsidRPr="00E92571">
              <w:rPr>
                <w:rFonts w:cs="Arial"/>
                <w:sz w:val="20"/>
                <w:szCs w:val="20"/>
              </w:rPr>
              <w:t xml:space="preserve">Statistical data collected by PIC courts. </w:t>
            </w:r>
          </w:p>
        </w:tc>
        <w:tc>
          <w:tcPr>
            <w:tcW w:w="851" w:type="dxa"/>
            <w:vMerge/>
            <w:shd w:val="clear" w:color="auto" w:fill="auto"/>
            <w:vAlign w:val="center"/>
          </w:tcPr>
          <w:p w14:paraId="1899174A" w14:textId="77777777" w:rsidR="00BB3746" w:rsidRPr="00E92571" w:rsidRDefault="00BB3746" w:rsidP="002462BB">
            <w:pPr>
              <w:rPr>
                <w:rFonts w:cs="Arial"/>
                <w:sz w:val="20"/>
                <w:szCs w:val="20"/>
              </w:rPr>
            </w:pPr>
          </w:p>
        </w:tc>
      </w:tr>
      <w:tr w:rsidR="00BB3746" w:rsidRPr="00E92571" w14:paraId="2A334077" w14:textId="77777777" w:rsidTr="000F6360">
        <w:trPr>
          <w:trHeight w:val="1030"/>
          <w:jc w:val="center"/>
        </w:trPr>
        <w:tc>
          <w:tcPr>
            <w:tcW w:w="1838" w:type="dxa"/>
            <w:vMerge/>
            <w:shd w:val="clear" w:color="auto" w:fill="auto"/>
            <w:vAlign w:val="center"/>
          </w:tcPr>
          <w:p w14:paraId="7E4FE4E5" w14:textId="77777777" w:rsidR="00BB3746" w:rsidRPr="00E92571" w:rsidRDefault="00BB3746" w:rsidP="002462BB">
            <w:pPr>
              <w:rPr>
                <w:rFonts w:cs="Arial"/>
                <w:sz w:val="20"/>
                <w:szCs w:val="20"/>
              </w:rPr>
            </w:pPr>
          </w:p>
        </w:tc>
        <w:tc>
          <w:tcPr>
            <w:tcW w:w="1694" w:type="dxa"/>
            <w:vMerge/>
            <w:shd w:val="clear" w:color="auto" w:fill="auto"/>
            <w:vAlign w:val="center"/>
          </w:tcPr>
          <w:p w14:paraId="5A0D2F5C" w14:textId="77777777" w:rsidR="00BB3746" w:rsidRPr="00E92571" w:rsidRDefault="00BB3746" w:rsidP="002462BB">
            <w:pPr>
              <w:rPr>
                <w:rFonts w:cs="Arial"/>
                <w:sz w:val="20"/>
                <w:szCs w:val="20"/>
              </w:rPr>
            </w:pPr>
          </w:p>
        </w:tc>
        <w:tc>
          <w:tcPr>
            <w:tcW w:w="1798" w:type="dxa"/>
            <w:vMerge/>
            <w:shd w:val="clear" w:color="auto" w:fill="auto"/>
            <w:vAlign w:val="center"/>
          </w:tcPr>
          <w:p w14:paraId="46DEB42A" w14:textId="77777777" w:rsidR="00BB3746" w:rsidRPr="00E92571" w:rsidRDefault="00BB3746" w:rsidP="002462BB">
            <w:pPr>
              <w:rPr>
                <w:rFonts w:cs="Arial"/>
                <w:color w:val="000000"/>
                <w:sz w:val="20"/>
                <w:szCs w:val="20"/>
              </w:rPr>
            </w:pPr>
          </w:p>
        </w:tc>
        <w:tc>
          <w:tcPr>
            <w:tcW w:w="2693" w:type="dxa"/>
            <w:vMerge/>
          </w:tcPr>
          <w:p w14:paraId="68B27DA1" w14:textId="77777777" w:rsidR="00BB3746" w:rsidRPr="00E92571" w:rsidRDefault="00BB3746" w:rsidP="002462BB">
            <w:pPr>
              <w:rPr>
                <w:rFonts w:cs="Arial"/>
                <w:sz w:val="20"/>
                <w:szCs w:val="20"/>
              </w:rPr>
            </w:pPr>
          </w:p>
        </w:tc>
        <w:tc>
          <w:tcPr>
            <w:tcW w:w="1843" w:type="dxa"/>
            <w:vMerge/>
            <w:shd w:val="clear" w:color="auto" w:fill="auto"/>
            <w:vAlign w:val="center"/>
          </w:tcPr>
          <w:p w14:paraId="228A898B" w14:textId="77777777" w:rsidR="00BB3746" w:rsidRPr="00E92571" w:rsidRDefault="00BB3746" w:rsidP="002462BB">
            <w:pPr>
              <w:rPr>
                <w:rFonts w:cs="Arial"/>
                <w:sz w:val="20"/>
                <w:szCs w:val="20"/>
              </w:rPr>
            </w:pPr>
          </w:p>
        </w:tc>
        <w:tc>
          <w:tcPr>
            <w:tcW w:w="2178" w:type="dxa"/>
            <w:vMerge/>
            <w:shd w:val="clear" w:color="auto" w:fill="auto"/>
            <w:vAlign w:val="center"/>
          </w:tcPr>
          <w:p w14:paraId="37CB5D3B" w14:textId="77777777" w:rsidR="00BB3746" w:rsidRPr="00E92571" w:rsidRDefault="00BB3746" w:rsidP="002462BB">
            <w:pPr>
              <w:rPr>
                <w:rFonts w:cs="Arial"/>
                <w:sz w:val="20"/>
                <w:szCs w:val="20"/>
              </w:rPr>
            </w:pPr>
          </w:p>
        </w:tc>
        <w:tc>
          <w:tcPr>
            <w:tcW w:w="1559" w:type="dxa"/>
            <w:shd w:val="clear" w:color="auto" w:fill="auto"/>
            <w:vAlign w:val="center"/>
          </w:tcPr>
          <w:p w14:paraId="0FC48212" w14:textId="77777777" w:rsidR="00BB3746" w:rsidRPr="00E92571" w:rsidRDefault="00BB3746" w:rsidP="002462BB">
            <w:pPr>
              <w:rPr>
                <w:rFonts w:cs="Arial"/>
                <w:sz w:val="20"/>
                <w:szCs w:val="20"/>
              </w:rPr>
            </w:pPr>
            <w:r w:rsidRPr="00E92571">
              <w:rPr>
                <w:rFonts w:cs="Arial"/>
                <w:sz w:val="20"/>
                <w:szCs w:val="20"/>
              </w:rPr>
              <w:t>Needs Assessment survey / regional discussions at CJ/ NC meetings.</w:t>
            </w:r>
          </w:p>
        </w:tc>
        <w:tc>
          <w:tcPr>
            <w:tcW w:w="851" w:type="dxa"/>
            <w:shd w:val="clear" w:color="auto" w:fill="auto"/>
            <w:vAlign w:val="center"/>
          </w:tcPr>
          <w:p w14:paraId="00BE93A8" w14:textId="77777777" w:rsidR="00BB3746" w:rsidRPr="00E92571" w:rsidRDefault="00BB3746" w:rsidP="002462BB">
            <w:pPr>
              <w:rPr>
                <w:rFonts w:cs="Arial"/>
                <w:sz w:val="20"/>
                <w:szCs w:val="20"/>
              </w:rPr>
            </w:pPr>
            <w:r w:rsidRPr="00E92571">
              <w:rPr>
                <w:rFonts w:cs="Arial"/>
                <w:sz w:val="20"/>
                <w:szCs w:val="20"/>
              </w:rPr>
              <w:t>MSC</w:t>
            </w:r>
          </w:p>
        </w:tc>
      </w:tr>
      <w:tr w:rsidR="00BB3746" w:rsidRPr="00E92571" w14:paraId="3A05D5B9" w14:textId="77777777" w:rsidTr="000F6360">
        <w:trPr>
          <w:trHeight w:val="85"/>
          <w:jc w:val="center"/>
        </w:trPr>
        <w:tc>
          <w:tcPr>
            <w:tcW w:w="14454" w:type="dxa"/>
            <w:gridSpan w:val="8"/>
            <w:shd w:val="clear" w:color="auto" w:fill="F2F2F2" w:themeFill="background1" w:themeFillShade="F2"/>
            <w:vAlign w:val="center"/>
          </w:tcPr>
          <w:p w14:paraId="0B3CE40F" w14:textId="77777777" w:rsidR="00BB3746" w:rsidRPr="00BB3746" w:rsidRDefault="00BB3746" w:rsidP="002462BB">
            <w:pPr>
              <w:rPr>
                <w:b/>
              </w:rPr>
            </w:pPr>
            <w:r w:rsidRPr="00BB3746">
              <w:rPr>
                <w:b/>
                <w:sz w:val="22"/>
                <w:szCs w:val="22"/>
              </w:rPr>
              <w:lastRenderedPageBreak/>
              <w:t>Programme Purpose: To support PICs to enhance the professional competence of judicial officers and court officers, and the processes and systems that they use.</w:t>
            </w:r>
          </w:p>
        </w:tc>
      </w:tr>
      <w:tr w:rsidR="00BB3746" w:rsidRPr="00E92571" w14:paraId="457110AD" w14:textId="77777777" w:rsidTr="000F6360">
        <w:trPr>
          <w:trHeight w:val="85"/>
          <w:jc w:val="center"/>
        </w:trPr>
        <w:tc>
          <w:tcPr>
            <w:tcW w:w="1838" w:type="dxa"/>
            <w:shd w:val="clear" w:color="auto" w:fill="auto"/>
            <w:vAlign w:val="center"/>
          </w:tcPr>
          <w:p w14:paraId="0CE4FA3B" w14:textId="77777777" w:rsidR="00BB3746" w:rsidRPr="00E92571" w:rsidRDefault="00BB3746" w:rsidP="002462BB">
            <w:pPr>
              <w:rPr>
                <w:sz w:val="20"/>
              </w:rPr>
            </w:pPr>
            <w:r w:rsidRPr="00E92571">
              <w:rPr>
                <w:sz w:val="20"/>
              </w:rPr>
              <w:t>PICs are independently implementing tools and methodologies for continued self-improvement, with results shared between the region's Chief Justices.</w:t>
            </w:r>
          </w:p>
        </w:tc>
        <w:tc>
          <w:tcPr>
            <w:tcW w:w="1694" w:type="dxa"/>
            <w:shd w:val="clear" w:color="auto" w:fill="auto"/>
            <w:vAlign w:val="center"/>
          </w:tcPr>
          <w:p w14:paraId="47606753" w14:textId="77777777" w:rsidR="00BB3746" w:rsidRPr="00E92571" w:rsidRDefault="00BB3746" w:rsidP="002462BB">
            <w:pPr>
              <w:rPr>
                <w:sz w:val="20"/>
              </w:rPr>
            </w:pPr>
            <w:r w:rsidRPr="00E92571">
              <w:rPr>
                <w:sz w:val="20"/>
              </w:rPr>
              <w:t>PICs have tools and methodologies to continue self-improvement and preliminary results are presented to the PEC.</w:t>
            </w:r>
          </w:p>
        </w:tc>
        <w:tc>
          <w:tcPr>
            <w:tcW w:w="1798" w:type="dxa"/>
            <w:shd w:val="clear" w:color="auto" w:fill="auto"/>
            <w:vAlign w:val="center"/>
          </w:tcPr>
          <w:p w14:paraId="5868B657" w14:textId="77777777" w:rsidR="00BB3746" w:rsidRPr="00E92571" w:rsidRDefault="00BB3746" w:rsidP="002462BB">
            <w:pPr>
              <w:rPr>
                <w:rFonts w:cs="Arial"/>
                <w:color w:val="000000"/>
                <w:sz w:val="20"/>
                <w:szCs w:val="20"/>
              </w:rPr>
            </w:pPr>
            <w:r w:rsidRPr="00E92571">
              <w:rPr>
                <w:color w:val="000000"/>
                <w:sz w:val="20"/>
              </w:rPr>
              <w:t>PICs have: no common set of indicators to assess court performance or performance enhancement models to transpose, no regional governance mechanisms to institutionalise judicial development or manage internal governance / ethics, an unquantified number of marginalised prospective court users and a significant number of lay judicial officers.</w:t>
            </w:r>
          </w:p>
        </w:tc>
        <w:tc>
          <w:tcPr>
            <w:tcW w:w="2693" w:type="dxa"/>
            <w:vAlign w:val="center"/>
          </w:tcPr>
          <w:p w14:paraId="4428039E" w14:textId="77777777" w:rsidR="00BB3746" w:rsidRDefault="00BB3746" w:rsidP="002462BB">
            <w:pPr>
              <w:rPr>
                <w:sz w:val="20"/>
              </w:rPr>
            </w:pPr>
            <w:r>
              <w:rPr>
                <w:sz w:val="20"/>
              </w:rPr>
              <w:t>Pilot PICs are, with some assistance, implementing and practicing the use of tools and methodologies, and independent implementation of these tools is yet to be realised.</w:t>
            </w:r>
          </w:p>
          <w:p w14:paraId="4E1FA056" w14:textId="77777777" w:rsidR="00BB3746" w:rsidRDefault="00BB3746" w:rsidP="002462BB">
            <w:pPr>
              <w:rPr>
                <w:sz w:val="20"/>
              </w:rPr>
            </w:pPr>
          </w:p>
          <w:p w14:paraId="2E56D836" w14:textId="77777777" w:rsidR="00BB3746" w:rsidRPr="00E92571" w:rsidRDefault="00BB3746" w:rsidP="002462BB">
            <w:pPr>
              <w:rPr>
                <w:sz w:val="20"/>
              </w:rPr>
            </w:pPr>
          </w:p>
        </w:tc>
        <w:tc>
          <w:tcPr>
            <w:tcW w:w="1843" w:type="dxa"/>
            <w:shd w:val="clear" w:color="auto" w:fill="auto"/>
            <w:vAlign w:val="center"/>
          </w:tcPr>
          <w:p w14:paraId="54B168B5" w14:textId="77777777" w:rsidR="00BB3746" w:rsidRPr="00E92571" w:rsidRDefault="00BB3746" w:rsidP="002462BB">
            <w:pPr>
              <w:rPr>
                <w:sz w:val="20"/>
              </w:rPr>
            </w:pPr>
            <w:r w:rsidRPr="00E92571">
              <w:rPr>
                <w:sz w:val="20"/>
              </w:rPr>
              <w:t>Pilot PICs are developing, implementing or practising the use of tools and methodologies to continue self-improvement efforts.</w:t>
            </w:r>
          </w:p>
        </w:tc>
        <w:tc>
          <w:tcPr>
            <w:tcW w:w="2178" w:type="dxa"/>
            <w:shd w:val="clear" w:color="auto" w:fill="auto"/>
            <w:vAlign w:val="center"/>
          </w:tcPr>
          <w:p w14:paraId="350AC078" w14:textId="77777777" w:rsidR="00BB3746" w:rsidRPr="00E92571" w:rsidRDefault="00BB3746" w:rsidP="002462BB">
            <w:pPr>
              <w:ind w:right="-57"/>
              <w:rPr>
                <w:sz w:val="20"/>
              </w:rPr>
            </w:pPr>
            <w:r w:rsidRPr="00E92571">
              <w:rPr>
                <w:sz w:val="20"/>
              </w:rPr>
              <w:t>Quality/perceptions of benefit of</w:t>
            </w:r>
            <w:proofErr w:type="gramStart"/>
            <w:r w:rsidRPr="00E92571">
              <w:rPr>
                <w:sz w:val="20"/>
              </w:rPr>
              <w:t>:</w:t>
            </w:r>
            <w:proofErr w:type="gramEnd"/>
            <w:r w:rsidRPr="00E92571">
              <w:rPr>
                <w:sz w:val="20"/>
              </w:rPr>
              <w:br/>
              <w:t>1. PIC court coordinating with informal justice systems.</w:t>
            </w:r>
            <w:r w:rsidRPr="00E92571">
              <w:rPr>
                <w:sz w:val="20"/>
              </w:rPr>
              <w:br/>
              <w:t>2. Communication and sharing of experience with other PICs through PJDP activities.</w:t>
            </w:r>
            <w:r w:rsidRPr="00E92571">
              <w:rPr>
                <w:sz w:val="20"/>
              </w:rPr>
              <w:br/>
              <w:t>3. Judicial conduct structures.</w:t>
            </w:r>
            <w:r w:rsidRPr="00E92571">
              <w:rPr>
                <w:sz w:val="20"/>
              </w:rPr>
              <w:br/>
              <w:t>4. Performance monitoring and programming actions to improve performance.</w:t>
            </w:r>
            <w:r w:rsidRPr="00E92571">
              <w:rPr>
                <w:sz w:val="20"/>
              </w:rPr>
              <w:br/>
              <w:t>5. Case process re-engineering and documentation of process.</w:t>
            </w:r>
            <w:r w:rsidRPr="00E92571">
              <w:rPr>
                <w:sz w:val="20"/>
              </w:rPr>
              <w:br/>
              <w:t>6. Planning and delivery by local actors of needs-based training and provision of resources.</w:t>
            </w:r>
          </w:p>
        </w:tc>
        <w:tc>
          <w:tcPr>
            <w:tcW w:w="1559" w:type="dxa"/>
            <w:shd w:val="clear" w:color="auto" w:fill="auto"/>
            <w:vAlign w:val="center"/>
          </w:tcPr>
          <w:p w14:paraId="788697D4" w14:textId="77777777" w:rsidR="00BB3746" w:rsidRPr="00E92571" w:rsidRDefault="00BB3746" w:rsidP="002462BB">
            <w:pPr>
              <w:rPr>
                <w:sz w:val="20"/>
              </w:rPr>
            </w:pPr>
            <w:r w:rsidRPr="00E92571">
              <w:rPr>
                <w:sz w:val="20"/>
              </w:rPr>
              <w:t>Stakeholders' surveys / interviews conducted by NCs.</w:t>
            </w:r>
          </w:p>
        </w:tc>
        <w:tc>
          <w:tcPr>
            <w:tcW w:w="851" w:type="dxa"/>
            <w:shd w:val="clear" w:color="auto" w:fill="auto"/>
            <w:vAlign w:val="center"/>
          </w:tcPr>
          <w:p w14:paraId="5E7B90DB" w14:textId="77777777" w:rsidR="00BB3746" w:rsidRPr="00E92571" w:rsidRDefault="00BB3746" w:rsidP="002462BB">
            <w:pPr>
              <w:rPr>
                <w:sz w:val="20"/>
              </w:rPr>
            </w:pPr>
            <w:r w:rsidRPr="00E92571">
              <w:rPr>
                <w:sz w:val="20"/>
              </w:rPr>
              <w:t>MSC</w:t>
            </w:r>
          </w:p>
        </w:tc>
      </w:tr>
      <w:tr w:rsidR="00BB3746" w:rsidRPr="00E92571" w14:paraId="2A5BB6E9" w14:textId="77777777" w:rsidTr="000F6360">
        <w:trPr>
          <w:trHeight w:val="199"/>
          <w:jc w:val="center"/>
        </w:trPr>
        <w:tc>
          <w:tcPr>
            <w:tcW w:w="14454" w:type="dxa"/>
            <w:gridSpan w:val="8"/>
            <w:shd w:val="clear" w:color="auto" w:fill="BFBFBF" w:themeFill="background1" w:themeFillShade="BF"/>
            <w:vAlign w:val="center"/>
          </w:tcPr>
          <w:p w14:paraId="1D99A500" w14:textId="77777777" w:rsidR="00BB3746" w:rsidRPr="00BB3746" w:rsidRDefault="00BB3746" w:rsidP="002462BB">
            <w:pPr>
              <w:spacing w:before="120"/>
              <w:rPr>
                <w:rFonts w:cs="Arial"/>
                <w:b/>
                <w:bCs/>
              </w:rPr>
            </w:pPr>
            <w:r w:rsidRPr="00BB3746">
              <w:rPr>
                <w:rFonts w:cs="Arial"/>
                <w:b/>
                <w:bCs/>
                <w:sz w:val="22"/>
                <w:szCs w:val="22"/>
              </w:rPr>
              <w:t>1.0 Access to Justice</w:t>
            </w:r>
          </w:p>
        </w:tc>
      </w:tr>
      <w:tr w:rsidR="00BB3746" w:rsidRPr="00E92571" w14:paraId="0F3AF9EA" w14:textId="77777777" w:rsidTr="000F6360">
        <w:trPr>
          <w:trHeight w:val="85"/>
          <w:jc w:val="center"/>
        </w:trPr>
        <w:tc>
          <w:tcPr>
            <w:tcW w:w="1838" w:type="dxa"/>
            <w:shd w:val="clear" w:color="auto" w:fill="auto"/>
            <w:vAlign w:val="center"/>
          </w:tcPr>
          <w:p w14:paraId="1B84CE2E" w14:textId="77777777" w:rsidR="00BB3746" w:rsidRPr="00E92571" w:rsidRDefault="00BB3746" w:rsidP="002462BB">
            <w:pPr>
              <w:spacing w:before="120"/>
              <w:rPr>
                <w:rFonts w:cs="Arial"/>
                <w:bCs/>
                <w:sz w:val="20"/>
              </w:rPr>
            </w:pPr>
            <w:r w:rsidRPr="00E92571">
              <w:rPr>
                <w:rFonts w:cs="Arial"/>
                <w:bCs/>
                <w:sz w:val="20"/>
                <w:szCs w:val="22"/>
              </w:rPr>
              <w:t xml:space="preserve">Up to two PICs better addressing broader justice needs, and up </w:t>
            </w:r>
            <w:r w:rsidRPr="00E92571">
              <w:rPr>
                <w:rFonts w:cs="Arial"/>
                <w:bCs/>
                <w:sz w:val="20"/>
                <w:szCs w:val="22"/>
              </w:rPr>
              <w:lastRenderedPageBreak/>
              <w:t>to five PICs responding more competently to family/ juvenile justice issues</w:t>
            </w:r>
          </w:p>
        </w:tc>
        <w:tc>
          <w:tcPr>
            <w:tcW w:w="1694" w:type="dxa"/>
            <w:shd w:val="clear" w:color="auto" w:fill="auto"/>
            <w:vAlign w:val="center"/>
          </w:tcPr>
          <w:p w14:paraId="50E683C4" w14:textId="77777777" w:rsidR="00BB3746" w:rsidRPr="00E92571" w:rsidRDefault="00BB3746" w:rsidP="002462BB">
            <w:pPr>
              <w:spacing w:before="120"/>
              <w:rPr>
                <w:rFonts w:cs="Arial"/>
                <w:bCs/>
                <w:sz w:val="20"/>
              </w:rPr>
            </w:pPr>
            <w:r w:rsidRPr="00E92571">
              <w:rPr>
                <w:rFonts w:cs="Arial"/>
                <w:bCs/>
                <w:sz w:val="20"/>
              </w:rPr>
              <w:lastRenderedPageBreak/>
              <w:t xml:space="preserve">Preliminary results in at least one PIC about: strengthened </w:t>
            </w:r>
            <w:r w:rsidRPr="00E92571">
              <w:rPr>
                <w:rFonts w:cs="Arial"/>
                <w:bCs/>
                <w:sz w:val="20"/>
              </w:rPr>
              <w:lastRenderedPageBreak/>
              <w:t>planning for improving accessibility of justice and improved competence to manage family/ juvenile cases</w:t>
            </w:r>
          </w:p>
        </w:tc>
        <w:tc>
          <w:tcPr>
            <w:tcW w:w="1798" w:type="dxa"/>
            <w:shd w:val="clear" w:color="auto" w:fill="auto"/>
            <w:vAlign w:val="center"/>
          </w:tcPr>
          <w:p w14:paraId="3659D3DD" w14:textId="77777777" w:rsidR="00BB3746" w:rsidRPr="00E92571" w:rsidRDefault="00BB3746" w:rsidP="002462BB">
            <w:pPr>
              <w:spacing w:before="120"/>
              <w:rPr>
                <w:rFonts w:cs="Arial"/>
                <w:bCs/>
                <w:sz w:val="20"/>
              </w:rPr>
            </w:pPr>
            <w:r w:rsidRPr="00E92571">
              <w:rPr>
                <w:rFonts w:cs="Arial"/>
                <w:bCs/>
                <w:sz w:val="20"/>
              </w:rPr>
              <w:lastRenderedPageBreak/>
              <w:t xml:space="preserve">Inadequate data about informal justice service providers </w:t>
            </w:r>
            <w:r w:rsidRPr="00E92571">
              <w:rPr>
                <w:rFonts w:cs="Arial"/>
                <w:bCs/>
                <w:sz w:val="20"/>
              </w:rPr>
              <w:lastRenderedPageBreak/>
              <w:t>(and low levels of know-how) to enable judicial leadership to assess, plan and direct an integrated process of in/formal justice services.  There is disharmony between in/formal justice systems in the region</w:t>
            </w:r>
          </w:p>
          <w:p w14:paraId="2F21A113" w14:textId="77777777" w:rsidR="00BB3746" w:rsidRPr="00E92571" w:rsidRDefault="00BB3746" w:rsidP="002462BB">
            <w:pPr>
              <w:spacing w:before="120"/>
              <w:rPr>
                <w:rFonts w:cs="Arial"/>
                <w:bCs/>
                <w:sz w:val="20"/>
              </w:rPr>
            </w:pPr>
            <w:r w:rsidRPr="00E92571">
              <w:rPr>
                <w:rFonts w:cs="Arial"/>
                <w:bCs/>
                <w:sz w:val="20"/>
              </w:rPr>
              <w:t>2012 Baseline: Judicial officers are not aware of and/ or not appropriately responding to family violence and juvenile justice issues which are pervasive across the region. A poor response to these issues undermines appropriate access to justice for vulnerable groups</w:t>
            </w:r>
          </w:p>
        </w:tc>
        <w:tc>
          <w:tcPr>
            <w:tcW w:w="2693" w:type="dxa"/>
            <w:vAlign w:val="center"/>
          </w:tcPr>
          <w:p w14:paraId="382D1CEF" w14:textId="77777777" w:rsidR="00BB3746" w:rsidRDefault="00BB3746" w:rsidP="002462BB">
            <w:pPr>
              <w:tabs>
                <w:tab w:val="left" w:pos="2694"/>
              </w:tabs>
              <w:spacing w:before="80"/>
              <w:rPr>
                <w:rFonts w:cs="Arial"/>
                <w:bCs/>
                <w:sz w:val="20"/>
                <w:szCs w:val="20"/>
              </w:rPr>
            </w:pPr>
          </w:p>
          <w:p w14:paraId="35BBDE28" w14:textId="77777777" w:rsidR="00BB3746" w:rsidRDefault="00440753" w:rsidP="002462BB">
            <w:pPr>
              <w:tabs>
                <w:tab w:val="left" w:pos="2694"/>
              </w:tabs>
              <w:spacing w:before="80"/>
              <w:rPr>
                <w:rFonts w:cs="Arial"/>
                <w:bCs/>
                <w:sz w:val="20"/>
                <w:szCs w:val="20"/>
              </w:rPr>
            </w:pPr>
            <w:r>
              <w:rPr>
                <w:rFonts w:cs="Arial"/>
                <w:bCs/>
                <w:sz w:val="20"/>
                <w:szCs w:val="20"/>
              </w:rPr>
              <w:t xml:space="preserve">Four </w:t>
            </w:r>
            <w:r w:rsidR="00BB3746">
              <w:rPr>
                <w:rFonts w:cs="Arial"/>
                <w:bCs/>
                <w:sz w:val="20"/>
                <w:szCs w:val="20"/>
              </w:rPr>
              <w:t xml:space="preserve">PICs have been recipients of workshops and/or monitoring </w:t>
            </w:r>
            <w:r w:rsidR="00BB3746">
              <w:rPr>
                <w:rFonts w:cs="Arial"/>
                <w:bCs/>
                <w:sz w:val="20"/>
                <w:szCs w:val="20"/>
              </w:rPr>
              <w:lastRenderedPageBreak/>
              <w:t>visits to improve their competence to respond to family/juvenile issues.</w:t>
            </w:r>
          </w:p>
          <w:p w14:paraId="03467C80" w14:textId="77777777" w:rsidR="00BB3746" w:rsidRDefault="00BB3746" w:rsidP="002462BB">
            <w:pPr>
              <w:tabs>
                <w:tab w:val="left" w:pos="2694"/>
              </w:tabs>
              <w:spacing w:before="80"/>
              <w:rPr>
                <w:rFonts w:cs="Arial"/>
                <w:bCs/>
                <w:sz w:val="20"/>
                <w:szCs w:val="20"/>
              </w:rPr>
            </w:pPr>
            <w:r>
              <w:rPr>
                <w:rFonts w:cs="Arial"/>
                <w:bCs/>
                <w:sz w:val="20"/>
                <w:szCs w:val="20"/>
              </w:rPr>
              <w:t xml:space="preserve">Implementation of activities in two PICs </w:t>
            </w:r>
            <w:r w:rsidR="00440753">
              <w:rPr>
                <w:rFonts w:cs="Arial"/>
                <w:bCs/>
                <w:sz w:val="20"/>
                <w:szCs w:val="20"/>
              </w:rPr>
              <w:t>was undertaken</w:t>
            </w:r>
            <w:r>
              <w:rPr>
                <w:rFonts w:cs="Arial"/>
                <w:bCs/>
                <w:sz w:val="20"/>
                <w:szCs w:val="20"/>
              </w:rPr>
              <w:t xml:space="preserve"> to address priority issues and broader justice needs - in one PIC through the Enabling Rights Project and in one PIC through the Public Information Project.</w:t>
            </w:r>
          </w:p>
          <w:p w14:paraId="4222F76B" w14:textId="77777777" w:rsidR="00BB3746" w:rsidRPr="00E92571" w:rsidRDefault="00BB3746" w:rsidP="002462BB">
            <w:pPr>
              <w:tabs>
                <w:tab w:val="left" w:pos="2694"/>
              </w:tabs>
              <w:spacing w:before="80"/>
              <w:rPr>
                <w:rFonts w:cs="Arial"/>
                <w:bCs/>
                <w:sz w:val="20"/>
                <w:szCs w:val="20"/>
              </w:rPr>
            </w:pPr>
          </w:p>
        </w:tc>
        <w:tc>
          <w:tcPr>
            <w:tcW w:w="1843" w:type="dxa"/>
            <w:shd w:val="clear" w:color="auto" w:fill="auto"/>
            <w:vAlign w:val="center"/>
          </w:tcPr>
          <w:p w14:paraId="527A9133" w14:textId="77777777" w:rsidR="00BB3746" w:rsidRPr="00E92571" w:rsidRDefault="00BB3746" w:rsidP="002462BB">
            <w:pPr>
              <w:spacing w:before="120"/>
              <w:rPr>
                <w:rFonts w:cs="Arial"/>
                <w:bCs/>
                <w:sz w:val="20"/>
                <w:szCs w:val="20"/>
              </w:rPr>
            </w:pPr>
            <w:r w:rsidRPr="00E92571">
              <w:rPr>
                <w:rFonts w:cs="Arial"/>
                <w:bCs/>
                <w:sz w:val="20"/>
                <w:szCs w:val="20"/>
              </w:rPr>
              <w:lastRenderedPageBreak/>
              <w:t xml:space="preserve">Access to Justice </w:t>
            </w:r>
            <w:r w:rsidR="00440753">
              <w:rPr>
                <w:rFonts w:cs="Arial"/>
                <w:bCs/>
                <w:sz w:val="20"/>
                <w:szCs w:val="20"/>
              </w:rPr>
              <w:t>P</w:t>
            </w:r>
            <w:r w:rsidRPr="00E92571">
              <w:rPr>
                <w:rFonts w:cs="Arial"/>
                <w:bCs/>
                <w:sz w:val="20"/>
                <w:szCs w:val="20"/>
              </w:rPr>
              <w:t xml:space="preserve">lan developed in selected PICs (based </w:t>
            </w:r>
            <w:r w:rsidRPr="00E92571">
              <w:rPr>
                <w:rFonts w:cs="Arial"/>
                <w:bCs/>
                <w:sz w:val="20"/>
                <w:szCs w:val="20"/>
              </w:rPr>
              <w:lastRenderedPageBreak/>
              <w:t>on demand via the Responsive Fund) enabling the integration of justice services; improved competence to respond to family / juvenile issues and other priority issues and improvements in public awareness of rights/remedies and in judicial responses to priority justice needs.</w:t>
            </w:r>
          </w:p>
        </w:tc>
        <w:tc>
          <w:tcPr>
            <w:tcW w:w="2178" w:type="dxa"/>
            <w:shd w:val="clear" w:color="auto" w:fill="auto"/>
            <w:vAlign w:val="center"/>
          </w:tcPr>
          <w:p w14:paraId="43212D64" w14:textId="77777777" w:rsidR="00BB3746" w:rsidRPr="00E92571" w:rsidRDefault="00BB3746" w:rsidP="002462BB">
            <w:pPr>
              <w:spacing w:before="120"/>
              <w:rPr>
                <w:rFonts w:cs="Arial"/>
                <w:bCs/>
                <w:sz w:val="20"/>
              </w:rPr>
            </w:pPr>
            <w:r w:rsidRPr="00E92571">
              <w:rPr>
                <w:rFonts w:cs="Arial"/>
                <w:bCs/>
                <w:sz w:val="20"/>
              </w:rPr>
              <w:lastRenderedPageBreak/>
              <w:t xml:space="preserve">Number and quality of Access to Justice Plans; quality of toolkit and </w:t>
            </w:r>
            <w:r w:rsidRPr="00E92571">
              <w:rPr>
                <w:rFonts w:cs="Arial"/>
                <w:bCs/>
                <w:sz w:val="20"/>
              </w:rPr>
              <w:lastRenderedPageBreak/>
              <w:t>number of PICs it is implemented in; perceived improvements in competence to respond to family violence, youth justice and other priority justice needs.</w:t>
            </w:r>
          </w:p>
        </w:tc>
        <w:tc>
          <w:tcPr>
            <w:tcW w:w="1559" w:type="dxa"/>
            <w:shd w:val="clear" w:color="auto" w:fill="auto"/>
            <w:vAlign w:val="center"/>
          </w:tcPr>
          <w:p w14:paraId="6AD72354" w14:textId="77777777" w:rsidR="00BB3746" w:rsidRPr="00E92571" w:rsidRDefault="00BB3746" w:rsidP="002462BB">
            <w:pPr>
              <w:spacing w:before="120"/>
              <w:rPr>
                <w:rFonts w:cs="Arial"/>
                <w:bCs/>
                <w:sz w:val="20"/>
              </w:rPr>
            </w:pPr>
            <w:r w:rsidRPr="00E92571">
              <w:rPr>
                <w:rFonts w:cs="Arial"/>
                <w:bCs/>
                <w:sz w:val="20"/>
              </w:rPr>
              <w:lastRenderedPageBreak/>
              <w:t>Access to Justice Plan.</w:t>
            </w:r>
          </w:p>
        </w:tc>
        <w:tc>
          <w:tcPr>
            <w:tcW w:w="851" w:type="dxa"/>
            <w:shd w:val="clear" w:color="auto" w:fill="auto"/>
            <w:vAlign w:val="center"/>
          </w:tcPr>
          <w:p w14:paraId="5A732ABA" w14:textId="77777777" w:rsidR="00BB3746" w:rsidRPr="00E92571" w:rsidRDefault="00BB3746" w:rsidP="002462BB">
            <w:pPr>
              <w:spacing w:before="120"/>
              <w:rPr>
                <w:rFonts w:cs="Arial"/>
                <w:bCs/>
                <w:sz w:val="20"/>
              </w:rPr>
            </w:pPr>
            <w:r w:rsidRPr="00E92571">
              <w:rPr>
                <w:rFonts w:cs="Arial"/>
                <w:bCs/>
                <w:sz w:val="20"/>
              </w:rPr>
              <w:t>TA</w:t>
            </w:r>
          </w:p>
        </w:tc>
      </w:tr>
      <w:tr w:rsidR="00BB3746" w:rsidRPr="00E92571" w14:paraId="59973180" w14:textId="77777777" w:rsidTr="000F6360">
        <w:trPr>
          <w:trHeight w:val="280"/>
          <w:jc w:val="center"/>
        </w:trPr>
        <w:tc>
          <w:tcPr>
            <w:tcW w:w="14454" w:type="dxa"/>
            <w:gridSpan w:val="8"/>
            <w:shd w:val="clear" w:color="auto" w:fill="F2F2F2" w:themeFill="background1" w:themeFillShade="F2"/>
            <w:vAlign w:val="center"/>
          </w:tcPr>
          <w:p w14:paraId="64923F67" w14:textId="77777777" w:rsidR="00BB3746" w:rsidRPr="00BB3746" w:rsidRDefault="00BB3746" w:rsidP="002462BB">
            <w:pPr>
              <w:rPr>
                <w:rFonts w:cs="Arial"/>
                <w:b/>
              </w:rPr>
            </w:pPr>
            <w:r w:rsidRPr="00BB3746">
              <w:rPr>
                <w:rFonts w:cs="Arial"/>
                <w:b/>
                <w:sz w:val="22"/>
                <w:szCs w:val="22"/>
              </w:rPr>
              <w:lastRenderedPageBreak/>
              <w:t>1.1 Access to Justice (formerly Customary Dispute Resolution) Project</w:t>
            </w:r>
          </w:p>
        </w:tc>
      </w:tr>
      <w:tr w:rsidR="00BB3746" w:rsidRPr="00E92571" w14:paraId="35EF53F2" w14:textId="77777777" w:rsidTr="000F6360">
        <w:trPr>
          <w:trHeight w:val="765"/>
          <w:jc w:val="center"/>
        </w:trPr>
        <w:tc>
          <w:tcPr>
            <w:tcW w:w="1838" w:type="dxa"/>
            <w:vMerge w:val="restart"/>
            <w:shd w:val="clear" w:color="auto" w:fill="auto"/>
            <w:vAlign w:val="center"/>
          </w:tcPr>
          <w:p w14:paraId="1852E899" w14:textId="77777777" w:rsidR="00BB3746" w:rsidRPr="00E92571" w:rsidRDefault="00BB3746" w:rsidP="002462BB">
            <w:pPr>
              <w:rPr>
                <w:rFonts w:cs="Arial"/>
                <w:sz w:val="20"/>
                <w:szCs w:val="20"/>
              </w:rPr>
            </w:pPr>
            <w:r w:rsidRPr="00E92571">
              <w:rPr>
                <w:sz w:val="20"/>
                <w:szCs w:val="20"/>
              </w:rPr>
              <w:t>To support selected PICs to systematically address community dispute resolution needs.</w:t>
            </w:r>
          </w:p>
        </w:tc>
        <w:tc>
          <w:tcPr>
            <w:tcW w:w="1694" w:type="dxa"/>
            <w:vMerge w:val="restart"/>
            <w:shd w:val="clear" w:color="auto" w:fill="auto"/>
            <w:vAlign w:val="center"/>
          </w:tcPr>
          <w:p w14:paraId="3FB1FB0A" w14:textId="77777777" w:rsidR="00BB3746" w:rsidRPr="00E92571" w:rsidRDefault="00BB3746" w:rsidP="002462BB">
            <w:pPr>
              <w:rPr>
                <w:rFonts w:cs="Arial"/>
                <w:sz w:val="20"/>
                <w:szCs w:val="20"/>
              </w:rPr>
            </w:pPr>
            <w:r w:rsidRPr="00E92571">
              <w:rPr>
                <w:rFonts w:cs="Arial"/>
                <w:sz w:val="20"/>
                <w:szCs w:val="20"/>
              </w:rPr>
              <w:t xml:space="preserve">One integrated in/formal justice system planning workshop conducted using </w:t>
            </w:r>
            <w:r w:rsidRPr="00E92571">
              <w:rPr>
                <w:rFonts w:cs="Arial"/>
                <w:sz w:val="20"/>
                <w:szCs w:val="20"/>
              </w:rPr>
              <w:lastRenderedPageBreak/>
              <w:t>preliminary research data and providing technical inputs into integrated planning.</w:t>
            </w:r>
          </w:p>
        </w:tc>
        <w:tc>
          <w:tcPr>
            <w:tcW w:w="1798" w:type="dxa"/>
            <w:vMerge w:val="restart"/>
            <w:shd w:val="clear" w:color="auto" w:fill="auto"/>
            <w:vAlign w:val="center"/>
          </w:tcPr>
          <w:p w14:paraId="29F89716" w14:textId="77777777" w:rsidR="00BB3746" w:rsidRPr="00E92571" w:rsidRDefault="00BB3746" w:rsidP="002462BB">
            <w:pPr>
              <w:rPr>
                <w:rFonts w:cs="Arial"/>
                <w:sz w:val="20"/>
                <w:szCs w:val="20"/>
              </w:rPr>
            </w:pPr>
            <w:r w:rsidRPr="00E92571">
              <w:rPr>
                <w:rFonts w:cs="Arial"/>
                <w:sz w:val="20"/>
                <w:szCs w:val="20"/>
              </w:rPr>
              <w:lastRenderedPageBreak/>
              <w:t>No evidence-based strategy exists to integrate in/formal justice systems in the region.</w:t>
            </w:r>
          </w:p>
        </w:tc>
        <w:tc>
          <w:tcPr>
            <w:tcW w:w="2693" w:type="dxa"/>
            <w:vMerge w:val="restart"/>
            <w:vAlign w:val="center"/>
          </w:tcPr>
          <w:p w14:paraId="40C8E269" w14:textId="77777777" w:rsidR="00BB3746" w:rsidRPr="00131DA5" w:rsidRDefault="00BB3746" w:rsidP="002462BB">
            <w:pPr>
              <w:tabs>
                <w:tab w:val="left" w:pos="2694"/>
              </w:tabs>
              <w:spacing w:before="80"/>
              <w:rPr>
                <w:b/>
                <w:i/>
                <w:szCs w:val="23"/>
                <w:lang w:val="en-GB"/>
              </w:rPr>
            </w:pPr>
            <w:r w:rsidRPr="00B40BC9">
              <w:rPr>
                <w:rFonts w:cs="Arial"/>
                <w:sz w:val="20"/>
                <w:szCs w:val="20"/>
              </w:rPr>
              <w:t xml:space="preserve">Further activities under the Access to Justice Project will be implemented at the request of an individual PIC via the Responsive </w:t>
            </w:r>
            <w:r w:rsidRPr="00B40BC9">
              <w:rPr>
                <w:rFonts w:cs="Arial"/>
                <w:sz w:val="20"/>
                <w:szCs w:val="20"/>
              </w:rPr>
              <w:lastRenderedPageBreak/>
              <w:t>Fund mechanism, and ongoing support given to the pilot PIC (Tuvalu) to implement the toolkit (as requested).</w:t>
            </w:r>
          </w:p>
        </w:tc>
        <w:tc>
          <w:tcPr>
            <w:tcW w:w="1843" w:type="dxa"/>
            <w:vMerge w:val="restart"/>
            <w:shd w:val="clear" w:color="auto" w:fill="auto"/>
            <w:vAlign w:val="center"/>
          </w:tcPr>
          <w:p w14:paraId="75A2B18E" w14:textId="77777777" w:rsidR="00BB3746" w:rsidRPr="00E92571" w:rsidRDefault="00BB3746" w:rsidP="002462BB">
            <w:pPr>
              <w:rPr>
                <w:rFonts w:cs="Arial"/>
                <w:sz w:val="20"/>
                <w:szCs w:val="20"/>
              </w:rPr>
            </w:pPr>
            <w:r w:rsidRPr="00E92571">
              <w:rPr>
                <w:sz w:val="20"/>
                <w:szCs w:val="20"/>
              </w:rPr>
              <w:lastRenderedPageBreak/>
              <w:t xml:space="preserve">The </w:t>
            </w:r>
            <w:r w:rsidRPr="00E92571">
              <w:rPr>
                <w:i/>
                <w:sz w:val="20"/>
                <w:szCs w:val="20"/>
              </w:rPr>
              <w:t>Regional</w:t>
            </w:r>
            <w:r w:rsidRPr="00E92571">
              <w:rPr>
                <w:sz w:val="20"/>
                <w:szCs w:val="20"/>
              </w:rPr>
              <w:t xml:space="preserve"> </w:t>
            </w:r>
            <w:r w:rsidRPr="00E92571">
              <w:rPr>
                <w:i/>
                <w:sz w:val="20"/>
                <w:szCs w:val="20"/>
              </w:rPr>
              <w:t>Access to Justice Planning</w:t>
            </w:r>
            <w:r w:rsidRPr="00E92571">
              <w:rPr>
                <w:sz w:val="20"/>
                <w:szCs w:val="20"/>
              </w:rPr>
              <w:t xml:space="preserve"> </w:t>
            </w:r>
            <w:r w:rsidRPr="00E92571">
              <w:rPr>
                <w:i/>
                <w:sz w:val="20"/>
                <w:szCs w:val="20"/>
              </w:rPr>
              <w:t>Toolkit</w:t>
            </w:r>
            <w:r w:rsidRPr="00E92571">
              <w:rPr>
                <w:rFonts w:cs="Arial"/>
                <w:sz w:val="20"/>
                <w:szCs w:val="20"/>
              </w:rPr>
              <w:t xml:space="preserve"> implemented in interested PICs using the Responsive </w:t>
            </w:r>
            <w:r w:rsidRPr="00E92571">
              <w:rPr>
                <w:rFonts w:cs="Arial"/>
                <w:sz w:val="20"/>
                <w:szCs w:val="20"/>
              </w:rPr>
              <w:lastRenderedPageBreak/>
              <w:t>Fund mechanism enabling Access to Justice Plans to be developed and implemented.</w:t>
            </w:r>
          </w:p>
        </w:tc>
        <w:tc>
          <w:tcPr>
            <w:tcW w:w="2178" w:type="dxa"/>
            <w:shd w:val="clear" w:color="auto" w:fill="auto"/>
            <w:vAlign w:val="center"/>
          </w:tcPr>
          <w:p w14:paraId="7D828580" w14:textId="77777777" w:rsidR="00BB3746" w:rsidRPr="00E92571" w:rsidRDefault="00BB3746" w:rsidP="002462BB">
            <w:pPr>
              <w:rPr>
                <w:rFonts w:cs="Arial"/>
                <w:sz w:val="20"/>
                <w:szCs w:val="20"/>
              </w:rPr>
            </w:pPr>
            <w:r w:rsidRPr="00E92571">
              <w:rPr>
                <w:rFonts w:cs="Arial"/>
                <w:sz w:val="20"/>
                <w:szCs w:val="20"/>
              </w:rPr>
              <w:lastRenderedPageBreak/>
              <w:t>Quality of Access to Justice Plan particularly their incorporation of community dispute resolution needs.</w:t>
            </w:r>
          </w:p>
        </w:tc>
        <w:tc>
          <w:tcPr>
            <w:tcW w:w="1559" w:type="dxa"/>
            <w:vMerge w:val="restart"/>
            <w:shd w:val="clear" w:color="auto" w:fill="auto"/>
            <w:vAlign w:val="center"/>
          </w:tcPr>
          <w:p w14:paraId="13487584" w14:textId="77777777" w:rsidR="00BB3746" w:rsidRPr="00E92571" w:rsidRDefault="00BB3746" w:rsidP="002462BB">
            <w:pPr>
              <w:rPr>
                <w:rFonts w:cs="Arial"/>
                <w:sz w:val="20"/>
                <w:szCs w:val="20"/>
              </w:rPr>
            </w:pPr>
            <w:r w:rsidRPr="00E92571">
              <w:rPr>
                <w:rFonts w:cs="Arial"/>
                <w:sz w:val="20"/>
                <w:szCs w:val="20"/>
              </w:rPr>
              <w:t>Access to Justice Plans / RF reports.</w:t>
            </w:r>
          </w:p>
        </w:tc>
        <w:tc>
          <w:tcPr>
            <w:tcW w:w="851" w:type="dxa"/>
            <w:vMerge w:val="restart"/>
            <w:shd w:val="clear" w:color="auto" w:fill="auto"/>
            <w:vAlign w:val="center"/>
          </w:tcPr>
          <w:p w14:paraId="5DD0FFB9" w14:textId="77777777" w:rsidR="00BB3746" w:rsidRPr="00E92571" w:rsidRDefault="00BB3746" w:rsidP="002462BB">
            <w:pPr>
              <w:rPr>
                <w:rFonts w:cs="Arial"/>
                <w:sz w:val="20"/>
                <w:szCs w:val="20"/>
              </w:rPr>
            </w:pPr>
            <w:r w:rsidRPr="00E92571">
              <w:rPr>
                <w:rFonts w:cs="Arial"/>
                <w:sz w:val="20"/>
                <w:szCs w:val="20"/>
              </w:rPr>
              <w:t>TA</w:t>
            </w:r>
          </w:p>
        </w:tc>
      </w:tr>
      <w:tr w:rsidR="00BB3746" w:rsidRPr="00E92571" w14:paraId="771A8A39" w14:textId="77777777" w:rsidTr="000F6360">
        <w:trPr>
          <w:trHeight w:val="1958"/>
          <w:jc w:val="center"/>
        </w:trPr>
        <w:tc>
          <w:tcPr>
            <w:tcW w:w="1838" w:type="dxa"/>
            <w:vMerge/>
            <w:shd w:val="clear" w:color="auto" w:fill="auto"/>
            <w:vAlign w:val="center"/>
          </w:tcPr>
          <w:p w14:paraId="3974286E" w14:textId="77777777" w:rsidR="00BB3746" w:rsidRPr="00E92571" w:rsidRDefault="00BB3746" w:rsidP="002462BB">
            <w:pPr>
              <w:rPr>
                <w:rFonts w:cs="Arial"/>
                <w:sz w:val="20"/>
                <w:szCs w:val="20"/>
              </w:rPr>
            </w:pPr>
          </w:p>
        </w:tc>
        <w:tc>
          <w:tcPr>
            <w:tcW w:w="1694" w:type="dxa"/>
            <w:vMerge/>
            <w:shd w:val="clear" w:color="auto" w:fill="auto"/>
            <w:vAlign w:val="center"/>
          </w:tcPr>
          <w:p w14:paraId="383FE2AC" w14:textId="77777777" w:rsidR="00BB3746" w:rsidRPr="00E92571" w:rsidRDefault="00BB3746" w:rsidP="002462BB">
            <w:pPr>
              <w:rPr>
                <w:rFonts w:cs="Arial"/>
                <w:sz w:val="20"/>
                <w:szCs w:val="20"/>
              </w:rPr>
            </w:pPr>
          </w:p>
        </w:tc>
        <w:tc>
          <w:tcPr>
            <w:tcW w:w="1798" w:type="dxa"/>
            <w:vMerge/>
            <w:shd w:val="clear" w:color="auto" w:fill="auto"/>
            <w:vAlign w:val="center"/>
          </w:tcPr>
          <w:p w14:paraId="05E7AABE" w14:textId="77777777" w:rsidR="00BB3746" w:rsidRPr="00E92571" w:rsidRDefault="00BB3746" w:rsidP="002462BB">
            <w:pPr>
              <w:rPr>
                <w:rFonts w:cs="Arial"/>
                <w:sz w:val="20"/>
                <w:szCs w:val="20"/>
              </w:rPr>
            </w:pPr>
          </w:p>
        </w:tc>
        <w:tc>
          <w:tcPr>
            <w:tcW w:w="2693" w:type="dxa"/>
            <w:vMerge/>
          </w:tcPr>
          <w:p w14:paraId="238DEEBA" w14:textId="77777777" w:rsidR="00BB3746" w:rsidRPr="00E92571" w:rsidRDefault="00BB3746" w:rsidP="002462BB">
            <w:pPr>
              <w:rPr>
                <w:rFonts w:cs="Arial"/>
                <w:sz w:val="20"/>
                <w:szCs w:val="20"/>
              </w:rPr>
            </w:pPr>
          </w:p>
        </w:tc>
        <w:tc>
          <w:tcPr>
            <w:tcW w:w="1843" w:type="dxa"/>
            <w:vMerge/>
            <w:shd w:val="clear" w:color="auto" w:fill="auto"/>
            <w:vAlign w:val="center"/>
          </w:tcPr>
          <w:p w14:paraId="170C15C9" w14:textId="77777777" w:rsidR="00BB3746" w:rsidRPr="00E92571" w:rsidRDefault="00BB3746" w:rsidP="002462BB">
            <w:pPr>
              <w:rPr>
                <w:rFonts w:cs="Arial"/>
                <w:sz w:val="20"/>
                <w:szCs w:val="20"/>
              </w:rPr>
            </w:pPr>
          </w:p>
        </w:tc>
        <w:tc>
          <w:tcPr>
            <w:tcW w:w="2178" w:type="dxa"/>
            <w:shd w:val="clear" w:color="auto" w:fill="auto"/>
            <w:vAlign w:val="center"/>
          </w:tcPr>
          <w:p w14:paraId="45AC8D0C" w14:textId="77777777" w:rsidR="00BB3746" w:rsidRPr="00E92571" w:rsidRDefault="00BB3746" w:rsidP="002462BB">
            <w:pPr>
              <w:rPr>
                <w:rFonts w:cs="Arial"/>
                <w:sz w:val="20"/>
                <w:szCs w:val="20"/>
              </w:rPr>
            </w:pPr>
            <w:r w:rsidRPr="00E92571">
              <w:rPr>
                <w:rFonts w:cs="Arial"/>
                <w:sz w:val="20"/>
                <w:szCs w:val="20"/>
              </w:rPr>
              <w:t>Number of PICs the Toolkit is implemented to.</w:t>
            </w:r>
          </w:p>
        </w:tc>
        <w:tc>
          <w:tcPr>
            <w:tcW w:w="1559" w:type="dxa"/>
            <w:vMerge/>
            <w:shd w:val="clear" w:color="auto" w:fill="auto"/>
            <w:vAlign w:val="center"/>
          </w:tcPr>
          <w:p w14:paraId="07ABD4B6" w14:textId="77777777" w:rsidR="00BB3746" w:rsidRPr="00E92571" w:rsidRDefault="00BB3746" w:rsidP="002462BB">
            <w:pPr>
              <w:rPr>
                <w:rFonts w:cs="Arial"/>
                <w:sz w:val="20"/>
                <w:szCs w:val="20"/>
              </w:rPr>
            </w:pPr>
          </w:p>
        </w:tc>
        <w:tc>
          <w:tcPr>
            <w:tcW w:w="851" w:type="dxa"/>
            <w:vMerge/>
            <w:shd w:val="clear" w:color="auto" w:fill="auto"/>
            <w:vAlign w:val="center"/>
          </w:tcPr>
          <w:p w14:paraId="660C0B4E" w14:textId="77777777" w:rsidR="00BB3746" w:rsidRPr="00E92571" w:rsidRDefault="00BB3746" w:rsidP="002462BB">
            <w:pPr>
              <w:rPr>
                <w:rFonts w:cs="Arial"/>
                <w:sz w:val="20"/>
                <w:szCs w:val="20"/>
              </w:rPr>
            </w:pPr>
          </w:p>
        </w:tc>
      </w:tr>
      <w:tr w:rsidR="00BB3746" w:rsidRPr="00E92571" w14:paraId="325D44AD" w14:textId="77777777" w:rsidTr="000F6360">
        <w:trPr>
          <w:trHeight w:val="318"/>
          <w:jc w:val="center"/>
        </w:trPr>
        <w:tc>
          <w:tcPr>
            <w:tcW w:w="14454" w:type="dxa"/>
            <w:gridSpan w:val="8"/>
            <w:shd w:val="clear" w:color="auto" w:fill="F2F2F2" w:themeFill="background1" w:themeFillShade="F2"/>
            <w:vAlign w:val="center"/>
          </w:tcPr>
          <w:p w14:paraId="50359335" w14:textId="77777777" w:rsidR="00BB3746" w:rsidRPr="00BB3746" w:rsidRDefault="00BB3746" w:rsidP="002462BB">
            <w:pPr>
              <w:rPr>
                <w:rFonts w:cs="Arial"/>
                <w:b/>
              </w:rPr>
            </w:pPr>
            <w:r w:rsidRPr="00BB3746">
              <w:rPr>
                <w:rFonts w:cs="Arial"/>
                <w:b/>
                <w:sz w:val="22"/>
                <w:szCs w:val="22"/>
              </w:rPr>
              <w:lastRenderedPageBreak/>
              <w:t>1.2 Enabling Rights Project</w:t>
            </w:r>
          </w:p>
        </w:tc>
      </w:tr>
      <w:tr w:rsidR="00BB3746" w:rsidRPr="00E92571" w14:paraId="6954204B" w14:textId="77777777" w:rsidTr="000F6360">
        <w:trPr>
          <w:trHeight w:val="510"/>
          <w:jc w:val="center"/>
        </w:trPr>
        <w:tc>
          <w:tcPr>
            <w:tcW w:w="1838" w:type="dxa"/>
            <w:vMerge w:val="restart"/>
            <w:shd w:val="clear" w:color="auto" w:fill="auto"/>
            <w:vAlign w:val="center"/>
          </w:tcPr>
          <w:p w14:paraId="3F207451" w14:textId="77777777" w:rsidR="00BB3746" w:rsidRPr="00E92571" w:rsidRDefault="00BB3746" w:rsidP="002462BB">
            <w:pPr>
              <w:rPr>
                <w:rFonts w:cs="Arial"/>
                <w:bCs/>
                <w:sz w:val="20"/>
                <w:szCs w:val="20"/>
              </w:rPr>
            </w:pPr>
            <w:r w:rsidRPr="00E92571">
              <w:rPr>
                <w:rFonts w:cs="Arial"/>
                <w:color w:val="000000"/>
                <w:sz w:val="20"/>
                <w:szCs w:val="20"/>
                <w:shd w:val="clear" w:color="auto" w:fill="FFFFFF"/>
              </w:rPr>
              <w:t>Claim(s) of previously unmet legal needs are brought to, and resolved by, the courts in at least one PIC</w:t>
            </w:r>
            <w:r w:rsidRPr="00E92571">
              <w:rPr>
                <w:rFonts w:cs="Arial"/>
                <w:bCs/>
                <w:sz w:val="20"/>
                <w:szCs w:val="20"/>
              </w:rPr>
              <w:t>.</w:t>
            </w:r>
          </w:p>
        </w:tc>
        <w:tc>
          <w:tcPr>
            <w:tcW w:w="1694" w:type="dxa"/>
            <w:vMerge w:val="restart"/>
            <w:shd w:val="clear" w:color="auto" w:fill="auto"/>
            <w:vAlign w:val="center"/>
          </w:tcPr>
          <w:p w14:paraId="5B1B2E9A" w14:textId="77777777" w:rsidR="00BB3746" w:rsidRPr="00E92571" w:rsidRDefault="00BB3746" w:rsidP="002462BB">
            <w:pPr>
              <w:rPr>
                <w:rFonts w:cs="Arial"/>
                <w:sz w:val="20"/>
                <w:szCs w:val="20"/>
              </w:rPr>
            </w:pPr>
            <w:r w:rsidRPr="00E92571">
              <w:rPr>
                <w:rFonts w:cs="Arial"/>
                <w:sz w:val="20"/>
                <w:szCs w:val="20"/>
              </w:rPr>
              <w:t>NA</w:t>
            </w:r>
          </w:p>
        </w:tc>
        <w:tc>
          <w:tcPr>
            <w:tcW w:w="1798" w:type="dxa"/>
            <w:vMerge w:val="restart"/>
            <w:shd w:val="clear" w:color="auto" w:fill="auto"/>
            <w:vAlign w:val="center"/>
          </w:tcPr>
          <w:p w14:paraId="3CD7A85B" w14:textId="77777777" w:rsidR="00BB3746" w:rsidRPr="00E92571" w:rsidRDefault="00BB3746" w:rsidP="002462BB">
            <w:pPr>
              <w:rPr>
                <w:rFonts w:cs="Arial"/>
                <w:sz w:val="20"/>
                <w:szCs w:val="20"/>
              </w:rPr>
            </w:pPr>
            <w:r w:rsidRPr="00E92571">
              <w:rPr>
                <w:rFonts w:cs="Arial"/>
                <w:sz w:val="20"/>
                <w:szCs w:val="20"/>
              </w:rPr>
              <w:t>Baseline 2013: courts do not promote equal access to or focus on being responsive to the needs of the citizens they serve.  As a result, there is a plethora of unmet justice needs within the community.</w:t>
            </w:r>
          </w:p>
        </w:tc>
        <w:tc>
          <w:tcPr>
            <w:tcW w:w="2693" w:type="dxa"/>
            <w:vMerge w:val="restart"/>
            <w:vAlign w:val="center"/>
          </w:tcPr>
          <w:p w14:paraId="38627FCE" w14:textId="77777777" w:rsidR="00BB3746" w:rsidRPr="00E92571" w:rsidRDefault="00286F9A" w:rsidP="00286F9A">
            <w:pPr>
              <w:rPr>
                <w:sz w:val="20"/>
                <w:szCs w:val="20"/>
              </w:rPr>
            </w:pPr>
            <w:r>
              <w:rPr>
                <w:sz w:val="20"/>
                <w:szCs w:val="20"/>
              </w:rPr>
              <w:t>The first of two in-country visits was undertaken (Kiribati) to assess the needs of the Judiciary; legal sector and community at large.</w:t>
            </w:r>
          </w:p>
        </w:tc>
        <w:tc>
          <w:tcPr>
            <w:tcW w:w="1843" w:type="dxa"/>
            <w:vMerge w:val="restart"/>
            <w:shd w:val="clear" w:color="auto" w:fill="auto"/>
            <w:vAlign w:val="center"/>
          </w:tcPr>
          <w:p w14:paraId="35CDC606" w14:textId="77777777" w:rsidR="00BB3746" w:rsidRPr="00E92571" w:rsidDel="00785258" w:rsidRDefault="00BB3746" w:rsidP="002462BB">
            <w:pPr>
              <w:rPr>
                <w:rFonts w:cs="Arial"/>
                <w:sz w:val="20"/>
                <w:szCs w:val="20"/>
              </w:rPr>
            </w:pPr>
            <w:r w:rsidRPr="00E92571">
              <w:rPr>
                <w:sz w:val="20"/>
                <w:szCs w:val="20"/>
              </w:rPr>
              <w:t>A methodology enabling those seeking justice to access available remedies</w:t>
            </w:r>
            <w:r w:rsidRPr="00E92571">
              <w:rPr>
                <w:rFonts w:cs="Arial"/>
                <w:bCs/>
                <w:sz w:val="20"/>
                <w:szCs w:val="20"/>
              </w:rPr>
              <w:t xml:space="preserve"> is developed, piloted and adopted in one PIC.  </w:t>
            </w:r>
          </w:p>
        </w:tc>
        <w:tc>
          <w:tcPr>
            <w:tcW w:w="2178" w:type="dxa"/>
            <w:shd w:val="clear" w:color="auto" w:fill="auto"/>
            <w:vAlign w:val="center"/>
          </w:tcPr>
          <w:p w14:paraId="323292E5" w14:textId="77777777" w:rsidR="00BB3746" w:rsidRPr="00E92571" w:rsidDel="00785258" w:rsidRDefault="00BB3746" w:rsidP="002462BB">
            <w:pPr>
              <w:rPr>
                <w:rFonts w:cs="Arial"/>
                <w:sz w:val="20"/>
                <w:szCs w:val="20"/>
              </w:rPr>
            </w:pPr>
            <w:r w:rsidRPr="00E92571">
              <w:rPr>
                <w:rFonts w:cs="Arial"/>
                <w:sz w:val="20"/>
                <w:szCs w:val="20"/>
              </w:rPr>
              <w:t>Quality of toolkit for promoting justice for beneficiaries.</w:t>
            </w:r>
          </w:p>
        </w:tc>
        <w:tc>
          <w:tcPr>
            <w:tcW w:w="1559" w:type="dxa"/>
            <w:vMerge w:val="restart"/>
            <w:shd w:val="clear" w:color="auto" w:fill="auto"/>
            <w:vAlign w:val="center"/>
          </w:tcPr>
          <w:p w14:paraId="593A364E" w14:textId="77777777" w:rsidR="00BB3746" w:rsidRPr="00E92571" w:rsidRDefault="00BB3746" w:rsidP="002462BB">
            <w:pPr>
              <w:rPr>
                <w:rFonts w:cs="Arial"/>
                <w:sz w:val="20"/>
                <w:szCs w:val="20"/>
              </w:rPr>
            </w:pPr>
            <w:r w:rsidRPr="00E92571">
              <w:rPr>
                <w:rFonts w:cs="Arial"/>
                <w:sz w:val="20"/>
                <w:szCs w:val="20"/>
              </w:rPr>
              <w:t>Toolkit and TA/PIC reports.</w:t>
            </w:r>
          </w:p>
        </w:tc>
        <w:tc>
          <w:tcPr>
            <w:tcW w:w="851" w:type="dxa"/>
            <w:vMerge w:val="restart"/>
            <w:shd w:val="clear" w:color="auto" w:fill="auto"/>
            <w:vAlign w:val="center"/>
          </w:tcPr>
          <w:p w14:paraId="29422362" w14:textId="77777777" w:rsidR="00BB3746" w:rsidRPr="00E92571" w:rsidRDefault="00BB3746" w:rsidP="002462BB">
            <w:pPr>
              <w:rPr>
                <w:rFonts w:cs="Arial"/>
                <w:sz w:val="20"/>
                <w:szCs w:val="20"/>
              </w:rPr>
            </w:pPr>
            <w:r w:rsidRPr="00E92571">
              <w:rPr>
                <w:rFonts w:cs="Arial"/>
                <w:sz w:val="20"/>
                <w:szCs w:val="20"/>
              </w:rPr>
              <w:t>TA/PIC</w:t>
            </w:r>
          </w:p>
        </w:tc>
      </w:tr>
      <w:tr w:rsidR="00BB3746" w:rsidRPr="00E92571" w14:paraId="4DCA3BE6" w14:textId="77777777" w:rsidTr="000F6360">
        <w:trPr>
          <w:trHeight w:val="510"/>
          <w:jc w:val="center"/>
        </w:trPr>
        <w:tc>
          <w:tcPr>
            <w:tcW w:w="1838" w:type="dxa"/>
            <w:vMerge/>
            <w:shd w:val="clear" w:color="auto" w:fill="auto"/>
            <w:vAlign w:val="center"/>
          </w:tcPr>
          <w:p w14:paraId="5B67D834" w14:textId="77777777" w:rsidR="00BB3746" w:rsidRPr="00E92571" w:rsidRDefault="00BB3746" w:rsidP="002462BB">
            <w:pPr>
              <w:rPr>
                <w:sz w:val="20"/>
                <w:szCs w:val="20"/>
              </w:rPr>
            </w:pPr>
          </w:p>
        </w:tc>
        <w:tc>
          <w:tcPr>
            <w:tcW w:w="1694" w:type="dxa"/>
            <w:vMerge/>
            <w:shd w:val="clear" w:color="auto" w:fill="auto"/>
            <w:vAlign w:val="center"/>
          </w:tcPr>
          <w:p w14:paraId="39DE1F81" w14:textId="77777777" w:rsidR="00BB3746" w:rsidRPr="00E92571" w:rsidRDefault="00BB3746" w:rsidP="002462BB">
            <w:pPr>
              <w:rPr>
                <w:rFonts w:cs="Arial"/>
                <w:sz w:val="20"/>
                <w:szCs w:val="20"/>
              </w:rPr>
            </w:pPr>
          </w:p>
        </w:tc>
        <w:tc>
          <w:tcPr>
            <w:tcW w:w="1798" w:type="dxa"/>
            <w:vMerge/>
            <w:shd w:val="clear" w:color="auto" w:fill="auto"/>
            <w:vAlign w:val="center"/>
          </w:tcPr>
          <w:p w14:paraId="196B5ED3" w14:textId="77777777" w:rsidR="00BB3746" w:rsidRPr="00E92571" w:rsidRDefault="00BB3746" w:rsidP="002462BB">
            <w:pPr>
              <w:rPr>
                <w:rFonts w:cs="Arial"/>
                <w:sz w:val="20"/>
                <w:szCs w:val="20"/>
              </w:rPr>
            </w:pPr>
          </w:p>
        </w:tc>
        <w:tc>
          <w:tcPr>
            <w:tcW w:w="2693" w:type="dxa"/>
            <w:vMerge/>
          </w:tcPr>
          <w:p w14:paraId="472178A7" w14:textId="77777777" w:rsidR="00BB3746" w:rsidRPr="00E92571" w:rsidRDefault="00BB3746" w:rsidP="002462BB">
            <w:pPr>
              <w:rPr>
                <w:szCs w:val="23"/>
              </w:rPr>
            </w:pPr>
          </w:p>
        </w:tc>
        <w:tc>
          <w:tcPr>
            <w:tcW w:w="1843" w:type="dxa"/>
            <w:vMerge/>
            <w:shd w:val="clear" w:color="auto" w:fill="auto"/>
            <w:vAlign w:val="center"/>
          </w:tcPr>
          <w:p w14:paraId="6A1E7AC1" w14:textId="77777777" w:rsidR="00BB3746" w:rsidRPr="00E92571" w:rsidRDefault="00BB3746" w:rsidP="002462BB">
            <w:pPr>
              <w:rPr>
                <w:szCs w:val="23"/>
              </w:rPr>
            </w:pPr>
          </w:p>
        </w:tc>
        <w:tc>
          <w:tcPr>
            <w:tcW w:w="2178" w:type="dxa"/>
            <w:shd w:val="clear" w:color="auto" w:fill="auto"/>
            <w:vAlign w:val="center"/>
          </w:tcPr>
          <w:p w14:paraId="2E582105" w14:textId="77777777" w:rsidR="00BB3746" w:rsidRPr="00E92571" w:rsidRDefault="00BB3746" w:rsidP="002462BB">
            <w:pPr>
              <w:rPr>
                <w:rFonts w:cs="Arial"/>
                <w:sz w:val="20"/>
                <w:szCs w:val="20"/>
              </w:rPr>
            </w:pPr>
            <w:r w:rsidRPr="00E92571">
              <w:rPr>
                <w:rFonts w:cs="Arial"/>
                <w:sz w:val="20"/>
                <w:szCs w:val="20"/>
              </w:rPr>
              <w:t>Percentage increase in claims made to courts for remedies focussed on during the pilot.</w:t>
            </w:r>
          </w:p>
        </w:tc>
        <w:tc>
          <w:tcPr>
            <w:tcW w:w="1559" w:type="dxa"/>
            <w:vMerge/>
            <w:shd w:val="clear" w:color="auto" w:fill="auto"/>
            <w:vAlign w:val="center"/>
          </w:tcPr>
          <w:p w14:paraId="05F78DAB" w14:textId="77777777" w:rsidR="00BB3746" w:rsidRPr="00E92571" w:rsidRDefault="00BB3746" w:rsidP="002462BB">
            <w:pPr>
              <w:rPr>
                <w:rFonts w:cs="Arial"/>
                <w:sz w:val="20"/>
                <w:szCs w:val="20"/>
              </w:rPr>
            </w:pPr>
          </w:p>
        </w:tc>
        <w:tc>
          <w:tcPr>
            <w:tcW w:w="851" w:type="dxa"/>
            <w:vMerge/>
            <w:shd w:val="clear" w:color="auto" w:fill="auto"/>
            <w:vAlign w:val="center"/>
          </w:tcPr>
          <w:p w14:paraId="05028C3A" w14:textId="77777777" w:rsidR="00BB3746" w:rsidRPr="00E92571" w:rsidRDefault="00BB3746" w:rsidP="002462BB">
            <w:pPr>
              <w:rPr>
                <w:rFonts w:cs="Arial"/>
                <w:sz w:val="20"/>
                <w:szCs w:val="20"/>
              </w:rPr>
            </w:pPr>
          </w:p>
        </w:tc>
      </w:tr>
      <w:tr w:rsidR="008B63E1" w:rsidRPr="00E92571" w14:paraId="6AAEF193" w14:textId="77777777" w:rsidTr="000F6360">
        <w:trPr>
          <w:trHeight w:val="328"/>
          <w:jc w:val="center"/>
        </w:trPr>
        <w:tc>
          <w:tcPr>
            <w:tcW w:w="14454" w:type="dxa"/>
            <w:gridSpan w:val="8"/>
            <w:shd w:val="clear" w:color="auto" w:fill="F2F2F2" w:themeFill="background1" w:themeFillShade="F2"/>
            <w:vAlign w:val="center"/>
          </w:tcPr>
          <w:p w14:paraId="6268D48C" w14:textId="77777777" w:rsidR="008B63E1" w:rsidRPr="008B63E1" w:rsidRDefault="008B63E1" w:rsidP="00286F9A">
            <w:pPr>
              <w:rPr>
                <w:rFonts w:cs="Arial"/>
                <w:b/>
              </w:rPr>
            </w:pPr>
            <w:r w:rsidRPr="008B63E1">
              <w:rPr>
                <w:rFonts w:cs="Arial"/>
                <w:b/>
                <w:sz w:val="22"/>
                <w:szCs w:val="22"/>
              </w:rPr>
              <w:t xml:space="preserve">1.3 Family Violence and </w:t>
            </w:r>
            <w:r w:rsidR="00286F9A">
              <w:rPr>
                <w:rFonts w:cs="Arial"/>
                <w:b/>
                <w:sz w:val="22"/>
                <w:szCs w:val="22"/>
              </w:rPr>
              <w:t xml:space="preserve">Juvenile </w:t>
            </w:r>
            <w:r w:rsidRPr="008B63E1">
              <w:rPr>
                <w:rFonts w:cs="Arial"/>
                <w:b/>
                <w:sz w:val="22"/>
                <w:szCs w:val="22"/>
              </w:rPr>
              <w:t>Justice Project</w:t>
            </w:r>
          </w:p>
        </w:tc>
      </w:tr>
      <w:tr w:rsidR="00BB3746" w:rsidRPr="00E92571" w14:paraId="54F4F3BD" w14:textId="77777777" w:rsidTr="000F6360">
        <w:trPr>
          <w:trHeight w:val="328"/>
          <w:jc w:val="center"/>
        </w:trPr>
        <w:tc>
          <w:tcPr>
            <w:tcW w:w="1838" w:type="dxa"/>
            <w:shd w:val="clear" w:color="auto" w:fill="auto"/>
            <w:vAlign w:val="center"/>
          </w:tcPr>
          <w:p w14:paraId="547671C3" w14:textId="77777777" w:rsidR="00BB3746" w:rsidRPr="00E92571" w:rsidRDefault="00BB3746" w:rsidP="002462BB">
            <w:pPr>
              <w:rPr>
                <w:sz w:val="20"/>
                <w:szCs w:val="20"/>
              </w:rPr>
            </w:pPr>
            <w:r w:rsidRPr="00E92571">
              <w:rPr>
                <w:sz w:val="20"/>
                <w:szCs w:val="20"/>
              </w:rPr>
              <w:t>Up to five PICs responding as a sector, more holistically and competently to family/juvenile justice issues.</w:t>
            </w:r>
          </w:p>
          <w:p w14:paraId="5EF72C1E" w14:textId="77777777" w:rsidR="00BB3746" w:rsidRPr="00E92571" w:rsidRDefault="00BB3746" w:rsidP="002462BB">
            <w:pPr>
              <w:rPr>
                <w:rFonts w:cs="Arial"/>
                <w:sz w:val="20"/>
                <w:szCs w:val="20"/>
              </w:rPr>
            </w:pPr>
          </w:p>
        </w:tc>
        <w:tc>
          <w:tcPr>
            <w:tcW w:w="1694" w:type="dxa"/>
            <w:shd w:val="clear" w:color="auto" w:fill="auto"/>
            <w:vAlign w:val="center"/>
          </w:tcPr>
          <w:p w14:paraId="4B64526A" w14:textId="77777777" w:rsidR="00BB3746" w:rsidRPr="00E92571" w:rsidRDefault="00BB3746" w:rsidP="002462BB">
            <w:pPr>
              <w:rPr>
                <w:rFonts w:cs="Arial"/>
                <w:sz w:val="20"/>
                <w:szCs w:val="20"/>
              </w:rPr>
            </w:pPr>
            <w:r w:rsidRPr="00E92571">
              <w:rPr>
                <w:rFonts w:cs="Arial"/>
                <w:sz w:val="20"/>
                <w:szCs w:val="20"/>
              </w:rPr>
              <w:t>Improvements in competence to manage family/juvenile issues in two PICs.</w:t>
            </w:r>
          </w:p>
        </w:tc>
        <w:tc>
          <w:tcPr>
            <w:tcW w:w="1798" w:type="dxa"/>
            <w:shd w:val="clear" w:color="auto" w:fill="auto"/>
            <w:vAlign w:val="center"/>
          </w:tcPr>
          <w:p w14:paraId="62BA8C57" w14:textId="77777777" w:rsidR="00BB3746" w:rsidRPr="00E92571" w:rsidRDefault="00BB3746" w:rsidP="002462BB">
            <w:pPr>
              <w:rPr>
                <w:rFonts w:cs="Arial"/>
                <w:sz w:val="20"/>
                <w:szCs w:val="20"/>
              </w:rPr>
            </w:pPr>
            <w:r w:rsidRPr="00E92571">
              <w:rPr>
                <w:rFonts w:cs="Arial"/>
                <w:sz w:val="20"/>
                <w:szCs w:val="20"/>
              </w:rPr>
              <w:t xml:space="preserve">2012 Baseline: Judicial and court officers are not aware of and/or not appropriately responding to family violence and juvenile justice issues which are pervasive across the region and the poor responses to </w:t>
            </w:r>
            <w:r w:rsidRPr="00E92571">
              <w:rPr>
                <w:rFonts w:cs="Arial"/>
                <w:sz w:val="20"/>
                <w:szCs w:val="20"/>
              </w:rPr>
              <w:lastRenderedPageBreak/>
              <w:t xml:space="preserve">these issues undermines appropriate access to justice for vulnerable groups. </w:t>
            </w:r>
          </w:p>
        </w:tc>
        <w:tc>
          <w:tcPr>
            <w:tcW w:w="2693" w:type="dxa"/>
            <w:vAlign w:val="center"/>
          </w:tcPr>
          <w:p w14:paraId="29A6CBA9" w14:textId="77777777" w:rsidR="00BB3746" w:rsidRDefault="00BB3746" w:rsidP="002462BB">
            <w:pPr>
              <w:rPr>
                <w:sz w:val="20"/>
                <w:szCs w:val="20"/>
              </w:rPr>
            </w:pPr>
            <w:r>
              <w:rPr>
                <w:sz w:val="20"/>
                <w:szCs w:val="20"/>
              </w:rPr>
              <w:lastRenderedPageBreak/>
              <w:t xml:space="preserve">Workshops </w:t>
            </w:r>
            <w:r w:rsidR="00286F9A">
              <w:rPr>
                <w:sz w:val="20"/>
                <w:szCs w:val="20"/>
              </w:rPr>
              <w:t>have been</w:t>
            </w:r>
            <w:r>
              <w:rPr>
                <w:sz w:val="20"/>
                <w:szCs w:val="20"/>
              </w:rPr>
              <w:t xml:space="preserve"> held in t</w:t>
            </w:r>
            <w:r w:rsidR="00286F9A">
              <w:rPr>
                <w:sz w:val="20"/>
                <w:szCs w:val="20"/>
              </w:rPr>
              <w:t>hree</w:t>
            </w:r>
            <w:r>
              <w:rPr>
                <w:sz w:val="20"/>
                <w:szCs w:val="20"/>
              </w:rPr>
              <w:t xml:space="preserve"> PICs to improve their competence and response to family/juvenile justice issues. </w:t>
            </w:r>
            <w:r w:rsidR="00286F9A">
              <w:rPr>
                <w:sz w:val="20"/>
                <w:szCs w:val="20"/>
              </w:rPr>
              <w:t xml:space="preserve">Two </w:t>
            </w:r>
            <w:r>
              <w:rPr>
                <w:sz w:val="20"/>
                <w:szCs w:val="20"/>
              </w:rPr>
              <w:t>PIC</w:t>
            </w:r>
            <w:r w:rsidR="00286F9A">
              <w:rPr>
                <w:sz w:val="20"/>
                <w:szCs w:val="20"/>
              </w:rPr>
              <w:t>s</w:t>
            </w:r>
            <w:r>
              <w:rPr>
                <w:sz w:val="20"/>
                <w:szCs w:val="20"/>
              </w:rPr>
              <w:t xml:space="preserve"> received a monitoring visit to follow-up on and further strengthen competence to deal with these issues.</w:t>
            </w:r>
          </w:p>
          <w:p w14:paraId="7EDFD501" w14:textId="77777777" w:rsidR="00BB3746" w:rsidRDefault="00BB3746" w:rsidP="002462BB">
            <w:pPr>
              <w:rPr>
                <w:sz w:val="20"/>
                <w:szCs w:val="20"/>
              </w:rPr>
            </w:pPr>
          </w:p>
          <w:p w14:paraId="6BFB738F" w14:textId="77777777" w:rsidR="00BB3746" w:rsidRPr="00B40BC9" w:rsidRDefault="00BB3746" w:rsidP="002462BB">
            <w:pPr>
              <w:rPr>
                <w:rFonts w:cs="Arial"/>
                <w:sz w:val="20"/>
                <w:szCs w:val="20"/>
              </w:rPr>
            </w:pPr>
            <w:r w:rsidRPr="00B40BC9">
              <w:rPr>
                <w:sz w:val="20"/>
                <w:szCs w:val="20"/>
              </w:rPr>
              <w:t>48 participants attended a workshop in Tonga</w:t>
            </w:r>
            <w:proofErr w:type="gramStart"/>
            <w:r w:rsidR="00121736">
              <w:rPr>
                <w:sz w:val="20"/>
                <w:szCs w:val="20"/>
              </w:rPr>
              <w:t xml:space="preserve">; </w:t>
            </w:r>
            <w:r w:rsidRPr="00B40BC9">
              <w:rPr>
                <w:sz w:val="20"/>
                <w:szCs w:val="20"/>
              </w:rPr>
              <w:t xml:space="preserve"> 42</w:t>
            </w:r>
            <w:proofErr w:type="gramEnd"/>
            <w:r w:rsidR="00121736">
              <w:rPr>
                <w:sz w:val="20"/>
                <w:szCs w:val="20"/>
              </w:rPr>
              <w:t xml:space="preserve"> </w:t>
            </w:r>
            <w:r w:rsidR="00121736">
              <w:rPr>
                <w:sz w:val="20"/>
                <w:szCs w:val="20"/>
              </w:rPr>
              <w:lastRenderedPageBreak/>
              <w:t xml:space="preserve">participants </w:t>
            </w:r>
            <w:r w:rsidRPr="00B40BC9">
              <w:rPr>
                <w:sz w:val="20"/>
                <w:szCs w:val="20"/>
              </w:rPr>
              <w:t>attended in Samoa</w:t>
            </w:r>
            <w:r w:rsidR="00121736">
              <w:rPr>
                <w:sz w:val="20"/>
                <w:szCs w:val="20"/>
              </w:rPr>
              <w:t>; and 45 participants attend in the Cook Islands</w:t>
            </w:r>
            <w:r w:rsidRPr="00B40BC9">
              <w:rPr>
                <w:sz w:val="20"/>
                <w:szCs w:val="20"/>
              </w:rPr>
              <w:t xml:space="preserve">. </w:t>
            </w:r>
            <w:r w:rsidR="00121736">
              <w:rPr>
                <w:sz w:val="20"/>
                <w:szCs w:val="20"/>
              </w:rPr>
              <w:t xml:space="preserve">All workshop </w:t>
            </w:r>
            <w:r w:rsidRPr="00B40BC9">
              <w:rPr>
                <w:sz w:val="20"/>
                <w:szCs w:val="20"/>
              </w:rPr>
              <w:t xml:space="preserve">participants reported an increase in confidence and demonstrated improvements in awareness, knowledge, skills and attitudes related to the relevant issues, </w:t>
            </w:r>
            <w:r w:rsidRPr="00B40BC9">
              <w:rPr>
                <w:rFonts w:cs="Arial"/>
                <w:sz w:val="20"/>
                <w:szCs w:val="20"/>
              </w:rPr>
              <w:t xml:space="preserve">law, contemporary practice and procedure. </w:t>
            </w:r>
            <w:r w:rsidR="00121736">
              <w:rPr>
                <w:rFonts w:cs="Arial"/>
                <w:sz w:val="20"/>
                <w:szCs w:val="20"/>
              </w:rPr>
              <w:t>W</w:t>
            </w:r>
            <w:r w:rsidRPr="00B40BC9">
              <w:rPr>
                <w:rFonts w:cs="Arial"/>
                <w:sz w:val="20"/>
                <w:szCs w:val="20"/>
              </w:rPr>
              <w:t>orkshops produced a compilation of objectives that organisations in attendance are to pursue to increase their coordination and collaboration, as well as jointly improve their response to family/juvenile justice issues.</w:t>
            </w:r>
          </w:p>
          <w:p w14:paraId="288D19E1" w14:textId="77777777" w:rsidR="00BB3746" w:rsidRPr="00B40BC9" w:rsidRDefault="00BB3746" w:rsidP="002462BB">
            <w:pPr>
              <w:rPr>
                <w:sz w:val="20"/>
                <w:szCs w:val="20"/>
              </w:rPr>
            </w:pPr>
          </w:p>
          <w:p w14:paraId="482699FD" w14:textId="77777777" w:rsidR="00BB3746" w:rsidRPr="00E92571" w:rsidRDefault="00BB3746" w:rsidP="00286F9A">
            <w:pPr>
              <w:rPr>
                <w:sz w:val="20"/>
                <w:szCs w:val="20"/>
              </w:rPr>
            </w:pPr>
            <w:r w:rsidRPr="00B40BC9">
              <w:rPr>
                <w:sz w:val="20"/>
                <w:szCs w:val="20"/>
              </w:rPr>
              <w:t xml:space="preserve">Revision of the draft Family Violence and Youth Justice </w:t>
            </w:r>
            <w:r w:rsidR="00286F9A">
              <w:rPr>
                <w:sz w:val="20"/>
                <w:szCs w:val="20"/>
              </w:rPr>
              <w:t>T</w:t>
            </w:r>
            <w:r w:rsidRPr="00B40BC9">
              <w:rPr>
                <w:sz w:val="20"/>
                <w:szCs w:val="20"/>
              </w:rPr>
              <w:t xml:space="preserve">oolkit is </w:t>
            </w:r>
            <w:r w:rsidR="00286F9A">
              <w:rPr>
                <w:sz w:val="20"/>
                <w:szCs w:val="20"/>
              </w:rPr>
              <w:t>ongoing</w:t>
            </w:r>
            <w:r w:rsidRPr="00B40BC9">
              <w:rPr>
                <w:sz w:val="20"/>
                <w:szCs w:val="20"/>
              </w:rPr>
              <w:t xml:space="preserve">, with implementations in </w:t>
            </w:r>
            <w:r w:rsidR="00286F9A" w:rsidRPr="00B40BC9">
              <w:rPr>
                <w:sz w:val="20"/>
                <w:szCs w:val="20"/>
              </w:rPr>
              <w:t>t</w:t>
            </w:r>
            <w:r w:rsidR="00286F9A">
              <w:rPr>
                <w:sz w:val="20"/>
                <w:szCs w:val="20"/>
              </w:rPr>
              <w:t>wo PICs scheduled for 2014.</w:t>
            </w:r>
          </w:p>
        </w:tc>
        <w:tc>
          <w:tcPr>
            <w:tcW w:w="1843" w:type="dxa"/>
            <w:shd w:val="clear" w:color="auto" w:fill="auto"/>
            <w:vAlign w:val="center"/>
          </w:tcPr>
          <w:p w14:paraId="0BEE632B" w14:textId="77777777" w:rsidR="00BB3746" w:rsidRPr="00E92571" w:rsidRDefault="00BB3746" w:rsidP="002462BB">
            <w:pPr>
              <w:rPr>
                <w:sz w:val="20"/>
                <w:szCs w:val="20"/>
              </w:rPr>
            </w:pPr>
            <w:r w:rsidRPr="00E92571">
              <w:rPr>
                <w:sz w:val="20"/>
                <w:szCs w:val="20"/>
              </w:rPr>
              <w:lastRenderedPageBreak/>
              <w:t xml:space="preserve">Improvements in awareness, knowledge, skills, attitudes relating to relevant issues, law, contemporary practice and procedure in up to two additional PICs and increased cooperation, coordination and </w:t>
            </w:r>
            <w:r w:rsidRPr="00E92571">
              <w:rPr>
                <w:sz w:val="20"/>
                <w:szCs w:val="20"/>
              </w:rPr>
              <w:lastRenderedPageBreak/>
              <w:t>collaboration between stakeholder agencies to address relevant issues.</w:t>
            </w:r>
          </w:p>
        </w:tc>
        <w:tc>
          <w:tcPr>
            <w:tcW w:w="2178" w:type="dxa"/>
            <w:shd w:val="clear" w:color="auto" w:fill="auto"/>
            <w:vAlign w:val="center"/>
          </w:tcPr>
          <w:p w14:paraId="535F1D72" w14:textId="77777777" w:rsidR="00BB3746" w:rsidRPr="00E92571" w:rsidRDefault="00BB3746" w:rsidP="002462BB">
            <w:pPr>
              <w:rPr>
                <w:rFonts w:cs="Arial"/>
                <w:sz w:val="20"/>
                <w:szCs w:val="20"/>
              </w:rPr>
            </w:pPr>
            <w:r w:rsidRPr="00E92571">
              <w:rPr>
                <w:rFonts w:cs="Arial"/>
                <w:sz w:val="20"/>
                <w:szCs w:val="20"/>
              </w:rPr>
              <w:lastRenderedPageBreak/>
              <w:t>Number of judicial officers trained and quality of training, including relevance, usefulness, skills and knowledge gained.</w:t>
            </w:r>
          </w:p>
        </w:tc>
        <w:tc>
          <w:tcPr>
            <w:tcW w:w="1559" w:type="dxa"/>
            <w:shd w:val="clear" w:color="auto" w:fill="auto"/>
            <w:vAlign w:val="center"/>
          </w:tcPr>
          <w:p w14:paraId="02F97A6E" w14:textId="77777777" w:rsidR="00BB3746" w:rsidRPr="00E92571" w:rsidRDefault="00BB3746" w:rsidP="002462BB">
            <w:pPr>
              <w:rPr>
                <w:rFonts w:cs="Arial"/>
                <w:sz w:val="20"/>
                <w:szCs w:val="20"/>
              </w:rPr>
            </w:pPr>
            <w:r w:rsidRPr="00E92571">
              <w:rPr>
                <w:rFonts w:cs="Arial"/>
                <w:sz w:val="20"/>
                <w:szCs w:val="20"/>
              </w:rPr>
              <w:t>Pre/post-workshop participant self-assessments.</w:t>
            </w:r>
          </w:p>
        </w:tc>
        <w:tc>
          <w:tcPr>
            <w:tcW w:w="851" w:type="dxa"/>
            <w:shd w:val="clear" w:color="auto" w:fill="auto"/>
            <w:vAlign w:val="center"/>
          </w:tcPr>
          <w:p w14:paraId="37DA8389" w14:textId="77777777" w:rsidR="00BB3746" w:rsidRPr="00E92571" w:rsidRDefault="00BB3746" w:rsidP="002462BB">
            <w:pPr>
              <w:rPr>
                <w:rFonts w:cs="Arial"/>
                <w:sz w:val="20"/>
                <w:szCs w:val="20"/>
              </w:rPr>
            </w:pPr>
            <w:r w:rsidRPr="00E92571">
              <w:rPr>
                <w:rFonts w:cs="Arial"/>
                <w:sz w:val="20"/>
                <w:szCs w:val="20"/>
              </w:rPr>
              <w:t>TA</w:t>
            </w:r>
          </w:p>
        </w:tc>
      </w:tr>
      <w:tr w:rsidR="008B63E1" w:rsidRPr="00E92571" w14:paraId="71AC80C2" w14:textId="77777777" w:rsidTr="000F6360">
        <w:trPr>
          <w:trHeight w:val="328"/>
          <w:jc w:val="center"/>
        </w:trPr>
        <w:tc>
          <w:tcPr>
            <w:tcW w:w="14454" w:type="dxa"/>
            <w:gridSpan w:val="8"/>
            <w:shd w:val="clear" w:color="auto" w:fill="F2F2F2" w:themeFill="background1" w:themeFillShade="F2"/>
            <w:vAlign w:val="center"/>
          </w:tcPr>
          <w:p w14:paraId="543789C1" w14:textId="77777777" w:rsidR="008B63E1" w:rsidRPr="008B63E1" w:rsidRDefault="008B63E1" w:rsidP="002462BB">
            <w:pPr>
              <w:rPr>
                <w:rFonts w:cs="Arial"/>
                <w:b/>
              </w:rPr>
            </w:pPr>
            <w:r w:rsidRPr="008B63E1">
              <w:rPr>
                <w:rFonts w:cs="Arial"/>
                <w:b/>
                <w:sz w:val="22"/>
                <w:szCs w:val="22"/>
              </w:rPr>
              <w:lastRenderedPageBreak/>
              <w:t>1.4 Public Information Project</w:t>
            </w:r>
          </w:p>
        </w:tc>
      </w:tr>
      <w:tr w:rsidR="00BB3746" w:rsidRPr="00E92571" w14:paraId="32C6E235" w14:textId="77777777" w:rsidTr="000F6360">
        <w:trPr>
          <w:trHeight w:val="328"/>
          <w:jc w:val="center"/>
        </w:trPr>
        <w:tc>
          <w:tcPr>
            <w:tcW w:w="1838" w:type="dxa"/>
            <w:shd w:val="clear" w:color="auto" w:fill="auto"/>
            <w:vAlign w:val="center"/>
          </w:tcPr>
          <w:p w14:paraId="01D495E8" w14:textId="77777777" w:rsidR="00BB3746" w:rsidRPr="00E92571" w:rsidRDefault="00BB3746" w:rsidP="002462BB">
            <w:pPr>
              <w:rPr>
                <w:rFonts w:cs="Arial"/>
                <w:sz w:val="20"/>
                <w:szCs w:val="20"/>
              </w:rPr>
            </w:pPr>
            <w:r w:rsidRPr="00E92571">
              <w:rPr>
                <w:rFonts w:cs="Arial"/>
                <w:bCs/>
                <w:sz w:val="20"/>
                <w:szCs w:val="20"/>
              </w:rPr>
              <w:t>A portfolio of public information resources developed piloted and disseminated in one PIC available for adaption across the region.</w:t>
            </w:r>
          </w:p>
        </w:tc>
        <w:tc>
          <w:tcPr>
            <w:tcW w:w="1694" w:type="dxa"/>
            <w:shd w:val="clear" w:color="auto" w:fill="auto"/>
            <w:vAlign w:val="center"/>
          </w:tcPr>
          <w:p w14:paraId="53878979" w14:textId="77777777" w:rsidR="00BB3746" w:rsidRPr="00E92571" w:rsidRDefault="00BB3746" w:rsidP="002462BB">
            <w:pPr>
              <w:rPr>
                <w:rFonts w:cs="Arial"/>
                <w:sz w:val="20"/>
                <w:szCs w:val="20"/>
              </w:rPr>
            </w:pPr>
            <w:r w:rsidRPr="00E92571">
              <w:rPr>
                <w:rFonts w:cs="Arial"/>
                <w:sz w:val="20"/>
                <w:szCs w:val="20"/>
              </w:rPr>
              <w:t>NA</w:t>
            </w:r>
          </w:p>
        </w:tc>
        <w:tc>
          <w:tcPr>
            <w:tcW w:w="1798" w:type="dxa"/>
            <w:shd w:val="clear" w:color="auto" w:fill="auto"/>
            <w:vAlign w:val="center"/>
          </w:tcPr>
          <w:p w14:paraId="11B1B689" w14:textId="77777777" w:rsidR="00BB3746" w:rsidRPr="00E92571" w:rsidRDefault="00BB3746" w:rsidP="002462BB">
            <w:pPr>
              <w:rPr>
                <w:rFonts w:cs="Arial"/>
                <w:sz w:val="20"/>
                <w:szCs w:val="20"/>
              </w:rPr>
            </w:pPr>
            <w:r w:rsidRPr="00E92571">
              <w:rPr>
                <w:rFonts w:cs="Arial"/>
                <w:sz w:val="20"/>
                <w:szCs w:val="20"/>
              </w:rPr>
              <w:t>NA</w:t>
            </w:r>
          </w:p>
        </w:tc>
        <w:tc>
          <w:tcPr>
            <w:tcW w:w="2693" w:type="dxa"/>
            <w:vAlign w:val="center"/>
          </w:tcPr>
          <w:p w14:paraId="69B46C80" w14:textId="77777777" w:rsidR="00BB3746" w:rsidRPr="00E92571" w:rsidRDefault="00121736" w:rsidP="00650570">
            <w:pPr>
              <w:rPr>
                <w:rFonts w:cs="Arial"/>
                <w:bCs/>
                <w:sz w:val="20"/>
                <w:szCs w:val="20"/>
              </w:rPr>
            </w:pPr>
            <w:r>
              <w:rPr>
                <w:rFonts w:cs="Arial"/>
                <w:bCs/>
                <w:sz w:val="20"/>
                <w:szCs w:val="20"/>
              </w:rPr>
              <w:t xml:space="preserve"> The draft Public Information Toolkit was initially introduced and piloted in Tuvalu (9-27 June). </w:t>
            </w:r>
            <w:proofErr w:type="gramStart"/>
            <w:r w:rsidR="00650570">
              <w:rPr>
                <w:rFonts w:cs="Arial"/>
                <w:bCs/>
                <w:sz w:val="20"/>
                <w:szCs w:val="20"/>
              </w:rPr>
              <w:t>during</w:t>
            </w:r>
            <w:proofErr w:type="gramEnd"/>
            <w:r w:rsidR="00650570">
              <w:rPr>
                <w:rFonts w:cs="Arial"/>
                <w:bCs/>
                <w:sz w:val="20"/>
                <w:szCs w:val="20"/>
              </w:rPr>
              <w:t xml:space="preserve"> which, c</w:t>
            </w:r>
            <w:r>
              <w:rPr>
                <w:rFonts w:cs="Arial"/>
                <w:bCs/>
                <w:sz w:val="20"/>
                <w:szCs w:val="20"/>
              </w:rPr>
              <w:t xml:space="preserve">onsultations with a wide range of justice sector and community representatives </w:t>
            </w:r>
            <w:r w:rsidR="00650570">
              <w:rPr>
                <w:rFonts w:cs="Arial"/>
                <w:bCs/>
                <w:sz w:val="20"/>
                <w:szCs w:val="20"/>
              </w:rPr>
              <w:t>took place</w:t>
            </w:r>
            <w:r>
              <w:rPr>
                <w:rFonts w:cs="Arial"/>
                <w:bCs/>
                <w:sz w:val="20"/>
                <w:szCs w:val="20"/>
              </w:rPr>
              <w:t xml:space="preserve">. </w:t>
            </w:r>
            <w:r w:rsidR="00650570">
              <w:rPr>
                <w:rFonts w:cs="Arial"/>
                <w:bCs/>
                <w:sz w:val="20"/>
                <w:szCs w:val="20"/>
              </w:rPr>
              <w:t>B</w:t>
            </w:r>
            <w:r>
              <w:rPr>
                <w:rFonts w:cs="Arial"/>
                <w:bCs/>
                <w:sz w:val="20"/>
                <w:szCs w:val="20"/>
              </w:rPr>
              <w:t xml:space="preserve">rochures and public awareness materials are currently </w:t>
            </w:r>
            <w:r>
              <w:rPr>
                <w:rFonts w:cs="Arial"/>
                <w:bCs/>
                <w:sz w:val="20"/>
                <w:szCs w:val="20"/>
              </w:rPr>
              <w:lastRenderedPageBreak/>
              <w:t>being developed.</w:t>
            </w:r>
          </w:p>
        </w:tc>
        <w:tc>
          <w:tcPr>
            <w:tcW w:w="1843" w:type="dxa"/>
            <w:shd w:val="clear" w:color="auto" w:fill="auto"/>
            <w:vAlign w:val="center"/>
          </w:tcPr>
          <w:p w14:paraId="49B35652" w14:textId="77777777" w:rsidR="00BB3746" w:rsidRPr="00E92571" w:rsidRDefault="00BB3746" w:rsidP="002462BB">
            <w:pPr>
              <w:rPr>
                <w:rFonts w:cs="Arial"/>
                <w:sz w:val="20"/>
                <w:szCs w:val="20"/>
              </w:rPr>
            </w:pPr>
            <w:r w:rsidRPr="00E92571">
              <w:rPr>
                <w:rFonts w:cs="Arial"/>
                <w:bCs/>
                <w:sz w:val="20"/>
                <w:szCs w:val="20"/>
              </w:rPr>
              <w:lastRenderedPageBreak/>
              <w:t xml:space="preserve">Improved access to public information on legal rights/remedies and court services. </w:t>
            </w:r>
          </w:p>
        </w:tc>
        <w:tc>
          <w:tcPr>
            <w:tcW w:w="2178" w:type="dxa"/>
            <w:shd w:val="clear" w:color="auto" w:fill="auto"/>
            <w:vAlign w:val="center"/>
          </w:tcPr>
          <w:p w14:paraId="0003703E" w14:textId="77777777" w:rsidR="00BB3746" w:rsidRPr="00E92571" w:rsidRDefault="00BB3746" w:rsidP="002462BB">
            <w:pPr>
              <w:rPr>
                <w:sz w:val="20"/>
                <w:szCs w:val="20"/>
              </w:rPr>
            </w:pPr>
            <w:r w:rsidRPr="00E92571">
              <w:rPr>
                <w:rFonts w:cs="Arial"/>
                <w:sz w:val="20"/>
                <w:szCs w:val="20"/>
              </w:rPr>
              <w:t xml:space="preserve">The quality of the toolkit developed including </w:t>
            </w:r>
            <w:r w:rsidRPr="00E92571">
              <w:rPr>
                <w:rFonts w:cs="Arial Narrow"/>
                <w:sz w:val="20"/>
                <w:szCs w:val="20"/>
              </w:rPr>
              <w:t xml:space="preserve">brochures on legal rights/remedies and court services, tools for developing </w:t>
            </w:r>
            <w:r w:rsidRPr="00E92571">
              <w:rPr>
                <w:sz w:val="20"/>
                <w:szCs w:val="20"/>
              </w:rPr>
              <w:t xml:space="preserve">brochures and posters; newspaper and radio notices; community </w:t>
            </w:r>
            <w:r w:rsidRPr="00E92571">
              <w:rPr>
                <w:sz w:val="20"/>
                <w:szCs w:val="20"/>
              </w:rPr>
              <w:lastRenderedPageBreak/>
              <w:t>information presentations; and related training for court staff.</w:t>
            </w:r>
          </w:p>
          <w:p w14:paraId="1EF5B5F2" w14:textId="77777777" w:rsidR="00BB3746" w:rsidRPr="00E92571" w:rsidRDefault="00BB3746" w:rsidP="002462BB">
            <w:pPr>
              <w:rPr>
                <w:sz w:val="8"/>
                <w:szCs w:val="20"/>
              </w:rPr>
            </w:pPr>
          </w:p>
          <w:p w14:paraId="5351B9F7" w14:textId="77777777" w:rsidR="00BB3746" w:rsidRPr="00E92571" w:rsidRDefault="00BB3746" w:rsidP="002462BB">
            <w:pPr>
              <w:rPr>
                <w:sz w:val="20"/>
                <w:szCs w:val="20"/>
              </w:rPr>
            </w:pPr>
            <w:r w:rsidRPr="00E92571">
              <w:rPr>
                <w:sz w:val="20"/>
                <w:szCs w:val="20"/>
              </w:rPr>
              <w:t xml:space="preserve">The MSC ensures that this initiative does </w:t>
            </w:r>
            <w:r w:rsidRPr="00E92571">
              <w:rPr>
                <w:b/>
                <w:sz w:val="20"/>
                <w:szCs w:val="20"/>
              </w:rPr>
              <w:t>not</w:t>
            </w:r>
            <w:r w:rsidRPr="00E92571">
              <w:rPr>
                <w:sz w:val="20"/>
                <w:szCs w:val="20"/>
              </w:rPr>
              <w:t xml:space="preserve"> duplicate the work of other initiatives (eg RRRT).</w:t>
            </w:r>
          </w:p>
          <w:p w14:paraId="0158111D" w14:textId="77777777" w:rsidR="00BB3746" w:rsidRPr="00E92571" w:rsidRDefault="00BB3746" w:rsidP="002462BB">
            <w:pPr>
              <w:rPr>
                <w:sz w:val="8"/>
                <w:szCs w:val="20"/>
              </w:rPr>
            </w:pPr>
          </w:p>
          <w:p w14:paraId="2A952F32" w14:textId="77777777" w:rsidR="00BB3746" w:rsidRPr="00E92571" w:rsidRDefault="00BB3746" w:rsidP="002462BB">
            <w:pPr>
              <w:rPr>
                <w:rFonts w:cs="Arial"/>
                <w:sz w:val="20"/>
                <w:szCs w:val="20"/>
              </w:rPr>
            </w:pPr>
            <w:r w:rsidRPr="00E92571">
              <w:rPr>
                <w:sz w:val="20"/>
                <w:szCs w:val="20"/>
              </w:rPr>
              <w:t>In its approach to implementation, the MSC will explore the possibility of adapting resources developed by other initiatives where appropriate rather than re-inventing the wheel to ensure cost-effectiveness and value for money.</w:t>
            </w:r>
          </w:p>
        </w:tc>
        <w:tc>
          <w:tcPr>
            <w:tcW w:w="1559" w:type="dxa"/>
            <w:shd w:val="clear" w:color="auto" w:fill="auto"/>
            <w:vAlign w:val="center"/>
          </w:tcPr>
          <w:p w14:paraId="38406AB5" w14:textId="77777777" w:rsidR="00BB3746" w:rsidRPr="00E92571" w:rsidRDefault="00BB3746" w:rsidP="002462BB">
            <w:pPr>
              <w:rPr>
                <w:rFonts w:cs="Arial"/>
                <w:sz w:val="20"/>
                <w:szCs w:val="20"/>
              </w:rPr>
            </w:pPr>
            <w:r w:rsidRPr="00E92571">
              <w:rPr>
                <w:rFonts w:cs="Arial"/>
                <w:sz w:val="20"/>
                <w:szCs w:val="20"/>
              </w:rPr>
              <w:lastRenderedPageBreak/>
              <w:t>Toolkit.</w:t>
            </w:r>
          </w:p>
        </w:tc>
        <w:tc>
          <w:tcPr>
            <w:tcW w:w="851" w:type="dxa"/>
            <w:shd w:val="clear" w:color="auto" w:fill="auto"/>
            <w:vAlign w:val="center"/>
          </w:tcPr>
          <w:p w14:paraId="1A4A630E" w14:textId="77777777" w:rsidR="00BB3746" w:rsidRPr="00E92571" w:rsidRDefault="00BB3746" w:rsidP="002462BB">
            <w:pPr>
              <w:rPr>
                <w:rFonts w:cs="Arial"/>
                <w:sz w:val="20"/>
                <w:szCs w:val="20"/>
              </w:rPr>
            </w:pPr>
            <w:r w:rsidRPr="00E92571">
              <w:rPr>
                <w:rFonts w:cs="Arial"/>
                <w:sz w:val="20"/>
                <w:szCs w:val="20"/>
              </w:rPr>
              <w:t>TA</w:t>
            </w:r>
          </w:p>
        </w:tc>
      </w:tr>
      <w:tr w:rsidR="008B63E1" w:rsidRPr="00E92571" w14:paraId="59349637" w14:textId="77777777" w:rsidTr="000F6360">
        <w:trPr>
          <w:trHeight w:val="198"/>
          <w:jc w:val="center"/>
        </w:trPr>
        <w:tc>
          <w:tcPr>
            <w:tcW w:w="14454" w:type="dxa"/>
            <w:gridSpan w:val="8"/>
            <w:shd w:val="clear" w:color="auto" w:fill="BFBFBF" w:themeFill="background1" w:themeFillShade="BF"/>
            <w:vAlign w:val="center"/>
          </w:tcPr>
          <w:p w14:paraId="12E0E818" w14:textId="77777777" w:rsidR="008B63E1" w:rsidRPr="008B63E1" w:rsidRDefault="008B63E1" w:rsidP="002462BB">
            <w:pPr>
              <w:spacing w:before="120"/>
              <w:rPr>
                <w:rFonts w:cs="Arial"/>
                <w:b/>
              </w:rPr>
            </w:pPr>
            <w:r w:rsidRPr="008B63E1">
              <w:rPr>
                <w:rFonts w:cs="Arial"/>
                <w:b/>
                <w:sz w:val="22"/>
                <w:szCs w:val="22"/>
              </w:rPr>
              <w:lastRenderedPageBreak/>
              <w:t>2.0 Governance</w:t>
            </w:r>
          </w:p>
        </w:tc>
      </w:tr>
      <w:tr w:rsidR="00BB3746" w:rsidRPr="00E92571" w14:paraId="2A2E00C5" w14:textId="77777777" w:rsidTr="000F6360">
        <w:trPr>
          <w:trHeight w:val="860"/>
          <w:jc w:val="center"/>
        </w:trPr>
        <w:tc>
          <w:tcPr>
            <w:tcW w:w="1838" w:type="dxa"/>
            <w:vMerge w:val="restart"/>
            <w:shd w:val="clear" w:color="auto" w:fill="auto"/>
            <w:vAlign w:val="center"/>
          </w:tcPr>
          <w:p w14:paraId="5173B058" w14:textId="77777777" w:rsidR="00BB3746" w:rsidRPr="00E92571" w:rsidRDefault="00BB3746" w:rsidP="002462BB">
            <w:pPr>
              <w:rPr>
                <w:rFonts w:cs="Arial"/>
                <w:b/>
                <w:bCs/>
                <w:szCs w:val="23"/>
              </w:rPr>
            </w:pPr>
            <w:r w:rsidRPr="00E92571">
              <w:rPr>
                <w:sz w:val="20"/>
                <w:szCs w:val="20"/>
              </w:rPr>
              <w:t>Greater judicial ownership of professional development across the region.</w:t>
            </w:r>
          </w:p>
        </w:tc>
        <w:tc>
          <w:tcPr>
            <w:tcW w:w="1694" w:type="dxa"/>
            <w:vMerge w:val="restart"/>
            <w:shd w:val="clear" w:color="auto" w:fill="auto"/>
            <w:vAlign w:val="center"/>
          </w:tcPr>
          <w:p w14:paraId="5E40FD2E" w14:textId="77777777" w:rsidR="00BB3746" w:rsidRPr="00E92571" w:rsidRDefault="00BB3746" w:rsidP="002462BB">
            <w:pPr>
              <w:spacing w:before="120"/>
              <w:rPr>
                <w:rFonts w:cs="Arial"/>
                <w:b/>
                <w:bCs/>
                <w:szCs w:val="23"/>
              </w:rPr>
            </w:pPr>
            <w:r w:rsidRPr="00E92571">
              <w:rPr>
                <w:rFonts w:cs="Arial"/>
                <w:sz w:val="20"/>
                <w:szCs w:val="20"/>
              </w:rPr>
              <w:t>Improvements in: judicial conduct and leadership; and local management and implementation of judicial development activities in up to four PICs.</w:t>
            </w:r>
          </w:p>
        </w:tc>
        <w:tc>
          <w:tcPr>
            <w:tcW w:w="1798" w:type="dxa"/>
            <w:vMerge w:val="restart"/>
            <w:shd w:val="clear" w:color="auto" w:fill="auto"/>
            <w:vAlign w:val="center"/>
          </w:tcPr>
          <w:p w14:paraId="7E3DA60C" w14:textId="77777777" w:rsidR="00BB3746" w:rsidRPr="00E92571" w:rsidRDefault="00BB3746" w:rsidP="002462BB">
            <w:pPr>
              <w:spacing w:before="120"/>
              <w:rPr>
                <w:rFonts w:cs="Arial"/>
                <w:b/>
                <w:bCs/>
                <w:szCs w:val="23"/>
              </w:rPr>
            </w:pPr>
            <w:r w:rsidRPr="00E92571">
              <w:rPr>
                <w:rFonts w:cs="Arial"/>
                <w:sz w:val="20"/>
                <w:szCs w:val="20"/>
              </w:rPr>
              <w:t xml:space="preserve">No CoJCs exist in the region based on and adapted from internationally recognised principles.  No PIC driven or regionally coordinated options exist to enable ongoing judicial development regionally or </w:t>
            </w:r>
            <w:r w:rsidRPr="00E92571">
              <w:rPr>
                <w:rFonts w:cs="Arial"/>
                <w:sz w:val="20"/>
                <w:szCs w:val="20"/>
              </w:rPr>
              <w:lastRenderedPageBreak/>
              <w:t>lead/implement activities locally.</w:t>
            </w:r>
          </w:p>
        </w:tc>
        <w:tc>
          <w:tcPr>
            <w:tcW w:w="2693" w:type="dxa"/>
            <w:vMerge w:val="restart"/>
            <w:vAlign w:val="center"/>
          </w:tcPr>
          <w:p w14:paraId="1E18207C" w14:textId="77777777" w:rsidR="00BB3746" w:rsidRDefault="00BB3746" w:rsidP="002462BB">
            <w:pPr>
              <w:rPr>
                <w:rFonts w:cs="Arial"/>
                <w:sz w:val="20"/>
                <w:szCs w:val="20"/>
              </w:rPr>
            </w:pPr>
            <w:r>
              <w:rPr>
                <w:rFonts w:cs="Arial"/>
                <w:sz w:val="20"/>
                <w:szCs w:val="20"/>
              </w:rPr>
              <w:lastRenderedPageBreak/>
              <w:t xml:space="preserve">Complaints Handling Toolkit </w:t>
            </w:r>
            <w:r w:rsidR="004147AF">
              <w:rPr>
                <w:rFonts w:cs="Arial"/>
                <w:sz w:val="20"/>
                <w:szCs w:val="20"/>
              </w:rPr>
              <w:t>has been drafted and is scheduled to be piloted in one PIC in July.</w:t>
            </w:r>
          </w:p>
          <w:p w14:paraId="1EA2EDEB" w14:textId="77777777" w:rsidR="00BB3746" w:rsidRDefault="00BB3746" w:rsidP="002462BB">
            <w:pPr>
              <w:rPr>
                <w:rFonts w:cs="Arial"/>
                <w:sz w:val="20"/>
                <w:szCs w:val="20"/>
              </w:rPr>
            </w:pPr>
          </w:p>
          <w:p w14:paraId="6B8E250A" w14:textId="77777777" w:rsidR="00BB3746" w:rsidRDefault="004147AF" w:rsidP="002462BB">
            <w:pPr>
              <w:rPr>
                <w:rFonts w:cs="Arial"/>
                <w:sz w:val="20"/>
                <w:szCs w:val="20"/>
              </w:rPr>
            </w:pPr>
            <w:r>
              <w:rPr>
                <w:rFonts w:cs="Arial"/>
                <w:sz w:val="20"/>
                <w:szCs w:val="20"/>
              </w:rPr>
              <w:t>L</w:t>
            </w:r>
            <w:r w:rsidR="00BB3746">
              <w:rPr>
                <w:rFonts w:cs="Arial"/>
                <w:sz w:val="20"/>
                <w:szCs w:val="20"/>
              </w:rPr>
              <w:t xml:space="preserve">eadership meetings for the PEC, CJs and NCs </w:t>
            </w:r>
            <w:r>
              <w:rPr>
                <w:rFonts w:cs="Arial"/>
                <w:sz w:val="20"/>
                <w:szCs w:val="20"/>
              </w:rPr>
              <w:t xml:space="preserve">are regularly </w:t>
            </w:r>
            <w:r w:rsidR="00BB3746">
              <w:rPr>
                <w:rFonts w:cs="Arial"/>
                <w:sz w:val="20"/>
                <w:szCs w:val="20"/>
              </w:rPr>
              <w:t>held, providing opportunities for engagement and contribution to the strategic direction of activities in the current extension period.</w:t>
            </w:r>
          </w:p>
          <w:p w14:paraId="472FD436" w14:textId="77777777" w:rsidR="00BB3746" w:rsidRDefault="00BB3746" w:rsidP="002462BB">
            <w:pPr>
              <w:rPr>
                <w:rFonts w:cs="Arial"/>
                <w:sz w:val="20"/>
                <w:szCs w:val="20"/>
              </w:rPr>
            </w:pPr>
          </w:p>
          <w:p w14:paraId="10ED04E5" w14:textId="77777777" w:rsidR="00BB3746" w:rsidRDefault="00BB3746" w:rsidP="002462BB">
            <w:pPr>
              <w:rPr>
                <w:rFonts w:cs="Arial"/>
                <w:sz w:val="20"/>
                <w:szCs w:val="20"/>
              </w:rPr>
            </w:pPr>
            <w:r>
              <w:rPr>
                <w:rFonts w:cs="Arial"/>
                <w:sz w:val="20"/>
                <w:szCs w:val="20"/>
              </w:rPr>
              <w:t>1</w:t>
            </w:r>
            <w:r w:rsidR="004147AF">
              <w:rPr>
                <w:rFonts w:cs="Arial"/>
                <w:sz w:val="20"/>
                <w:szCs w:val="20"/>
              </w:rPr>
              <w:t>3</w:t>
            </w:r>
            <w:r>
              <w:rPr>
                <w:rFonts w:cs="Arial"/>
                <w:sz w:val="20"/>
                <w:szCs w:val="20"/>
              </w:rPr>
              <w:t xml:space="preserve"> PICs have submitted applications for funding under the </w:t>
            </w:r>
            <w:r>
              <w:rPr>
                <w:rFonts w:cs="Arial"/>
                <w:sz w:val="20"/>
                <w:szCs w:val="20"/>
              </w:rPr>
              <w:lastRenderedPageBreak/>
              <w:t xml:space="preserve">RF. There is an increasing opportunity for PICs to manage their own locally-driven development activities, with </w:t>
            </w:r>
            <w:r w:rsidR="004147AF">
              <w:rPr>
                <w:rFonts w:cs="Arial"/>
                <w:sz w:val="20"/>
                <w:szCs w:val="20"/>
              </w:rPr>
              <w:t xml:space="preserve">19 </w:t>
            </w:r>
            <w:r>
              <w:rPr>
                <w:rFonts w:cs="Arial"/>
                <w:sz w:val="20"/>
                <w:szCs w:val="20"/>
              </w:rPr>
              <w:t>activities being approved.</w:t>
            </w:r>
          </w:p>
          <w:p w14:paraId="6FE18088" w14:textId="77777777" w:rsidR="00BB3746" w:rsidRPr="00E92571" w:rsidRDefault="00BB3746" w:rsidP="002462BB">
            <w:pPr>
              <w:rPr>
                <w:rFonts w:cs="Arial"/>
                <w:sz w:val="20"/>
                <w:szCs w:val="20"/>
              </w:rPr>
            </w:pPr>
          </w:p>
        </w:tc>
        <w:tc>
          <w:tcPr>
            <w:tcW w:w="1843" w:type="dxa"/>
            <w:vMerge w:val="restart"/>
            <w:shd w:val="clear" w:color="auto" w:fill="auto"/>
            <w:vAlign w:val="center"/>
          </w:tcPr>
          <w:p w14:paraId="390CDC37" w14:textId="77777777" w:rsidR="00BB3746" w:rsidRPr="00E92571" w:rsidRDefault="00BB3746" w:rsidP="002462BB">
            <w:pPr>
              <w:rPr>
                <w:rFonts w:cs="Arial"/>
                <w:sz w:val="20"/>
                <w:szCs w:val="20"/>
              </w:rPr>
            </w:pPr>
            <w:r w:rsidRPr="00E92571">
              <w:rPr>
                <w:rFonts w:cs="Arial"/>
                <w:sz w:val="20"/>
                <w:szCs w:val="20"/>
              </w:rPr>
              <w:lastRenderedPageBreak/>
              <w:t>Continued improvements in s</w:t>
            </w:r>
            <w:r w:rsidRPr="00E92571">
              <w:rPr>
                <w:sz w:val="20"/>
                <w:szCs w:val="20"/>
              </w:rPr>
              <w:t>tandards of judicial leadership, integrity, programme management and</w:t>
            </w:r>
            <w:r w:rsidRPr="00E92571" w:rsidDel="00864C7C">
              <w:rPr>
                <w:sz w:val="20"/>
                <w:szCs w:val="20"/>
              </w:rPr>
              <w:t xml:space="preserve"> </w:t>
            </w:r>
            <w:r w:rsidRPr="00E92571">
              <w:rPr>
                <w:sz w:val="20"/>
                <w:szCs w:val="20"/>
              </w:rPr>
              <w:t>implementation of local judicial development activities.</w:t>
            </w:r>
          </w:p>
        </w:tc>
        <w:tc>
          <w:tcPr>
            <w:tcW w:w="2178" w:type="dxa"/>
            <w:shd w:val="clear" w:color="auto" w:fill="auto"/>
            <w:vAlign w:val="center"/>
          </w:tcPr>
          <w:p w14:paraId="3D68F8BB" w14:textId="77777777" w:rsidR="00BB3746" w:rsidRPr="00E92571" w:rsidRDefault="00BB3746" w:rsidP="002462BB">
            <w:pPr>
              <w:spacing w:before="120"/>
              <w:rPr>
                <w:rFonts w:cs="Arial"/>
                <w:b/>
                <w:bCs/>
                <w:szCs w:val="23"/>
              </w:rPr>
            </w:pPr>
            <w:r w:rsidRPr="00E92571">
              <w:rPr>
                <w:rFonts w:cs="Arial"/>
                <w:sz w:val="20"/>
                <w:szCs w:val="20"/>
              </w:rPr>
              <w:t>Level of improvement in judicial conduct.</w:t>
            </w:r>
          </w:p>
        </w:tc>
        <w:tc>
          <w:tcPr>
            <w:tcW w:w="1559" w:type="dxa"/>
            <w:shd w:val="clear" w:color="auto" w:fill="auto"/>
            <w:vAlign w:val="center"/>
          </w:tcPr>
          <w:p w14:paraId="7F1AF419" w14:textId="77777777" w:rsidR="00BB3746" w:rsidRPr="00E92571" w:rsidRDefault="00BB3746" w:rsidP="002462BB">
            <w:pPr>
              <w:spacing w:before="120"/>
              <w:rPr>
                <w:rFonts w:cs="Arial"/>
                <w:b/>
                <w:bCs/>
                <w:szCs w:val="23"/>
              </w:rPr>
            </w:pPr>
            <w:r w:rsidRPr="00E92571">
              <w:rPr>
                <w:rFonts w:cs="Arial"/>
                <w:sz w:val="20"/>
                <w:szCs w:val="20"/>
              </w:rPr>
              <w:t>Self-assessment by JO and CO user surveys.</w:t>
            </w:r>
          </w:p>
        </w:tc>
        <w:tc>
          <w:tcPr>
            <w:tcW w:w="851" w:type="dxa"/>
            <w:shd w:val="clear" w:color="auto" w:fill="auto"/>
            <w:vAlign w:val="center"/>
          </w:tcPr>
          <w:p w14:paraId="48135EF0" w14:textId="77777777" w:rsidR="00BB3746" w:rsidRPr="00E92571" w:rsidRDefault="00BB3746" w:rsidP="002462BB">
            <w:pPr>
              <w:spacing w:before="120"/>
              <w:rPr>
                <w:rFonts w:cs="Arial"/>
                <w:sz w:val="20"/>
                <w:szCs w:val="20"/>
              </w:rPr>
            </w:pPr>
            <w:r w:rsidRPr="00E92571">
              <w:rPr>
                <w:rFonts w:cs="Arial"/>
                <w:sz w:val="20"/>
                <w:szCs w:val="20"/>
              </w:rPr>
              <w:t>NC</w:t>
            </w:r>
          </w:p>
        </w:tc>
      </w:tr>
      <w:tr w:rsidR="00BB3746" w:rsidRPr="00E92571" w14:paraId="3866F0E6" w14:textId="77777777" w:rsidTr="000F6360">
        <w:trPr>
          <w:trHeight w:val="70"/>
          <w:jc w:val="center"/>
        </w:trPr>
        <w:tc>
          <w:tcPr>
            <w:tcW w:w="1838" w:type="dxa"/>
            <w:vMerge/>
            <w:shd w:val="clear" w:color="auto" w:fill="auto"/>
            <w:vAlign w:val="center"/>
          </w:tcPr>
          <w:p w14:paraId="41E04867" w14:textId="77777777" w:rsidR="00BB3746" w:rsidRPr="00E92571" w:rsidRDefault="00BB3746" w:rsidP="002462BB">
            <w:pPr>
              <w:rPr>
                <w:rFonts w:cs="Arial"/>
                <w:sz w:val="20"/>
                <w:szCs w:val="20"/>
              </w:rPr>
            </w:pPr>
          </w:p>
        </w:tc>
        <w:tc>
          <w:tcPr>
            <w:tcW w:w="1694" w:type="dxa"/>
            <w:vMerge/>
            <w:shd w:val="clear" w:color="auto" w:fill="auto"/>
            <w:vAlign w:val="center"/>
          </w:tcPr>
          <w:p w14:paraId="54467228" w14:textId="77777777" w:rsidR="00BB3746" w:rsidRPr="00E92571" w:rsidRDefault="00BB3746" w:rsidP="002462BB">
            <w:pPr>
              <w:spacing w:before="120"/>
              <w:rPr>
                <w:rFonts w:cs="Arial"/>
                <w:sz w:val="20"/>
                <w:szCs w:val="20"/>
              </w:rPr>
            </w:pPr>
          </w:p>
        </w:tc>
        <w:tc>
          <w:tcPr>
            <w:tcW w:w="1798" w:type="dxa"/>
            <w:vMerge/>
            <w:shd w:val="clear" w:color="auto" w:fill="auto"/>
            <w:vAlign w:val="center"/>
          </w:tcPr>
          <w:p w14:paraId="2D964119" w14:textId="77777777" w:rsidR="00BB3746" w:rsidRPr="00E92571" w:rsidRDefault="00BB3746" w:rsidP="002462BB">
            <w:pPr>
              <w:spacing w:before="120"/>
              <w:rPr>
                <w:rFonts w:cs="Arial"/>
                <w:sz w:val="20"/>
                <w:szCs w:val="20"/>
              </w:rPr>
            </w:pPr>
          </w:p>
        </w:tc>
        <w:tc>
          <w:tcPr>
            <w:tcW w:w="2693" w:type="dxa"/>
            <w:vMerge/>
          </w:tcPr>
          <w:p w14:paraId="784C2A61" w14:textId="77777777" w:rsidR="00BB3746" w:rsidRPr="00E92571" w:rsidRDefault="00BB3746" w:rsidP="002462BB">
            <w:pPr>
              <w:rPr>
                <w:rFonts w:cs="Arial"/>
                <w:sz w:val="20"/>
                <w:szCs w:val="20"/>
              </w:rPr>
            </w:pPr>
          </w:p>
        </w:tc>
        <w:tc>
          <w:tcPr>
            <w:tcW w:w="1843" w:type="dxa"/>
            <w:vMerge/>
            <w:shd w:val="clear" w:color="auto" w:fill="auto"/>
            <w:vAlign w:val="center"/>
          </w:tcPr>
          <w:p w14:paraId="1D02C453" w14:textId="77777777" w:rsidR="00BB3746" w:rsidRPr="00E92571" w:rsidRDefault="00BB3746" w:rsidP="002462BB">
            <w:pPr>
              <w:rPr>
                <w:rFonts w:cs="Arial"/>
                <w:sz w:val="20"/>
                <w:szCs w:val="20"/>
              </w:rPr>
            </w:pPr>
          </w:p>
        </w:tc>
        <w:tc>
          <w:tcPr>
            <w:tcW w:w="2178" w:type="dxa"/>
            <w:shd w:val="clear" w:color="auto" w:fill="auto"/>
            <w:vAlign w:val="center"/>
          </w:tcPr>
          <w:p w14:paraId="0E326C03" w14:textId="77777777" w:rsidR="00BB3746" w:rsidRPr="00E92571" w:rsidRDefault="00952187" w:rsidP="004147AF">
            <w:pPr>
              <w:spacing w:before="120"/>
              <w:rPr>
                <w:rFonts w:cs="Arial"/>
                <w:b/>
                <w:bCs/>
                <w:szCs w:val="23"/>
              </w:rPr>
            </w:pPr>
            <w:r>
              <w:rPr>
                <w:rFonts w:cs="Arial"/>
                <w:sz w:val="20"/>
                <w:szCs w:val="20"/>
              </w:rPr>
              <w:t>F</w:t>
            </w:r>
            <w:r w:rsidR="00BB3746" w:rsidRPr="00E92571">
              <w:rPr>
                <w:rFonts w:cs="Arial"/>
                <w:sz w:val="20"/>
                <w:szCs w:val="20"/>
              </w:rPr>
              <w:t xml:space="preserve">our PEC, three CJs and two NC meetings </w:t>
            </w:r>
            <w:proofErr w:type="gramStart"/>
            <w:r w:rsidR="00BB3746" w:rsidRPr="00E92571">
              <w:rPr>
                <w:rFonts w:cs="Arial"/>
                <w:sz w:val="20"/>
                <w:szCs w:val="20"/>
              </w:rPr>
              <w:t>held,</w:t>
            </w:r>
            <w:proofErr w:type="gramEnd"/>
            <w:r w:rsidR="00BB3746" w:rsidRPr="00E92571">
              <w:rPr>
                <w:rFonts w:cs="Arial"/>
                <w:sz w:val="20"/>
                <w:szCs w:val="20"/>
              </w:rPr>
              <w:t xml:space="preserve"> perceptions of quality of engagement by key stakeholders.</w:t>
            </w:r>
          </w:p>
        </w:tc>
        <w:tc>
          <w:tcPr>
            <w:tcW w:w="1559" w:type="dxa"/>
            <w:shd w:val="clear" w:color="auto" w:fill="auto"/>
            <w:vAlign w:val="center"/>
          </w:tcPr>
          <w:p w14:paraId="3F6669FC" w14:textId="77777777" w:rsidR="00BB3746" w:rsidRPr="00E92571" w:rsidRDefault="00BB3746" w:rsidP="002462BB">
            <w:pPr>
              <w:spacing w:before="120"/>
              <w:rPr>
                <w:rFonts w:cs="Arial"/>
                <w:b/>
                <w:bCs/>
                <w:szCs w:val="23"/>
              </w:rPr>
            </w:pPr>
            <w:r w:rsidRPr="00E92571">
              <w:rPr>
                <w:rFonts w:cs="Arial"/>
                <w:sz w:val="20"/>
                <w:szCs w:val="20"/>
              </w:rPr>
              <w:t>Meeting reports and feedback.</w:t>
            </w:r>
          </w:p>
        </w:tc>
        <w:tc>
          <w:tcPr>
            <w:tcW w:w="851" w:type="dxa"/>
            <w:shd w:val="clear" w:color="auto" w:fill="auto"/>
            <w:vAlign w:val="center"/>
          </w:tcPr>
          <w:p w14:paraId="56FCB98B" w14:textId="77777777" w:rsidR="00BB3746" w:rsidRPr="00E92571" w:rsidRDefault="00BB3746" w:rsidP="002462BB">
            <w:pPr>
              <w:spacing w:before="120"/>
              <w:rPr>
                <w:rFonts w:cs="Arial"/>
                <w:sz w:val="20"/>
                <w:szCs w:val="20"/>
              </w:rPr>
            </w:pPr>
            <w:r w:rsidRPr="00E92571">
              <w:rPr>
                <w:rFonts w:cs="Arial"/>
                <w:sz w:val="20"/>
                <w:szCs w:val="20"/>
              </w:rPr>
              <w:t>MSC</w:t>
            </w:r>
          </w:p>
        </w:tc>
      </w:tr>
      <w:tr w:rsidR="00BB3746" w:rsidRPr="00E92571" w14:paraId="14F2D797" w14:textId="77777777" w:rsidTr="000F6360">
        <w:trPr>
          <w:trHeight w:val="860"/>
          <w:jc w:val="center"/>
        </w:trPr>
        <w:tc>
          <w:tcPr>
            <w:tcW w:w="1838" w:type="dxa"/>
            <w:vMerge/>
            <w:shd w:val="clear" w:color="auto" w:fill="auto"/>
            <w:vAlign w:val="center"/>
          </w:tcPr>
          <w:p w14:paraId="60347481" w14:textId="77777777" w:rsidR="00BB3746" w:rsidRPr="00E92571" w:rsidRDefault="00BB3746" w:rsidP="002462BB">
            <w:pPr>
              <w:rPr>
                <w:rFonts w:cs="Arial"/>
                <w:sz w:val="20"/>
                <w:szCs w:val="20"/>
              </w:rPr>
            </w:pPr>
          </w:p>
        </w:tc>
        <w:tc>
          <w:tcPr>
            <w:tcW w:w="1694" w:type="dxa"/>
            <w:vMerge/>
            <w:shd w:val="clear" w:color="auto" w:fill="auto"/>
            <w:vAlign w:val="center"/>
          </w:tcPr>
          <w:p w14:paraId="5766679B" w14:textId="77777777" w:rsidR="00BB3746" w:rsidRPr="00E92571" w:rsidRDefault="00BB3746" w:rsidP="002462BB">
            <w:pPr>
              <w:spacing w:before="120"/>
              <w:rPr>
                <w:rFonts w:cs="Arial"/>
                <w:sz w:val="20"/>
                <w:szCs w:val="20"/>
              </w:rPr>
            </w:pPr>
          </w:p>
        </w:tc>
        <w:tc>
          <w:tcPr>
            <w:tcW w:w="1798" w:type="dxa"/>
            <w:vMerge/>
            <w:shd w:val="clear" w:color="auto" w:fill="auto"/>
            <w:vAlign w:val="center"/>
          </w:tcPr>
          <w:p w14:paraId="0EA190FC" w14:textId="77777777" w:rsidR="00BB3746" w:rsidRPr="00E92571" w:rsidRDefault="00BB3746" w:rsidP="002462BB">
            <w:pPr>
              <w:spacing w:before="120"/>
              <w:rPr>
                <w:rFonts w:cs="Arial"/>
                <w:sz w:val="20"/>
                <w:szCs w:val="20"/>
              </w:rPr>
            </w:pPr>
          </w:p>
        </w:tc>
        <w:tc>
          <w:tcPr>
            <w:tcW w:w="2693" w:type="dxa"/>
            <w:vMerge/>
          </w:tcPr>
          <w:p w14:paraId="6743C7B2" w14:textId="77777777" w:rsidR="00BB3746" w:rsidRPr="00E92571" w:rsidRDefault="00BB3746" w:rsidP="002462BB">
            <w:pPr>
              <w:rPr>
                <w:rFonts w:cs="Arial"/>
                <w:sz w:val="20"/>
                <w:szCs w:val="20"/>
              </w:rPr>
            </w:pPr>
          </w:p>
        </w:tc>
        <w:tc>
          <w:tcPr>
            <w:tcW w:w="1843" w:type="dxa"/>
            <w:vMerge/>
            <w:shd w:val="clear" w:color="auto" w:fill="auto"/>
            <w:vAlign w:val="center"/>
          </w:tcPr>
          <w:p w14:paraId="2E50E1B0" w14:textId="77777777" w:rsidR="00BB3746" w:rsidRPr="00E92571" w:rsidRDefault="00BB3746" w:rsidP="002462BB">
            <w:pPr>
              <w:rPr>
                <w:rFonts w:cs="Arial"/>
                <w:sz w:val="20"/>
                <w:szCs w:val="20"/>
              </w:rPr>
            </w:pPr>
          </w:p>
        </w:tc>
        <w:tc>
          <w:tcPr>
            <w:tcW w:w="2178" w:type="dxa"/>
            <w:shd w:val="clear" w:color="auto" w:fill="auto"/>
            <w:vAlign w:val="center"/>
          </w:tcPr>
          <w:p w14:paraId="6FEEF799" w14:textId="77777777" w:rsidR="00BB3746" w:rsidRPr="00E92571" w:rsidRDefault="00BB3746" w:rsidP="002462BB">
            <w:pPr>
              <w:spacing w:before="120"/>
              <w:rPr>
                <w:rFonts w:cs="Arial"/>
                <w:b/>
                <w:bCs/>
                <w:szCs w:val="23"/>
              </w:rPr>
            </w:pPr>
            <w:r w:rsidRPr="00E92571">
              <w:rPr>
                <w:rFonts w:cs="Arial"/>
                <w:sz w:val="20"/>
                <w:szCs w:val="20"/>
              </w:rPr>
              <w:t xml:space="preserve">All approved Responsive Fund activities achieve their objectives; are </w:t>
            </w:r>
            <w:r w:rsidRPr="00E92571">
              <w:rPr>
                <w:rFonts w:cs="Arial"/>
                <w:sz w:val="20"/>
                <w:szCs w:val="20"/>
              </w:rPr>
              <w:lastRenderedPageBreak/>
              <w:t>implemented on time and within budget with minimal assistance from the PJDP Team.</w:t>
            </w:r>
          </w:p>
        </w:tc>
        <w:tc>
          <w:tcPr>
            <w:tcW w:w="1559" w:type="dxa"/>
            <w:shd w:val="clear" w:color="auto" w:fill="auto"/>
            <w:vAlign w:val="center"/>
          </w:tcPr>
          <w:p w14:paraId="3D9DA08B" w14:textId="77777777" w:rsidR="00BB3746" w:rsidRPr="00E92571" w:rsidRDefault="00BB3746" w:rsidP="002462BB">
            <w:pPr>
              <w:spacing w:before="120"/>
              <w:rPr>
                <w:rFonts w:cs="Arial"/>
                <w:b/>
                <w:bCs/>
                <w:szCs w:val="23"/>
              </w:rPr>
            </w:pPr>
            <w:r w:rsidRPr="00E92571">
              <w:rPr>
                <w:rFonts w:cs="Arial"/>
                <w:sz w:val="20"/>
                <w:szCs w:val="20"/>
              </w:rPr>
              <w:lastRenderedPageBreak/>
              <w:t>NC reports and MSC confirmation.</w:t>
            </w:r>
          </w:p>
        </w:tc>
        <w:tc>
          <w:tcPr>
            <w:tcW w:w="851" w:type="dxa"/>
            <w:shd w:val="clear" w:color="auto" w:fill="auto"/>
            <w:vAlign w:val="center"/>
          </w:tcPr>
          <w:p w14:paraId="6324C6FE" w14:textId="77777777" w:rsidR="00BB3746" w:rsidRPr="00E92571" w:rsidRDefault="00BB3746" w:rsidP="002462BB">
            <w:pPr>
              <w:spacing w:before="120"/>
              <w:rPr>
                <w:rFonts w:cs="Arial"/>
                <w:sz w:val="20"/>
                <w:szCs w:val="20"/>
              </w:rPr>
            </w:pPr>
            <w:r w:rsidRPr="00E92571">
              <w:rPr>
                <w:rFonts w:cs="Arial"/>
                <w:sz w:val="20"/>
                <w:szCs w:val="20"/>
              </w:rPr>
              <w:t>NC/</w:t>
            </w:r>
            <w:r w:rsidR="004147AF">
              <w:rPr>
                <w:rFonts w:cs="Arial"/>
                <w:sz w:val="20"/>
                <w:szCs w:val="20"/>
              </w:rPr>
              <w:t xml:space="preserve"> </w:t>
            </w:r>
            <w:r w:rsidRPr="00E92571">
              <w:rPr>
                <w:rFonts w:cs="Arial"/>
                <w:sz w:val="20"/>
                <w:szCs w:val="20"/>
              </w:rPr>
              <w:t>MSC</w:t>
            </w:r>
          </w:p>
        </w:tc>
      </w:tr>
      <w:tr w:rsidR="008B63E1" w:rsidRPr="00E92571" w14:paraId="5CC3BF68" w14:textId="77777777" w:rsidTr="000F6360">
        <w:trPr>
          <w:trHeight w:val="358"/>
          <w:jc w:val="center"/>
        </w:trPr>
        <w:tc>
          <w:tcPr>
            <w:tcW w:w="14454" w:type="dxa"/>
            <w:gridSpan w:val="8"/>
            <w:shd w:val="clear" w:color="auto" w:fill="F2F2F2" w:themeFill="background1" w:themeFillShade="F2"/>
            <w:vAlign w:val="center"/>
          </w:tcPr>
          <w:p w14:paraId="4345831D" w14:textId="77777777" w:rsidR="008B63E1" w:rsidRPr="008B63E1" w:rsidRDefault="008B63E1" w:rsidP="002462BB">
            <w:pPr>
              <w:rPr>
                <w:rFonts w:cs="Arial"/>
                <w:b/>
              </w:rPr>
            </w:pPr>
            <w:r w:rsidRPr="008B63E1">
              <w:rPr>
                <w:rFonts w:cs="Arial"/>
                <w:b/>
                <w:sz w:val="22"/>
                <w:szCs w:val="22"/>
              </w:rPr>
              <w:lastRenderedPageBreak/>
              <w:t>2.1 Codes of Judicial Conduct Project</w:t>
            </w:r>
          </w:p>
        </w:tc>
      </w:tr>
      <w:tr w:rsidR="00BB3746" w:rsidRPr="00E92571" w14:paraId="273A4D45" w14:textId="77777777" w:rsidTr="000F6360">
        <w:trPr>
          <w:trHeight w:val="1247"/>
          <w:jc w:val="center"/>
        </w:trPr>
        <w:tc>
          <w:tcPr>
            <w:tcW w:w="1838" w:type="dxa"/>
            <w:vMerge w:val="restart"/>
            <w:shd w:val="clear" w:color="auto" w:fill="auto"/>
            <w:vAlign w:val="center"/>
          </w:tcPr>
          <w:p w14:paraId="5C92EABF" w14:textId="77777777" w:rsidR="00BB3746" w:rsidRPr="00E92571" w:rsidRDefault="00BB3746" w:rsidP="002462BB">
            <w:pPr>
              <w:rPr>
                <w:sz w:val="20"/>
                <w:szCs w:val="20"/>
              </w:rPr>
            </w:pPr>
            <w:r w:rsidRPr="00E92571">
              <w:rPr>
                <w:sz w:val="20"/>
                <w:szCs w:val="23"/>
              </w:rPr>
              <w:t>Interested PICs develop local statements regarding judicial integrity, appropriate judicial conduct, and strategies to address the growing demand for transparency and accountability; and establish procedures to receive, record, inquire into, and resolve complaints relating to judicial conduct.</w:t>
            </w:r>
          </w:p>
        </w:tc>
        <w:tc>
          <w:tcPr>
            <w:tcW w:w="1694" w:type="dxa"/>
            <w:vMerge w:val="restart"/>
            <w:shd w:val="clear" w:color="auto" w:fill="auto"/>
            <w:vAlign w:val="center"/>
          </w:tcPr>
          <w:p w14:paraId="0B4485CB" w14:textId="77777777" w:rsidR="00BB3746" w:rsidRPr="00E92571" w:rsidRDefault="00BB3746" w:rsidP="002462BB">
            <w:pPr>
              <w:rPr>
                <w:rFonts w:cs="Arial"/>
                <w:sz w:val="20"/>
                <w:szCs w:val="20"/>
              </w:rPr>
            </w:pPr>
            <w:r w:rsidRPr="00E92571">
              <w:rPr>
                <w:rFonts w:cs="Arial"/>
                <w:sz w:val="20"/>
                <w:szCs w:val="20"/>
              </w:rPr>
              <w:t>Improvements in judicial conduct emerging  in 4 PICs attributable to the existence and use of a CoJC</w:t>
            </w:r>
          </w:p>
        </w:tc>
        <w:tc>
          <w:tcPr>
            <w:tcW w:w="1798" w:type="dxa"/>
            <w:vMerge w:val="restart"/>
            <w:shd w:val="clear" w:color="auto" w:fill="auto"/>
            <w:vAlign w:val="center"/>
          </w:tcPr>
          <w:p w14:paraId="5ECD7F81" w14:textId="77777777" w:rsidR="00BB3746" w:rsidRPr="00E92571" w:rsidRDefault="00BB3746" w:rsidP="002462BB">
            <w:pPr>
              <w:rPr>
                <w:rFonts w:cs="Arial"/>
                <w:sz w:val="20"/>
                <w:szCs w:val="20"/>
              </w:rPr>
            </w:pPr>
            <w:r w:rsidRPr="00E92571">
              <w:rPr>
                <w:rFonts w:cs="Arial"/>
                <w:sz w:val="20"/>
                <w:szCs w:val="20"/>
              </w:rPr>
              <w:t>No CoJCs exist in the region that are based on and adapted from internationally recognised principles such as the Bangalore principles of judicial conduct.</w:t>
            </w:r>
          </w:p>
        </w:tc>
        <w:tc>
          <w:tcPr>
            <w:tcW w:w="2693" w:type="dxa"/>
            <w:vMerge w:val="restart"/>
            <w:vAlign w:val="center"/>
          </w:tcPr>
          <w:p w14:paraId="0CA17200" w14:textId="77777777" w:rsidR="00BB3746" w:rsidRPr="00E92571" w:rsidRDefault="00BB3746" w:rsidP="004147AF">
            <w:pPr>
              <w:rPr>
                <w:rFonts w:cs="Arial"/>
                <w:bCs/>
                <w:sz w:val="20"/>
                <w:szCs w:val="23"/>
              </w:rPr>
            </w:pPr>
            <w:r>
              <w:rPr>
                <w:rFonts w:cs="Arial"/>
                <w:bCs/>
                <w:sz w:val="20"/>
                <w:szCs w:val="23"/>
              </w:rPr>
              <w:t xml:space="preserve">A Complaints Handling Toolkit </w:t>
            </w:r>
            <w:r w:rsidR="004147AF">
              <w:rPr>
                <w:rFonts w:cs="Arial"/>
                <w:bCs/>
                <w:sz w:val="20"/>
                <w:szCs w:val="23"/>
              </w:rPr>
              <w:t xml:space="preserve">has been drafted and is scheduled to be piloted in one PIC in July. </w:t>
            </w:r>
          </w:p>
        </w:tc>
        <w:tc>
          <w:tcPr>
            <w:tcW w:w="1843" w:type="dxa"/>
            <w:vMerge w:val="restart"/>
            <w:shd w:val="clear" w:color="auto" w:fill="auto"/>
            <w:vAlign w:val="center"/>
          </w:tcPr>
          <w:p w14:paraId="289F2053" w14:textId="77777777" w:rsidR="00BB3746" w:rsidRPr="00E92571" w:rsidRDefault="00BB3746" w:rsidP="002462BB">
            <w:pPr>
              <w:rPr>
                <w:rFonts w:cs="Arial"/>
                <w:sz w:val="20"/>
                <w:szCs w:val="20"/>
              </w:rPr>
            </w:pPr>
            <w:r w:rsidRPr="00E92571">
              <w:rPr>
                <w:rFonts w:cs="Arial"/>
                <w:bCs/>
                <w:sz w:val="20"/>
                <w:szCs w:val="23"/>
              </w:rPr>
              <w:t>Up to four PICs have a</w:t>
            </w:r>
            <w:r w:rsidRPr="00E92571">
              <w:rPr>
                <w:rFonts w:cs="Arial"/>
                <w:b/>
                <w:bCs/>
                <w:sz w:val="20"/>
                <w:szCs w:val="23"/>
              </w:rPr>
              <w:t xml:space="preserve"> </w:t>
            </w:r>
            <w:r w:rsidRPr="00E92571">
              <w:rPr>
                <w:sz w:val="20"/>
                <w:szCs w:val="20"/>
              </w:rPr>
              <w:t xml:space="preserve">heightened awareness of </w:t>
            </w:r>
            <w:r w:rsidRPr="00E92571">
              <w:rPr>
                <w:sz w:val="20"/>
                <w:szCs w:val="23"/>
              </w:rPr>
              <w:t xml:space="preserve">judicial integrity, with the judiciary overall demonstrating </w:t>
            </w:r>
            <w:r w:rsidRPr="00E92571">
              <w:rPr>
                <w:sz w:val="20"/>
                <w:szCs w:val="20"/>
              </w:rPr>
              <w:t xml:space="preserve">adherence to </w:t>
            </w:r>
            <w:r w:rsidRPr="00E92571">
              <w:rPr>
                <w:sz w:val="20"/>
                <w:szCs w:val="23"/>
              </w:rPr>
              <w:t>appropriate</w:t>
            </w:r>
            <w:r w:rsidRPr="00E92571">
              <w:rPr>
                <w:sz w:val="20"/>
                <w:szCs w:val="20"/>
              </w:rPr>
              <w:t xml:space="preserve"> standards of judicial </w:t>
            </w:r>
            <w:r w:rsidRPr="00E92571">
              <w:rPr>
                <w:sz w:val="20"/>
                <w:szCs w:val="23"/>
              </w:rPr>
              <w:t>conduct; complaints regarding judicial conduct are logged and dealt with in reasonable time. In-country records identify the number of complaints received, the broad nature of the complaint, time taken between receipt and final resolution, outcome and action taken.</w:t>
            </w:r>
          </w:p>
        </w:tc>
        <w:tc>
          <w:tcPr>
            <w:tcW w:w="2178" w:type="dxa"/>
            <w:shd w:val="clear" w:color="auto" w:fill="auto"/>
            <w:vAlign w:val="center"/>
          </w:tcPr>
          <w:p w14:paraId="7BA7DE13" w14:textId="77777777" w:rsidR="00BB3746" w:rsidRPr="00E92571" w:rsidRDefault="00BB3746" w:rsidP="002462BB">
            <w:pPr>
              <w:rPr>
                <w:rFonts w:cs="Arial"/>
                <w:sz w:val="20"/>
                <w:szCs w:val="20"/>
              </w:rPr>
            </w:pPr>
            <w:r w:rsidRPr="00E92571">
              <w:rPr>
                <w:rFonts w:cs="Arial"/>
                <w:sz w:val="20"/>
                <w:szCs w:val="20"/>
              </w:rPr>
              <w:t>Quality of CoJC and of local participation in their development.</w:t>
            </w:r>
          </w:p>
        </w:tc>
        <w:tc>
          <w:tcPr>
            <w:tcW w:w="1559" w:type="dxa"/>
            <w:shd w:val="clear" w:color="auto" w:fill="auto"/>
            <w:vAlign w:val="center"/>
          </w:tcPr>
          <w:p w14:paraId="71FF7B81" w14:textId="77777777" w:rsidR="00BB3746" w:rsidRPr="00E92571" w:rsidRDefault="00BB3746" w:rsidP="002462BB">
            <w:pPr>
              <w:rPr>
                <w:rFonts w:cs="Arial"/>
                <w:sz w:val="20"/>
                <w:szCs w:val="20"/>
              </w:rPr>
            </w:pPr>
            <w:r w:rsidRPr="00E92571">
              <w:rPr>
                <w:rFonts w:cs="Arial"/>
                <w:sz w:val="20"/>
                <w:szCs w:val="20"/>
              </w:rPr>
              <w:t>CoJC TA report &amp; PEC/CJ assessment minuted.</w:t>
            </w:r>
          </w:p>
        </w:tc>
        <w:tc>
          <w:tcPr>
            <w:tcW w:w="851" w:type="dxa"/>
            <w:shd w:val="clear" w:color="auto" w:fill="auto"/>
            <w:vAlign w:val="center"/>
          </w:tcPr>
          <w:p w14:paraId="713206C3" w14:textId="77777777" w:rsidR="00BB3746" w:rsidRPr="00E92571" w:rsidRDefault="00BB3746" w:rsidP="002462BB">
            <w:pPr>
              <w:rPr>
                <w:rFonts w:cs="Arial"/>
                <w:sz w:val="20"/>
                <w:szCs w:val="20"/>
              </w:rPr>
            </w:pPr>
            <w:r w:rsidRPr="00E92571">
              <w:rPr>
                <w:rFonts w:cs="Arial"/>
                <w:sz w:val="20"/>
                <w:szCs w:val="20"/>
              </w:rPr>
              <w:t>CoJC TA / MSC</w:t>
            </w:r>
          </w:p>
        </w:tc>
      </w:tr>
      <w:tr w:rsidR="00BB3746" w:rsidRPr="00E92571" w14:paraId="7FB080FF" w14:textId="77777777" w:rsidTr="000F6360">
        <w:trPr>
          <w:trHeight w:val="765"/>
          <w:jc w:val="center"/>
        </w:trPr>
        <w:tc>
          <w:tcPr>
            <w:tcW w:w="1838" w:type="dxa"/>
            <w:vMerge/>
            <w:shd w:val="clear" w:color="auto" w:fill="auto"/>
            <w:vAlign w:val="center"/>
          </w:tcPr>
          <w:p w14:paraId="02B30F3C" w14:textId="77777777" w:rsidR="00BB3746" w:rsidRPr="00E92571" w:rsidRDefault="00BB3746" w:rsidP="002462BB">
            <w:pPr>
              <w:rPr>
                <w:rFonts w:cs="Arial"/>
                <w:sz w:val="20"/>
                <w:szCs w:val="20"/>
              </w:rPr>
            </w:pPr>
          </w:p>
        </w:tc>
        <w:tc>
          <w:tcPr>
            <w:tcW w:w="1694" w:type="dxa"/>
            <w:vMerge/>
            <w:shd w:val="clear" w:color="auto" w:fill="auto"/>
            <w:vAlign w:val="center"/>
          </w:tcPr>
          <w:p w14:paraId="2A5C28FF" w14:textId="77777777" w:rsidR="00BB3746" w:rsidRPr="00E92571" w:rsidRDefault="00BB3746" w:rsidP="002462BB">
            <w:pPr>
              <w:rPr>
                <w:rFonts w:cs="Arial"/>
                <w:sz w:val="20"/>
                <w:szCs w:val="20"/>
              </w:rPr>
            </w:pPr>
          </w:p>
        </w:tc>
        <w:tc>
          <w:tcPr>
            <w:tcW w:w="1798" w:type="dxa"/>
            <w:vMerge/>
            <w:shd w:val="clear" w:color="auto" w:fill="auto"/>
            <w:vAlign w:val="center"/>
          </w:tcPr>
          <w:p w14:paraId="2C9D7AF5" w14:textId="77777777" w:rsidR="00BB3746" w:rsidRPr="00E92571" w:rsidRDefault="00BB3746" w:rsidP="002462BB">
            <w:pPr>
              <w:rPr>
                <w:rFonts w:cs="Arial"/>
                <w:sz w:val="20"/>
                <w:szCs w:val="20"/>
              </w:rPr>
            </w:pPr>
          </w:p>
        </w:tc>
        <w:tc>
          <w:tcPr>
            <w:tcW w:w="2693" w:type="dxa"/>
            <w:vMerge/>
          </w:tcPr>
          <w:p w14:paraId="3082DBF3" w14:textId="77777777" w:rsidR="00BB3746" w:rsidRPr="00E92571" w:rsidRDefault="00BB3746" w:rsidP="002462BB">
            <w:pPr>
              <w:rPr>
                <w:rFonts w:cs="Arial"/>
                <w:sz w:val="20"/>
                <w:szCs w:val="20"/>
              </w:rPr>
            </w:pPr>
          </w:p>
        </w:tc>
        <w:tc>
          <w:tcPr>
            <w:tcW w:w="1843" w:type="dxa"/>
            <w:vMerge/>
            <w:shd w:val="clear" w:color="auto" w:fill="auto"/>
            <w:vAlign w:val="center"/>
          </w:tcPr>
          <w:p w14:paraId="273CD60A" w14:textId="77777777" w:rsidR="00BB3746" w:rsidRPr="00E92571" w:rsidRDefault="00BB3746" w:rsidP="002462BB">
            <w:pPr>
              <w:rPr>
                <w:rFonts w:cs="Arial"/>
                <w:sz w:val="20"/>
                <w:szCs w:val="20"/>
              </w:rPr>
            </w:pPr>
          </w:p>
        </w:tc>
        <w:tc>
          <w:tcPr>
            <w:tcW w:w="2178" w:type="dxa"/>
            <w:shd w:val="clear" w:color="auto" w:fill="auto"/>
            <w:vAlign w:val="center"/>
          </w:tcPr>
          <w:p w14:paraId="63EC1286" w14:textId="77777777" w:rsidR="00BB3746" w:rsidRPr="00E92571" w:rsidRDefault="00BB3746" w:rsidP="002462BB">
            <w:pPr>
              <w:rPr>
                <w:sz w:val="20"/>
                <w:szCs w:val="23"/>
              </w:rPr>
            </w:pPr>
            <w:r w:rsidRPr="00E92571">
              <w:rPr>
                <w:sz w:val="20"/>
                <w:szCs w:val="23"/>
              </w:rPr>
              <w:t xml:space="preserve">Heightened awareness of judicial integrity, and </w:t>
            </w:r>
          </w:p>
          <w:p w14:paraId="728F9729" w14:textId="77777777" w:rsidR="00BB3746" w:rsidRPr="00E92571" w:rsidRDefault="00BB3746" w:rsidP="002462BB">
            <w:pPr>
              <w:rPr>
                <w:rFonts w:cs="Arial"/>
                <w:sz w:val="20"/>
                <w:szCs w:val="20"/>
              </w:rPr>
            </w:pPr>
            <w:proofErr w:type="gramStart"/>
            <w:r w:rsidRPr="00E92571">
              <w:rPr>
                <w:sz w:val="20"/>
                <w:szCs w:val="23"/>
              </w:rPr>
              <w:t>complaints</w:t>
            </w:r>
            <w:proofErr w:type="gramEnd"/>
            <w:r w:rsidRPr="00E92571">
              <w:rPr>
                <w:sz w:val="20"/>
                <w:szCs w:val="23"/>
              </w:rPr>
              <w:t xml:space="preserve"> regarding judicial conduct are logged and dealt with in reasonable time.</w:t>
            </w:r>
          </w:p>
        </w:tc>
        <w:tc>
          <w:tcPr>
            <w:tcW w:w="1559" w:type="dxa"/>
            <w:shd w:val="clear" w:color="auto" w:fill="auto"/>
            <w:vAlign w:val="center"/>
          </w:tcPr>
          <w:p w14:paraId="09A70319" w14:textId="77777777" w:rsidR="00BB3746" w:rsidRPr="00E92571" w:rsidRDefault="00BB3746" w:rsidP="002462BB">
            <w:pPr>
              <w:rPr>
                <w:rFonts w:cs="Arial"/>
                <w:sz w:val="20"/>
                <w:szCs w:val="20"/>
              </w:rPr>
            </w:pPr>
            <w:r w:rsidRPr="00E92571">
              <w:rPr>
                <w:rFonts w:cs="Arial"/>
                <w:sz w:val="20"/>
                <w:szCs w:val="20"/>
              </w:rPr>
              <w:t>Self-assessment by JO and CO user surveys.</w:t>
            </w:r>
          </w:p>
        </w:tc>
        <w:tc>
          <w:tcPr>
            <w:tcW w:w="851" w:type="dxa"/>
            <w:shd w:val="clear" w:color="auto" w:fill="auto"/>
            <w:vAlign w:val="center"/>
          </w:tcPr>
          <w:p w14:paraId="672E8BA7" w14:textId="77777777" w:rsidR="00BB3746" w:rsidRPr="00E92571" w:rsidRDefault="00BB3746" w:rsidP="002462BB">
            <w:pPr>
              <w:rPr>
                <w:rFonts w:cs="Arial"/>
                <w:sz w:val="20"/>
                <w:szCs w:val="20"/>
              </w:rPr>
            </w:pPr>
            <w:r w:rsidRPr="00E92571">
              <w:rPr>
                <w:rFonts w:cs="Arial"/>
                <w:sz w:val="20"/>
                <w:szCs w:val="20"/>
              </w:rPr>
              <w:t>NC</w:t>
            </w:r>
          </w:p>
        </w:tc>
      </w:tr>
      <w:tr w:rsidR="008B63E1" w:rsidRPr="00E92571" w14:paraId="26C36926" w14:textId="77777777" w:rsidTr="000F6360">
        <w:trPr>
          <w:trHeight w:val="255"/>
          <w:jc w:val="center"/>
        </w:trPr>
        <w:tc>
          <w:tcPr>
            <w:tcW w:w="14454" w:type="dxa"/>
            <w:gridSpan w:val="8"/>
            <w:shd w:val="clear" w:color="auto" w:fill="F2F2F2" w:themeFill="background1" w:themeFillShade="F2"/>
            <w:vAlign w:val="center"/>
          </w:tcPr>
          <w:p w14:paraId="3151B617" w14:textId="77777777" w:rsidR="008B63E1" w:rsidRPr="008B63E1" w:rsidRDefault="008B63E1" w:rsidP="002462BB">
            <w:pPr>
              <w:rPr>
                <w:rFonts w:cs="Arial"/>
                <w:b/>
              </w:rPr>
            </w:pPr>
            <w:r w:rsidRPr="008B63E1">
              <w:rPr>
                <w:rFonts w:cs="Arial"/>
                <w:b/>
                <w:sz w:val="22"/>
                <w:szCs w:val="22"/>
              </w:rPr>
              <w:t>2.2 Regional Governance and Leadership Meetings</w:t>
            </w:r>
          </w:p>
        </w:tc>
      </w:tr>
      <w:tr w:rsidR="00BB3746" w:rsidRPr="00E92571" w14:paraId="0AD887CF" w14:textId="77777777" w:rsidTr="000F6360">
        <w:trPr>
          <w:trHeight w:val="255"/>
          <w:jc w:val="center"/>
        </w:trPr>
        <w:tc>
          <w:tcPr>
            <w:tcW w:w="1838" w:type="dxa"/>
            <w:vMerge w:val="restart"/>
            <w:shd w:val="clear" w:color="auto" w:fill="auto"/>
            <w:vAlign w:val="center"/>
          </w:tcPr>
          <w:p w14:paraId="31A593A6" w14:textId="77777777" w:rsidR="00BB3746" w:rsidRPr="00E92571" w:rsidRDefault="00BB3746" w:rsidP="002462BB">
            <w:pPr>
              <w:rPr>
                <w:rFonts w:cs="Arial"/>
                <w:sz w:val="20"/>
                <w:szCs w:val="20"/>
              </w:rPr>
            </w:pPr>
            <w:r w:rsidRPr="00E92571">
              <w:rPr>
                <w:sz w:val="20"/>
                <w:szCs w:val="20"/>
              </w:rPr>
              <w:t xml:space="preserve">Stakeholders </w:t>
            </w:r>
            <w:r w:rsidRPr="00E92571">
              <w:rPr>
                <w:sz w:val="20"/>
                <w:szCs w:val="20"/>
              </w:rPr>
              <w:lastRenderedPageBreak/>
              <w:t xml:space="preserve">increasingly actively participate in and direct judicial development across the region </w:t>
            </w:r>
            <w:r w:rsidRPr="00E92571">
              <w:rPr>
                <w:rFonts w:cs="Arial"/>
                <w:bCs/>
                <w:sz w:val="20"/>
                <w:szCs w:val="20"/>
              </w:rPr>
              <w:t xml:space="preserve">through ongoing support to networks of </w:t>
            </w:r>
            <w:r w:rsidR="00952187">
              <w:rPr>
                <w:rFonts w:cs="Arial"/>
                <w:bCs/>
                <w:sz w:val="20"/>
                <w:szCs w:val="20"/>
              </w:rPr>
              <w:t>C</w:t>
            </w:r>
            <w:r w:rsidRPr="00E92571">
              <w:rPr>
                <w:rFonts w:cs="Arial"/>
                <w:bCs/>
                <w:sz w:val="20"/>
                <w:szCs w:val="20"/>
              </w:rPr>
              <w:t xml:space="preserve">hief </w:t>
            </w:r>
            <w:r w:rsidR="00952187">
              <w:rPr>
                <w:rFonts w:cs="Arial"/>
                <w:bCs/>
                <w:sz w:val="20"/>
                <w:szCs w:val="20"/>
              </w:rPr>
              <w:t>J</w:t>
            </w:r>
            <w:r w:rsidRPr="00E92571">
              <w:rPr>
                <w:rFonts w:cs="Arial"/>
                <w:bCs/>
                <w:sz w:val="20"/>
                <w:szCs w:val="20"/>
              </w:rPr>
              <w:t>ustices and their delegates for dialogue and sharing experience about thematically-focused aspects of judicial development, including programme management</w:t>
            </w:r>
            <w:r w:rsidRPr="00E92571">
              <w:rPr>
                <w:sz w:val="20"/>
                <w:szCs w:val="20"/>
              </w:rPr>
              <w:t>.</w:t>
            </w:r>
          </w:p>
        </w:tc>
        <w:tc>
          <w:tcPr>
            <w:tcW w:w="1694" w:type="dxa"/>
            <w:vMerge w:val="restart"/>
            <w:shd w:val="clear" w:color="auto" w:fill="auto"/>
            <w:vAlign w:val="center"/>
          </w:tcPr>
          <w:p w14:paraId="381E0DAA" w14:textId="77777777" w:rsidR="00BB3746" w:rsidRPr="00E92571" w:rsidRDefault="00BB3746" w:rsidP="002462BB">
            <w:pPr>
              <w:rPr>
                <w:rFonts w:cs="Arial"/>
                <w:sz w:val="20"/>
                <w:szCs w:val="20"/>
              </w:rPr>
            </w:pPr>
            <w:r w:rsidRPr="00E92571">
              <w:rPr>
                <w:rFonts w:cs="Arial"/>
                <w:sz w:val="20"/>
                <w:szCs w:val="20"/>
              </w:rPr>
              <w:lastRenderedPageBreak/>
              <w:t xml:space="preserve">80% of key </w:t>
            </w:r>
            <w:r w:rsidRPr="00E92571">
              <w:rPr>
                <w:rFonts w:cs="Arial"/>
                <w:sz w:val="20"/>
                <w:szCs w:val="20"/>
              </w:rPr>
              <w:lastRenderedPageBreak/>
              <w:t>stakeholders engage with PJDP, consider it relevant  to the development needs of their court and that it facilitates sharing solutions to common challenges</w:t>
            </w:r>
          </w:p>
        </w:tc>
        <w:tc>
          <w:tcPr>
            <w:tcW w:w="1798" w:type="dxa"/>
            <w:vMerge w:val="restart"/>
            <w:shd w:val="clear" w:color="auto" w:fill="auto"/>
            <w:vAlign w:val="center"/>
          </w:tcPr>
          <w:p w14:paraId="73FEFBBC" w14:textId="77777777" w:rsidR="00BB3746" w:rsidRPr="00E92571" w:rsidRDefault="00BB3746" w:rsidP="002462BB">
            <w:pPr>
              <w:rPr>
                <w:rFonts w:cs="Arial"/>
                <w:sz w:val="20"/>
                <w:szCs w:val="20"/>
              </w:rPr>
            </w:pPr>
            <w:r w:rsidRPr="00E92571">
              <w:rPr>
                <w:rFonts w:cs="Arial"/>
                <w:sz w:val="20"/>
                <w:szCs w:val="20"/>
              </w:rPr>
              <w:lastRenderedPageBreak/>
              <w:t xml:space="preserve">Low levels of judicial </w:t>
            </w:r>
            <w:r w:rsidRPr="00E92571">
              <w:rPr>
                <w:rFonts w:cs="Arial"/>
                <w:sz w:val="20"/>
                <w:szCs w:val="20"/>
              </w:rPr>
              <w:lastRenderedPageBreak/>
              <w:t>leadership of development on national and regional levels.</w:t>
            </w:r>
          </w:p>
        </w:tc>
        <w:tc>
          <w:tcPr>
            <w:tcW w:w="2693" w:type="dxa"/>
            <w:vMerge w:val="restart"/>
            <w:vAlign w:val="center"/>
          </w:tcPr>
          <w:p w14:paraId="180C585B" w14:textId="77777777" w:rsidR="00BB3746" w:rsidRPr="00E92571" w:rsidRDefault="00BB3746" w:rsidP="00952187">
            <w:pPr>
              <w:rPr>
                <w:rFonts w:cs="Arial"/>
                <w:sz w:val="20"/>
                <w:szCs w:val="20"/>
              </w:rPr>
            </w:pPr>
            <w:r>
              <w:rPr>
                <w:rFonts w:cs="Arial"/>
                <w:sz w:val="20"/>
                <w:szCs w:val="20"/>
              </w:rPr>
              <w:lastRenderedPageBreak/>
              <w:t>Leadership</w:t>
            </w:r>
            <w:r w:rsidRPr="00B40BC9">
              <w:rPr>
                <w:rFonts w:cs="Arial"/>
                <w:sz w:val="20"/>
                <w:szCs w:val="20"/>
              </w:rPr>
              <w:t xml:space="preserve"> meetings </w:t>
            </w:r>
            <w:r>
              <w:rPr>
                <w:rFonts w:cs="Arial"/>
                <w:sz w:val="20"/>
                <w:szCs w:val="20"/>
              </w:rPr>
              <w:t xml:space="preserve">were </w:t>
            </w:r>
            <w:r w:rsidRPr="00B40BC9">
              <w:rPr>
                <w:rFonts w:cs="Arial"/>
                <w:sz w:val="20"/>
                <w:szCs w:val="20"/>
              </w:rPr>
              <w:lastRenderedPageBreak/>
              <w:t>convened for</w:t>
            </w:r>
            <w:r>
              <w:rPr>
                <w:rFonts w:cs="Arial"/>
                <w:sz w:val="20"/>
                <w:szCs w:val="20"/>
              </w:rPr>
              <w:t xml:space="preserve"> the</w:t>
            </w:r>
            <w:r w:rsidRPr="00B40BC9">
              <w:rPr>
                <w:rFonts w:cs="Arial"/>
                <w:sz w:val="20"/>
                <w:szCs w:val="20"/>
              </w:rPr>
              <w:t xml:space="preserve"> PEC</w:t>
            </w:r>
            <w:r w:rsidR="00952187">
              <w:rPr>
                <w:rFonts w:cs="Arial"/>
                <w:sz w:val="20"/>
                <w:szCs w:val="20"/>
              </w:rPr>
              <w:t xml:space="preserve"> and</w:t>
            </w:r>
            <w:r w:rsidRPr="00B40BC9">
              <w:rPr>
                <w:rFonts w:cs="Arial"/>
                <w:sz w:val="20"/>
                <w:szCs w:val="20"/>
              </w:rPr>
              <w:t xml:space="preserve"> CJs, providing opportunities for engagement and contribution to the strategic direction of activities in the current </w:t>
            </w:r>
            <w:r>
              <w:rPr>
                <w:rFonts w:cs="Arial"/>
                <w:sz w:val="20"/>
                <w:szCs w:val="20"/>
              </w:rPr>
              <w:t>extension period</w:t>
            </w:r>
            <w:r w:rsidRPr="00B40BC9">
              <w:rPr>
                <w:rFonts w:cs="Arial"/>
                <w:sz w:val="20"/>
                <w:szCs w:val="20"/>
              </w:rPr>
              <w:t>, and</w:t>
            </w:r>
            <w:r>
              <w:rPr>
                <w:rFonts w:cs="Arial"/>
                <w:sz w:val="20"/>
                <w:szCs w:val="20"/>
              </w:rPr>
              <w:t xml:space="preserve"> 1</w:t>
            </w:r>
            <w:r w:rsidR="00952187">
              <w:rPr>
                <w:rFonts w:cs="Arial"/>
                <w:sz w:val="20"/>
                <w:szCs w:val="20"/>
              </w:rPr>
              <w:t>9</w:t>
            </w:r>
            <w:r>
              <w:rPr>
                <w:rFonts w:cs="Arial"/>
                <w:sz w:val="20"/>
                <w:szCs w:val="20"/>
              </w:rPr>
              <w:t xml:space="preserve"> </w:t>
            </w:r>
            <w:r w:rsidRPr="00B40BC9">
              <w:rPr>
                <w:rFonts w:cs="Arial"/>
                <w:sz w:val="20"/>
                <w:szCs w:val="20"/>
              </w:rPr>
              <w:t>Responsive Fund activities</w:t>
            </w:r>
            <w:r>
              <w:rPr>
                <w:rFonts w:cs="Arial"/>
                <w:sz w:val="20"/>
                <w:szCs w:val="20"/>
              </w:rPr>
              <w:t xml:space="preserve"> have been approved </w:t>
            </w:r>
            <w:r w:rsidR="00952187">
              <w:rPr>
                <w:rFonts w:cs="Arial"/>
                <w:sz w:val="20"/>
                <w:szCs w:val="20"/>
              </w:rPr>
              <w:t xml:space="preserve">since July </w:t>
            </w:r>
            <w:r>
              <w:rPr>
                <w:rFonts w:cs="Arial"/>
                <w:sz w:val="20"/>
                <w:szCs w:val="20"/>
              </w:rPr>
              <w:t>2013.</w:t>
            </w:r>
          </w:p>
        </w:tc>
        <w:tc>
          <w:tcPr>
            <w:tcW w:w="1843" w:type="dxa"/>
            <w:vMerge w:val="restart"/>
            <w:shd w:val="clear" w:color="auto" w:fill="auto"/>
            <w:vAlign w:val="center"/>
          </w:tcPr>
          <w:p w14:paraId="2CA654AE" w14:textId="77777777" w:rsidR="00BB3746" w:rsidRPr="00E92571" w:rsidRDefault="00BB3746" w:rsidP="002462BB">
            <w:pPr>
              <w:rPr>
                <w:rFonts w:cs="Arial"/>
                <w:sz w:val="20"/>
                <w:szCs w:val="20"/>
              </w:rPr>
            </w:pPr>
            <w:r w:rsidRPr="00E92571">
              <w:rPr>
                <w:rFonts w:cs="Arial"/>
                <w:sz w:val="20"/>
                <w:szCs w:val="20"/>
              </w:rPr>
              <w:lastRenderedPageBreak/>
              <w:t xml:space="preserve">Adequate </w:t>
            </w:r>
            <w:r w:rsidRPr="00E92571">
              <w:rPr>
                <w:rFonts w:cs="Arial"/>
                <w:sz w:val="20"/>
                <w:szCs w:val="20"/>
              </w:rPr>
              <w:lastRenderedPageBreak/>
              <w:t>opportunities are provided for key stakeholders to lead, engage with, and contribute input and strategic direction to PJDP Projects.</w:t>
            </w:r>
          </w:p>
        </w:tc>
        <w:tc>
          <w:tcPr>
            <w:tcW w:w="2178" w:type="dxa"/>
            <w:shd w:val="clear" w:color="auto" w:fill="auto"/>
            <w:vAlign w:val="center"/>
          </w:tcPr>
          <w:p w14:paraId="040B64D7" w14:textId="77777777" w:rsidR="00BB3746" w:rsidRPr="00E92571" w:rsidRDefault="00BB3746" w:rsidP="002462BB">
            <w:pPr>
              <w:rPr>
                <w:rFonts w:cs="Arial"/>
                <w:sz w:val="20"/>
                <w:szCs w:val="20"/>
              </w:rPr>
            </w:pPr>
            <w:r w:rsidRPr="00E92571">
              <w:rPr>
                <w:rFonts w:cs="Arial"/>
                <w:sz w:val="20"/>
                <w:szCs w:val="20"/>
              </w:rPr>
              <w:lastRenderedPageBreak/>
              <w:t xml:space="preserve">Number of meetings </w:t>
            </w:r>
            <w:r w:rsidRPr="00E92571">
              <w:rPr>
                <w:rFonts w:cs="Arial"/>
                <w:sz w:val="20"/>
                <w:szCs w:val="20"/>
              </w:rPr>
              <w:lastRenderedPageBreak/>
              <w:t xml:space="preserve">conducted (scheduled: four PEC, three CJ, </w:t>
            </w:r>
            <w:proofErr w:type="gramStart"/>
            <w:r w:rsidRPr="00E92571">
              <w:rPr>
                <w:rFonts w:cs="Arial"/>
                <w:sz w:val="20"/>
                <w:szCs w:val="20"/>
              </w:rPr>
              <w:t>two</w:t>
            </w:r>
            <w:proofErr w:type="gramEnd"/>
            <w:r w:rsidRPr="00E92571">
              <w:rPr>
                <w:rFonts w:cs="Arial"/>
                <w:sz w:val="20"/>
                <w:szCs w:val="20"/>
              </w:rPr>
              <w:t xml:space="preserve"> NC).</w:t>
            </w:r>
          </w:p>
        </w:tc>
        <w:tc>
          <w:tcPr>
            <w:tcW w:w="1559" w:type="dxa"/>
            <w:vMerge w:val="restart"/>
            <w:shd w:val="clear" w:color="auto" w:fill="auto"/>
            <w:vAlign w:val="center"/>
          </w:tcPr>
          <w:p w14:paraId="4428467A" w14:textId="77777777" w:rsidR="00BB3746" w:rsidRPr="00E92571" w:rsidRDefault="00BB3746" w:rsidP="002462BB">
            <w:pPr>
              <w:rPr>
                <w:rFonts w:cs="Arial"/>
                <w:sz w:val="20"/>
                <w:szCs w:val="20"/>
              </w:rPr>
            </w:pPr>
            <w:r w:rsidRPr="00E92571">
              <w:rPr>
                <w:rFonts w:cs="Arial"/>
                <w:sz w:val="20"/>
                <w:szCs w:val="20"/>
              </w:rPr>
              <w:lastRenderedPageBreak/>
              <w:t xml:space="preserve">Reports including </w:t>
            </w:r>
            <w:r w:rsidRPr="00E92571">
              <w:rPr>
                <w:rFonts w:cs="Arial"/>
                <w:sz w:val="20"/>
                <w:szCs w:val="20"/>
              </w:rPr>
              <w:lastRenderedPageBreak/>
              <w:t>participants' evaluations x nine.</w:t>
            </w:r>
          </w:p>
        </w:tc>
        <w:tc>
          <w:tcPr>
            <w:tcW w:w="851" w:type="dxa"/>
            <w:vMerge w:val="restart"/>
            <w:shd w:val="clear" w:color="auto" w:fill="auto"/>
            <w:vAlign w:val="center"/>
          </w:tcPr>
          <w:p w14:paraId="58247CE7" w14:textId="77777777" w:rsidR="00BB3746" w:rsidRPr="00E92571" w:rsidRDefault="00BB3746" w:rsidP="002462BB">
            <w:pPr>
              <w:rPr>
                <w:rFonts w:cs="Arial"/>
                <w:sz w:val="20"/>
                <w:szCs w:val="20"/>
              </w:rPr>
            </w:pPr>
            <w:r w:rsidRPr="00E92571">
              <w:rPr>
                <w:rFonts w:cs="Arial"/>
                <w:sz w:val="20"/>
                <w:szCs w:val="20"/>
              </w:rPr>
              <w:lastRenderedPageBreak/>
              <w:t>MSC</w:t>
            </w:r>
          </w:p>
        </w:tc>
      </w:tr>
      <w:tr w:rsidR="00BB3746" w:rsidRPr="00E92571" w14:paraId="338B65F7" w14:textId="77777777" w:rsidTr="000F6360">
        <w:trPr>
          <w:trHeight w:val="1020"/>
          <w:jc w:val="center"/>
        </w:trPr>
        <w:tc>
          <w:tcPr>
            <w:tcW w:w="1838" w:type="dxa"/>
            <w:vMerge/>
            <w:shd w:val="clear" w:color="auto" w:fill="auto"/>
            <w:vAlign w:val="center"/>
          </w:tcPr>
          <w:p w14:paraId="2FDEB42B" w14:textId="77777777" w:rsidR="00BB3746" w:rsidRPr="00E92571" w:rsidRDefault="00BB3746" w:rsidP="002462BB">
            <w:pPr>
              <w:rPr>
                <w:rFonts w:cs="Arial"/>
                <w:sz w:val="20"/>
                <w:szCs w:val="20"/>
              </w:rPr>
            </w:pPr>
          </w:p>
        </w:tc>
        <w:tc>
          <w:tcPr>
            <w:tcW w:w="1694" w:type="dxa"/>
            <w:vMerge/>
            <w:shd w:val="clear" w:color="auto" w:fill="auto"/>
            <w:vAlign w:val="center"/>
          </w:tcPr>
          <w:p w14:paraId="0DB2904B" w14:textId="77777777" w:rsidR="00BB3746" w:rsidRPr="00E92571" w:rsidRDefault="00BB3746" w:rsidP="002462BB">
            <w:pPr>
              <w:rPr>
                <w:rFonts w:cs="Arial"/>
                <w:sz w:val="20"/>
                <w:szCs w:val="20"/>
              </w:rPr>
            </w:pPr>
          </w:p>
        </w:tc>
        <w:tc>
          <w:tcPr>
            <w:tcW w:w="1798" w:type="dxa"/>
            <w:vMerge/>
            <w:shd w:val="clear" w:color="auto" w:fill="auto"/>
            <w:vAlign w:val="center"/>
          </w:tcPr>
          <w:p w14:paraId="16564957" w14:textId="77777777" w:rsidR="00BB3746" w:rsidRPr="00E92571" w:rsidRDefault="00BB3746" w:rsidP="002462BB">
            <w:pPr>
              <w:rPr>
                <w:rFonts w:cs="Arial"/>
                <w:sz w:val="20"/>
                <w:szCs w:val="20"/>
              </w:rPr>
            </w:pPr>
          </w:p>
        </w:tc>
        <w:tc>
          <w:tcPr>
            <w:tcW w:w="2693" w:type="dxa"/>
            <w:vMerge/>
          </w:tcPr>
          <w:p w14:paraId="07485C03" w14:textId="77777777" w:rsidR="00BB3746" w:rsidRPr="00E92571" w:rsidRDefault="00BB3746" w:rsidP="002462BB">
            <w:pPr>
              <w:rPr>
                <w:rFonts w:cs="Arial"/>
                <w:sz w:val="20"/>
                <w:szCs w:val="20"/>
              </w:rPr>
            </w:pPr>
          </w:p>
        </w:tc>
        <w:tc>
          <w:tcPr>
            <w:tcW w:w="1843" w:type="dxa"/>
            <w:vMerge/>
            <w:shd w:val="clear" w:color="auto" w:fill="auto"/>
            <w:vAlign w:val="center"/>
          </w:tcPr>
          <w:p w14:paraId="7DFE848D" w14:textId="77777777" w:rsidR="00BB3746" w:rsidRPr="00E92571" w:rsidRDefault="00BB3746" w:rsidP="002462BB">
            <w:pPr>
              <w:rPr>
                <w:rFonts w:cs="Arial"/>
                <w:sz w:val="20"/>
                <w:szCs w:val="20"/>
              </w:rPr>
            </w:pPr>
          </w:p>
        </w:tc>
        <w:tc>
          <w:tcPr>
            <w:tcW w:w="2178" w:type="dxa"/>
            <w:shd w:val="clear" w:color="auto" w:fill="auto"/>
            <w:vAlign w:val="center"/>
          </w:tcPr>
          <w:p w14:paraId="28300E89" w14:textId="77777777" w:rsidR="00BB3746" w:rsidRPr="00E92571" w:rsidRDefault="00BB3746" w:rsidP="002462BB">
            <w:pPr>
              <w:rPr>
                <w:rFonts w:cs="Arial"/>
                <w:sz w:val="20"/>
                <w:szCs w:val="20"/>
              </w:rPr>
            </w:pPr>
            <w:r w:rsidRPr="00E92571">
              <w:rPr>
                <w:rFonts w:cs="Arial"/>
                <w:sz w:val="20"/>
                <w:szCs w:val="20"/>
              </w:rPr>
              <w:t xml:space="preserve">Participants' perceptions of the quality of the workshop and engagement with PJDP and regional counterparts. </w:t>
            </w:r>
          </w:p>
        </w:tc>
        <w:tc>
          <w:tcPr>
            <w:tcW w:w="1559" w:type="dxa"/>
            <w:vMerge/>
            <w:shd w:val="clear" w:color="auto" w:fill="auto"/>
            <w:vAlign w:val="center"/>
          </w:tcPr>
          <w:p w14:paraId="56AA543E" w14:textId="77777777" w:rsidR="00BB3746" w:rsidRPr="00E92571" w:rsidRDefault="00BB3746" w:rsidP="002462BB">
            <w:pPr>
              <w:rPr>
                <w:rFonts w:cs="Arial"/>
                <w:sz w:val="20"/>
                <w:szCs w:val="20"/>
              </w:rPr>
            </w:pPr>
          </w:p>
        </w:tc>
        <w:tc>
          <w:tcPr>
            <w:tcW w:w="851" w:type="dxa"/>
            <w:vMerge/>
            <w:shd w:val="clear" w:color="auto" w:fill="auto"/>
            <w:vAlign w:val="center"/>
          </w:tcPr>
          <w:p w14:paraId="5F6EAA62" w14:textId="77777777" w:rsidR="00BB3746" w:rsidRPr="00E92571" w:rsidRDefault="00BB3746" w:rsidP="002462BB">
            <w:pPr>
              <w:rPr>
                <w:rFonts w:cs="Arial"/>
                <w:sz w:val="20"/>
                <w:szCs w:val="20"/>
              </w:rPr>
            </w:pPr>
          </w:p>
        </w:tc>
      </w:tr>
      <w:tr w:rsidR="008B63E1" w:rsidRPr="00E92571" w14:paraId="2092A2E5" w14:textId="77777777" w:rsidTr="000F6360">
        <w:trPr>
          <w:trHeight w:val="85"/>
          <w:jc w:val="center"/>
        </w:trPr>
        <w:tc>
          <w:tcPr>
            <w:tcW w:w="14454" w:type="dxa"/>
            <w:gridSpan w:val="8"/>
            <w:shd w:val="clear" w:color="auto" w:fill="F2F2F2" w:themeFill="background1" w:themeFillShade="F2"/>
            <w:vAlign w:val="center"/>
          </w:tcPr>
          <w:p w14:paraId="05D391F2" w14:textId="77777777" w:rsidR="008B63E1" w:rsidRPr="008B63E1" w:rsidRDefault="008B63E1" w:rsidP="002462BB">
            <w:pPr>
              <w:rPr>
                <w:rFonts w:cs="Arial"/>
                <w:b/>
              </w:rPr>
            </w:pPr>
            <w:r w:rsidRPr="008B63E1">
              <w:rPr>
                <w:rFonts w:cs="Arial"/>
                <w:b/>
                <w:sz w:val="22"/>
                <w:szCs w:val="22"/>
              </w:rPr>
              <w:t>2.3 Responsive Fund</w:t>
            </w:r>
          </w:p>
        </w:tc>
      </w:tr>
      <w:tr w:rsidR="00BB3746" w:rsidRPr="00E92571" w14:paraId="00CCB404" w14:textId="77777777" w:rsidTr="000F6360">
        <w:trPr>
          <w:trHeight w:val="85"/>
          <w:jc w:val="center"/>
        </w:trPr>
        <w:tc>
          <w:tcPr>
            <w:tcW w:w="1838" w:type="dxa"/>
            <w:shd w:val="clear" w:color="auto" w:fill="auto"/>
            <w:vAlign w:val="center"/>
          </w:tcPr>
          <w:p w14:paraId="347FE496" w14:textId="77777777" w:rsidR="00BB3746" w:rsidRPr="00E92571" w:rsidRDefault="00BB3746" w:rsidP="002462BB">
            <w:pPr>
              <w:rPr>
                <w:rFonts w:cs="Arial"/>
                <w:sz w:val="20"/>
                <w:szCs w:val="20"/>
              </w:rPr>
            </w:pPr>
            <w:r w:rsidRPr="00E92571">
              <w:rPr>
                <w:sz w:val="20"/>
                <w:szCs w:val="20"/>
              </w:rPr>
              <w:t>PICs increasingly manage their own locally-delivered development activities.</w:t>
            </w:r>
          </w:p>
        </w:tc>
        <w:tc>
          <w:tcPr>
            <w:tcW w:w="1694" w:type="dxa"/>
            <w:shd w:val="clear" w:color="auto" w:fill="auto"/>
            <w:vAlign w:val="center"/>
          </w:tcPr>
          <w:p w14:paraId="29712D94" w14:textId="77777777" w:rsidR="00BB3746" w:rsidRPr="00E92571" w:rsidRDefault="00BB3746" w:rsidP="002462BB">
            <w:pPr>
              <w:rPr>
                <w:rFonts w:cs="Arial"/>
                <w:sz w:val="20"/>
                <w:szCs w:val="20"/>
              </w:rPr>
            </w:pPr>
            <w:r w:rsidRPr="00E92571">
              <w:rPr>
                <w:rFonts w:cs="Arial"/>
                <w:sz w:val="20"/>
                <w:szCs w:val="20"/>
              </w:rPr>
              <w:t>90% of Responsive Fund allocated in LoV9 expended, 70% of activities achieve their aims and with less support from the PJDP Team.</w:t>
            </w:r>
          </w:p>
        </w:tc>
        <w:tc>
          <w:tcPr>
            <w:tcW w:w="1798" w:type="dxa"/>
            <w:shd w:val="clear" w:color="auto" w:fill="auto"/>
            <w:vAlign w:val="center"/>
          </w:tcPr>
          <w:p w14:paraId="75EE4D7F" w14:textId="77777777" w:rsidR="00BB3746" w:rsidRPr="00E92571" w:rsidRDefault="00BB3746" w:rsidP="002462BB">
            <w:pPr>
              <w:rPr>
                <w:rFonts w:cs="Arial"/>
                <w:sz w:val="20"/>
                <w:szCs w:val="20"/>
              </w:rPr>
            </w:pPr>
            <w:r w:rsidRPr="00E92571">
              <w:rPr>
                <w:rFonts w:cs="Arial"/>
                <w:sz w:val="20"/>
                <w:szCs w:val="20"/>
              </w:rPr>
              <w:t xml:space="preserve">No RF activities implemented. </w:t>
            </w:r>
          </w:p>
        </w:tc>
        <w:tc>
          <w:tcPr>
            <w:tcW w:w="2693" w:type="dxa"/>
            <w:vAlign w:val="center"/>
          </w:tcPr>
          <w:p w14:paraId="521FECF5" w14:textId="77777777" w:rsidR="00BB3746" w:rsidRPr="001733DF" w:rsidRDefault="00BB3746" w:rsidP="00952187">
            <w:pPr>
              <w:rPr>
                <w:sz w:val="20"/>
                <w:szCs w:val="20"/>
                <w:highlight w:val="yellow"/>
              </w:rPr>
            </w:pPr>
            <w:r w:rsidRPr="00C77BCC">
              <w:rPr>
                <w:sz w:val="20"/>
                <w:szCs w:val="20"/>
              </w:rPr>
              <w:t xml:space="preserve">13 PICs have submitted applications for funding. </w:t>
            </w:r>
            <w:r w:rsidR="00952187">
              <w:rPr>
                <w:sz w:val="20"/>
                <w:szCs w:val="20"/>
              </w:rPr>
              <w:t>21</w:t>
            </w:r>
            <w:r w:rsidR="00952187" w:rsidRPr="00C77BCC">
              <w:rPr>
                <w:sz w:val="20"/>
                <w:szCs w:val="20"/>
              </w:rPr>
              <w:t xml:space="preserve"> </w:t>
            </w:r>
            <w:r w:rsidRPr="00C77BCC">
              <w:rPr>
                <w:sz w:val="20"/>
                <w:szCs w:val="20"/>
              </w:rPr>
              <w:t>applications were received and 1</w:t>
            </w:r>
            <w:r w:rsidR="00952187">
              <w:rPr>
                <w:sz w:val="20"/>
                <w:szCs w:val="20"/>
              </w:rPr>
              <w:t>9</w:t>
            </w:r>
            <w:r w:rsidRPr="00C77BCC">
              <w:rPr>
                <w:sz w:val="20"/>
                <w:szCs w:val="20"/>
              </w:rPr>
              <w:t xml:space="preserve"> approved</w:t>
            </w:r>
            <w:r w:rsidRPr="00B40BC9">
              <w:rPr>
                <w:sz w:val="20"/>
                <w:szCs w:val="20"/>
              </w:rPr>
              <w:t xml:space="preserve">, indicative of increased capabilities </w:t>
            </w:r>
            <w:r>
              <w:rPr>
                <w:sz w:val="20"/>
                <w:szCs w:val="20"/>
              </w:rPr>
              <w:t>within</w:t>
            </w:r>
            <w:r w:rsidRPr="00B40BC9">
              <w:rPr>
                <w:sz w:val="20"/>
                <w:szCs w:val="20"/>
              </w:rPr>
              <w:t xml:space="preserve"> PICs to apply for </w:t>
            </w:r>
            <w:r>
              <w:rPr>
                <w:sz w:val="20"/>
                <w:szCs w:val="20"/>
              </w:rPr>
              <w:t xml:space="preserve">and implement </w:t>
            </w:r>
            <w:r w:rsidRPr="00B40BC9">
              <w:rPr>
                <w:sz w:val="20"/>
                <w:szCs w:val="20"/>
              </w:rPr>
              <w:t>priority development activities.</w:t>
            </w:r>
          </w:p>
        </w:tc>
        <w:tc>
          <w:tcPr>
            <w:tcW w:w="1843" w:type="dxa"/>
            <w:shd w:val="clear" w:color="auto" w:fill="auto"/>
            <w:vAlign w:val="center"/>
          </w:tcPr>
          <w:p w14:paraId="2DD25B88" w14:textId="77777777" w:rsidR="00BB3746" w:rsidRPr="00E92571" w:rsidRDefault="00BB3746" w:rsidP="002462BB">
            <w:pPr>
              <w:rPr>
                <w:rFonts w:cs="Arial"/>
                <w:sz w:val="20"/>
                <w:szCs w:val="20"/>
              </w:rPr>
            </w:pPr>
            <w:r w:rsidRPr="00E92571">
              <w:rPr>
                <w:sz w:val="20"/>
                <w:szCs w:val="20"/>
              </w:rPr>
              <w:t>All PICs successfully develop their capabilities to formulate cogent applications to support priority development activities and implement associated activities which achieve their aims.</w:t>
            </w:r>
          </w:p>
        </w:tc>
        <w:tc>
          <w:tcPr>
            <w:tcW w:w="2178" w:type="dxa"/>
            <w:shd w:val="clear" w:color="auto" w:fill="auto"/>
            <w:vAlign w:val="center"/>
          </w:tcPr>
          <w:p w14:paraId="7A0E32CA" w14:textId="77777777" w:rsidR="00BB3746" w:rsidRPr="00E92571" w:rsidRDefault="00BB3746" w:rsidP="002462BB">
            <w:pPr>
              <w:rPr>
                <w:rFonts w:cs="Arial"/>
                <w:sz w:val="20"/>
                <w:szCs w:val="20"/>
              </w:rPr>
            </w:pPr>
            <w:r w:rsidRPr="00E92571">
              <w:rPr>
                <w:rFonts w:cs="Arial"/>
                <w:sz w:val="20"/>
                <w:szCs w:val="20"/>
              </w:rPr>
              <w:t>Number of Responsive Fund applications successfully delivered with minimal assistance from the PJDP Team.</w:t>
            </w:r>
          </w:p>
          <w:p w14:paraId="0DBF6D0A" w14:textId="77777777" w:rsidR="00BB3746" w:rsidRPr="00E92571" w:rsidRDefault="00BB3746" w:rsidP="002462BB">
            <w:pPr>
              <w:rPr>
                <w:rFonts w:cs="Arial"/>
                <w:sz w:val="8"/>
                <w:szCs w:val="20"/>
              </w:rPr>
            </w:pPr>
          </w:p>
          <w:p w14:paraId="03C6E3A4" w14:textId="77777777" w:rsidR="00BB3746" w:rsidRPr="00E92571" w:rsidRDefault="00BB3746" w:rsidP="002462BB">
            <w:pPr>
              <w:rPr>
                <w:rFonts w:cs="Arial"/>
                <w:sz w:val="20"/>
                <w:szCs w:val="20"/>
              </w:rPr>
            </w:pPr>
            <w:r w:rsidRPr="00E92571">
              <w:rPr>
                <w:rFonts w:cs="Arial"/>
                <w:sz w:val="20"/>
                <w:szCs w:val="20"/>
              </w:rPr>
              <w:t>The Responsive Fund managed effectively and efficiently (including financial expenditure) by the MSC.</w:t>
            </w:r>
          </w:p>
        </w:tc>
        <w:tc>
          <w:tcPr>
            <w:tcW w:w="1559" w:type="dxa"/>
            <w:shd w:val="clear" w:color="auto" w:fill="auto"/>
            <w:vAlign w:val="center"/>
          </w:tcPr>
          <w:p w14:paraId="0017B73D" w14:textId="77777777" w:rsidR="00BB3746" w:rsidRPr="00E92571" w:rsidRDefault="00BB3746" w:rsidP="002462BB">
            <w:pPr>
              <w:rPr>
                <w:rFonts w:cs="Arial"/>
                <w:sz w:val="20"/>
                <w:szCs w:val="20"/>
              </w:rPr>
            </w:pPr>
            <w:r w:rsidRPr="00E92571">
              <w:rPr>
                <w:rFonts w:cs="Arial"/>
                <w:sz w:val="20"/>
                <w:szCs w:val="20"/>
              </w:rPr>
              <w:t xml:space="preserve">NC reports / MSC confirmation. </w:t>
            </w:r>
          </w:p>
          <w:p w14:paraId="28DD5C87" w14:textId="77777777" w:rsidR="00BB3746" w:rsidRPr="00E92571" w:rsidRDefault="00BB3746" w:rsidP="002462BB">
            <w:pPr>
              <w:rPr>
                <w:rFonts w:cs="Arial"/>
                <w:sz w:val="8"/>
                <w:szCs w:val="20"/>
              </w:rPr>
            </w:pPr>
          </w:p>
          <w:p w14:paraId="4F3377D1" w14:textId="77777777" w:rsidR="00BB3746" w:rsidRPr="00E92571" w:rsidRDefault="00BB3746" w:rsidP="002462BB">
            <w:pPr>
              <w:rPr>
                <w:rFonts w:cs="Arial"/>
                <w:sz w:val="20"/>
                <w:szCs w:val="20"/>
              </w:rPr>
            </w:pPr>
            <w:r w:rsidRPr="00E92571">
              <w:rPr>
                <w:rFonts w:cs="Arial"/>
                <w:sz w:val="20"/>
                <w:szCs w:val="20"/>
              </w:rPr>
              <w:t>MSC 6-monthly and annual progress reports.</w:t>
            </w:r>
          </w:p>
        </w:tc>
        <w:tc>
          <w:tcPr>
            <w:tcW w:w="851" w:type="dxa"/>
            <w:shd w:val="clear" w:color="auto" w:fill="auto"/>
            <w:vAlign w:val="center"/>
          </w:tcPr>
          <w:p w14:paraId="04886D10" w14:textId="77777777" w:rsidR="00BB3746" w:rsidRPr="00E92571" w:rsidRDefault="00BB3746" w:rsidP="002462BB">
            <w:pPr>
              <w:rPr>
                <w:rFonts w:cs="Arial"/>
                <w:sz w:val="20"/>
                <w:szCs w:val="20"/>
              </w:rPr>
            </w:pPr>
            <w:r w:rsidRPr="00E92571">
              <w:rPr>
                <w:rFonts w:cs="Arial"/>
                <w:sz w:val="20"/>
                <w:szCs w:val="20"/>
              </w:rPr>
              <w:t>NC / MSC</w:t>
            </w:r>
          </w:p>
        </w:tc>
      </w:tr>
      <w:tr w:rsidR="008B63E1" w:rsidRPr="00E92571" w14:paraId="75B6AE75" w14:textId="77777777" w:rsidTr="000F6360">
        <w:trPr>
          <w:trHeight w:val="190"/>
          <w:jc w:val="center"/>
        </w:trPr>
        <w:tc>
          <w:tcPr>
            <w:tcW w:w="14454" w:type="dxa"/>
            <w:gridSpan w:val="8"/>
            <w:shd w:val="clear" w:color="auto" w:fill="F2F2F2" w:themeFill="background1" w:themeFillShade="F2"/>
            <w:vAlign w:val="center"/>
          </w:tcPr>
          <w:p w14:paraId="4822AF94" w14:textId="77777777" w:rsidR="008B63E1" w:rsidRPr="008B63E1" w:rsidRDefault="008B63E1" w:rsidP="002462BB">
            <w:pPr>
              <w:spacing w:before="120"/>
              <w:rPr>
                <w:rFonts w:cs="Arial"/>
                <w:b/>
              </w:rPr>
            </w:pPr>
            <w:r w:rsidRPr="008B63E1">
              <w:rPr>
                <w:rFonts w:cs="Arial"/>
                <w:b/>
                <w:sz w:val="22"/>
                <w:szCs w:val="22"/>
              </w:rPr>
              <w:t>2.4 National Judicial Development Committee (NJDC) Project</w:t>
            </w:r>
          </w:p>
        </w:tc>
      </w:tr>
      <w:tr w:rsidR="00650570" w:rsidRPr="00E92571" w14:paraId="5528C29D" w14:textId="77777777" w:rsidTr="000F6360">
        <w:trPr>
          <w:trHeight w:val="190"/>
          <w:jc w:val="center"/>
        </w:trPr>
        <w:tc>
          <w:tcPr>
            <w:tcW w:w="1838" w:type="dxa"/>
            <w:vMerge w:val="restart"/>
            <w:shd w:val="clear" w:color="auto" w:fill="auto"/>
            <w:vAlign w:val="center"/>
          </w:tcPr>
          <w:p w14:paraId="7C4FC72B" w14:textId="77777777" w:rsidR="00650570" w:rsidRPr="00E92571" w:rsidRDefault="00650570" w:rsidP="002462BB">
            <w:pPr>
              <w:spacing w:before="120"/>
              <w:rPr>
                <w:rFonts w:cs="Arial"/>
                <w:b/>
                <w:bCs/>
                <w:szCs w:val="23"/>
              </w:rPr>
            </w:pPr>
            <w:r w:rsidRPr="00E92571">
              <w:rPr>
                <w:sz w:val="20"/>
                <w:szCs w:val="20"/>
              </w:rPr>
              <w:t xml:space="preserve">The capabilities of </w:t>
            </w:r>
            <w:r w:rsidRPr="00E92571">
              <w:rPr>
                <w:sz w:val="20"/>
                <w:szCs w:val="20"/>
              </w:rPr>
              <w:lastRenderedPageBreak/>
              <w:t>one PIC to strategically plan and manage local development are strengthened.</w:t>
            </w:r>
          </w:p>
        </w:tc>
        <w:tc>
          <w:tcPr>
            <w:tcW w:w="1694" w:type="dxa"/>
            <w:vMerge w:val="restart"/>
            <w:shd w:val="clear" w:color="auto" w:fill="auto"/>
            <w:vAlign w:val="center"/>
          </w:tcPr>
          <w:p w14:paraId="1B98C8D1" w14:textId="77777777" w:rsidR="00650570" w:rsidRPr="00E92571" w:rsidRDefault="00650570" w:rsidP="002462BB">
            <w:pPr>
              <w:spacing w:before="120"/>
              <w:rPr>
                <w:rFonts w:cs="Arial"/>
                <w:b/>
                <w:bCs/>
                <w:szCs w:val="23"/>
              </w:rPr>
            </w:pPr>
            <w:r w:rsidRPr="00E92571">
              <w:rPr>
                <w:rFonts w:cs="Arial"/>
                <w:sz w:val="20"/>
                <w:szCs w:val="20"/>
              </w:rPr>
              <w:lastRenderedPageBreak/>
              <w:t xml:space="preserve">One PIC has </w:t>
            </w:r>
            <w:r w:rsidRPr="00E92571">
              <w:rPr>
                <w:rFonts w:cs="Arial"/>
                <w:sz w:val="20"/>
                <w:szCs w:val="20"/>
              </w:rPr>
              <w:lastRenderedPageBreak/>
              <w:t>established NJDCs as a local mechanism to plan; assess, prioritise; and direct / lead local judicial development activities.</w:t>
            </w:r>
          </w:p>
        </w:tc>
        <w:tc>
          <w:tcPr>
            <w:tcW w:w="1798" w:type="dxa"/>
            <w:vMerge w:val="restart"/>
            <w:shd w:val="clear" w:color="auto" w:fill="auto"/>
            <w:vAlign w:val="center"/>
          </w:tcPr>
          <w:p w14:paraId="4F5CA7B5" w14:textId="77777777" w:rsidR="00650570" w:rsidRPr="00E92571" w:rsidRDefault="00650570" w:rsidP="002462BB">
            <w:pPr>
              <w:spacing w:before="120"/>
              <w:rPr>
                <w:rFonts w:cs="Arial"/>
                <w:b/>
                <w:bCs/>
                <w:szCs w:val="23"/>
              </w:rPr>
            </w:pPr>
            <w:r w:rsidRPr="00E92571">
              <w:rPr>
                <w:rFonts w:cs="Arial"/>
                <w:sz w:val="20"/>
                <w:szCs w:val="20"/>
              </w:rPr>
              <w:lastRenderedPageBreak/>
              <w:t xml:space="preserve">NJDCs exist in some </w:t>
            </w:r>
            <w:r w:rsidRPr="00E92571">
              <w:rPr>
                <w:rFonts w:cs="Arial"/>
                <w:sz w:val="20"/>
                <w:szCs w:val="20"/>
              </w:rPr>
              <w:lastRenderedPageBreak/>
              <w:t>but not all PICs with varying membership, roles, focus and levels of engagement in local judicial development.</w:t>
            </w:r>
          </w:p>
        </w:tc>
        <w:tc>
          <w:tcPr>
            <w:tcW w:w="2693" w:type="dxa"/>
            <w:vAlign w:val="center"/>
          </w:tcPr>
          <w:p w14:paraId="309AA3EB" w14:textId="77777777" w:rsidR="00650570" w:rsidRDefault="00650570" w:rsidP="002462BB">
            <w:pPr>
              <w:rPr>
                <w:sz w:val="20"/>
                <w:szCs w:val="20"/>
              </w:rPr>
            </w:pPr>
            <w:r>
              <w:rPr>
                <w:sz w:val="20"/>
                <w:szCs w:val="20"/>
              </w:rPr>
              <w:lastRenderedPageBreak/>
              <w:t>R</w:t>
            </w:r>
            <w:r w:rsidRPr="00B40BC9">
              <w:rPr>
                <w:sz w:val="20"/>
                <w:szCs w:val="20"/>
              </w:rPr>
              <w:t xml:space="preserve">efinement </w:t>
            </w:r>
            <w:r>
              <w:rPr>
                <w:sz w:val="20"/>
                <w:szCs w:val="20"/>
              </w:rPr>
              <w:t>of</w:t>
            </w:r>
            <w:r w:rsidRPr="00B40BC9">
              <w:rPr>
                <w:sz w:val="20"/>
                <w:szCs w:val="20"/>
              </w:rPr>
              <w:t xml:space="preserve"> the </w:t>
            </w:r>
            <w:r>
              <w:rPr>
                <w:sz w:val="20"/>
                <w:szCs w:val="20"/>
              </w:rPr>
              <w:t>T</w:t>
            </w:r>
            <w:r w:rsidRPr="00B40BC9">
              <w:rPr>
                <w:sz w:val="20"/>
                <w:szCs w:val="20"/>
              </w:rPr>
              <w:t xml:space="preserve">oolkit </w:t>
            </w:r>
            <w:r>
              <w:rPr>
                <w:sz w:val="20"/>
                <w:szCs w:val="20"/>
              </w:rPr>
              <w:t xml:space="preserve">has been undertaken </w:t>
            </w:r>
            <w:r w:rsidRPr="00B40BC9">
              <w:rPr>
                <w:sz w:val="20"/>
                <w:szCs w:val="20"/>
              </w:rPr>
              <w:t xml:space="preserve">following </w:t>
            </w:r>
            <w:r>
              <w:rPr>
                <w:sz w:val="20"/>
                <w:szCs w:val="20"/>
              </w:rPr>
              <w:lastRenderedPageBreak/>
              <w:t>implementation in one PIC (Cook Islands).</w:t>
            </w:r>
            <w:r w:rsidRPr="00B40BC9">
              <w:rPr>
                <w:sz w:val="20"/>
                <w:szCs w:val="20"/>
              </w:rPr>
              <w:t xml:space="preserve">The refined </w:t>
            </w:r>
            <w:r>
              <w:rPr>
                <w:sz w:val="20"/>
                <w:szCs w:val="20"/>
              </w:rPr>
              <w:t>T</w:t>
            </w:r>
            <w:r w:rsidRPr="00B40BC9">
              <w:rPr>
                <w:sz w:val="20"/>
                <w:szCs w:val="20"/>
              </w:rPr>
              <w:t xml:space="preserve">oolkit is </w:t>
            </w:r>
            <w:r>
              <w:rPr>
                <w:sz w:val="20"/>
                <w:szCs w:val="20"/>
              </w:rPr>
              <w:t xml:space="preserve">available on the PJDP website and is scheduled </w:t>
            </w:r>
            <w:r w:rsidRPr="00B40BC9">
              <w:rPr>
                <w:sz w:val="20"/>
                <w:szCs w:val="20"/>
              </w:rPr>
              <w:t>to be disseminated to all PICs for local use.</w:t>
            </w:r>
          </w:p>
          <w:p w14:paraId="378F4E0E" w14:textId="77777777" w:rsidR="00650570" w:rsidRDefault="00650570" w:rsidP="002462BB">
            <w:pPr>
              <w:rPr>
                <w:sz w:val="20"/>
                <w:szCs w:val="20"/>
              </w:rPr>
            </w:pPr>
          </w:p>
          <w:p w14:paraId="0FB24734" w14:textId="77777777" w:rsidR="00650570" w:rsidRPr="00B87185" w:rsidRDefault="00650570" w:rsidP="002462BB">
            <w:pPr>
              <w:rPr>
                <w:sz w:val="20"/>
                <w:szCs w:val="20"/>
              </w:rPr>
            </w:pPr>
          </w:p>
        </w:tc>
        <w:tc>
          <w:tcPr>
            <w:tcW w:w="1843" w:type="dxa"/>
            <w:vMerge w:val="restart"/>
            <w:shd w:val="clear" w:color="auto" w:fill="auto"/>
            <w:vAlign w:val="center"/>
          </w:tcPr>
          <w:p w14:paraId="456260BE" w14:textId="77777777" w:rsidR="00650570" w:rsidRPr="00E92571" w:rsidRDefault="00650570" w:rsidP="002462BB">
            <w:pPr>
              <w:rPr>
                <w:rFonts w:cs="Arial"/>
                <w:b/>
                <w:bCs/>
                <w:i/>
                <w:color w:val="FF0000"/>
                <w:sz w:val="20"/>
                <w:szCs w:val="20"/>
              </w:rPr>
            </w:pPr>
            <w:r>
              <w:rPr>
                <w:rFonts w:cs="Arial"/>
                <w:bCs/>
                <w:sz w:val="20"/>
                <w:szCs w:val="20"/>
              </w:rPr>
              <w:lastRenderedPageBreak/>
              <w:t>A</w:t>
            </w:r>
            <w:r w:rsidRPr="00E92571">
              <w:rPr>
                <w:rFonts w:cs="Arial"/>
                <w:bCs/>
                <w:sz w:val="20"/>
                <w:szCs w:val="20"/>
              </w:rPr>
              <w:t xml:space="preserve"> </w:t>
            </w:r>
            <w:r w:rsidRPr="00E92571">
              <w:rPr>
                <w:sz w:val="20"/>
                <w:szCs w:val="20"/>
              </w:rPr>
              <w:t xml:space="preserve">PIC can strategically plan and </w:t>
            </w:r>
            <w:r w:rsidRPr="00E92571">
              <w:rPr>
                <w:sz w:val="20"/>
                <w:szCs w:val="20"/>
              </w:rPr>
              <w:lastRenderedPageBreak/>
              <w:t>manage their local development programmes by operating development committees more effectively.</w:t>
            </w:r>
          </w:p>
          <w:p w14:paraId="6A264478" w14:textId="77777777" w:rsidR="00650570" w:rsidRPr="00E92571" w:rsidRDefault="00650570" w:rsidP="002462BB">
            <w:pPr>
              <w:spacing w:before="120"/>
              <w:rPr>
                <w:rFonts w:cs="Arial"/>
                <w:b/>
                <w:bCs/>
                <w:sz w:val="20"/>
                <w:szCs w:val="20"/>
              </w:rPr>
            </w:pPr>
          </w:p>
        </w:tc>
        <w:tc>
          <w:tcPr>
            <w:tcW w:w="2178" w:type="dxa"/>
            <w:vMerge w:val="restart"/>
            <w:shd w:val="clear" w:color="auto" w:fill="auto"/>
            <w:vAlign w:val="center"/>
          </w:tcPr>
          <w:p w14:paraId="591D9B90" w14:textId="77777777" w:rsidR="00650570" w:rsidRPr="00E92571" w:rsidRDefault="00650570" w:rsidP="002462BB">
            <w:pPr>
              <w:spacing w:before="120"/>
              <w:rPr>
                <w:rFonts w:cs="Arial"/>
                <w:sz w:val="20"/>
                <w:szCs w:val="20"/>
              </w:rPr>
            </w:pPr>
            <w:r w:rsidRPr="00E92571">
              <w:rPr>
                <w:rFonts w:cs="Arial"/>
                <w:sz w:val="20"/>
                <w:szCs w:val="20"/>
              </w:rPr>
              <w:lastRenderedPageBreak/>
              <w:t xml:space="preserve">MSC assistance to </w:t>
            </w:r>
            <w:r w:rsidRPr="00E92571">
              <w:rPr>
                <w:rFonts w:cs="Arial"/>
                <w:sz w:val="20"/>
                <w:szCs w:val="20"/>
              </w:rPr>
              <w:lastRenderedPageBreak/>
              <w:t>strengthen NJDCs is tailored to local context and needs.</w:t>
            </w:r>
          </w:p>
          <w:p w14:paraId="5FE5D9B3" w14:textId="77777777" w:rsidR="00650570" w:rsidRPr="00E92571" w:rsidRDefault="00650570" w:rsidP="002462BB">
            <w:pPr>
              <w:spacing w:before="120"/>
              <w:rPr>
                <w:rFonts w:cs="Arial"/>
                <w:b/>
                <w:bCs/>
                <w:szCs w:val="23"/>
              </w:rPr>
            </w:pPr>
            <w:r w:rsidRPr="00E92571">
              <w:rPr>
                <w:rFonts w:cs="Arial"/>
                <w:sz w:val="20"/>
                <w:szCs w:val="20"/>
              </w:rPr>
              <w:t>The number NJDCs operating and the quality of their contribution as key mechanisms for locally managed judicial development.</w:t>
            </w:r>
          </w:p>
        </w:tc>
        <w:tc>
          <w:tcPr>
            <w:tcW w:w="1559" w:type="dxa"/>
            <w:shd w:val="clear" w:color="auto" w:fill="auto"/>
            <w:vAlign w:val="center"/>
          </w:tcPr>
          <w:p w14:paraId="0FDD8192" w14:textId="77777777" w:rsidR="00650570" w:rsidRPr="00E92571" w:rsidRDefault="00650570" w:rsidP="002462BB">
            <w:pPr>
              <w:spacing w:before="120"/>
              <w:rPr>
                <w:rFonts w:cs="Arial"/>
                <w:b/>
                <w:bCs/>
                <w:szCs w:val="23"/>
              </w:rPr>
            </w:pPr>
            <w:r w:rsidRPr="00E92571">
              <w:rPr>
                <w:rFonts w:cs="Arial"/>
                <w:sz w:val="20"/>
                <w:szCs w:val="20"/>
              </w:rPr>
              <w:lastRenderedPageBreak/>
              <w:t>TA reports.</w:t>
            </w:r>
          </w:p>
        </w:tc>
        <w:tc>
          <w:tcPr>
            <w:tcW w:w="851" w:type="dxa"/>
            <w:shd w:val="clear" w:color="auto" w:fill="auto"/>
            <w:vAlign w:val="center"/>
          </w:tcPr>
          <w:p w14:paraId="3FC073D7" w14:textId="77777777" w:rsidR="00650570" w:rsidRPr="00E92571" w:rsidRDefault="00650570" w:rsidP="002462BB">
            <w:pPr>
              <w:spacing w:before="120"/>
              <w:rPr>
                <w:rFonts w:cs="Arial"/>
                <w:b/>
                <w:bCs/>
                <w:szCs w:val="23"/>
              </w:rPr>
            </w:pPr>
            <w:r w:rsidRPr="00E92571">
              <w:rPr>
                <w:rFonts w:cs="Arial"/>
                <w:sz w:val="20"/>
                <w:szCs w:val="20"/>
              </w:rPr>
              <w:t>TA</w:t>
            </w:r>
          </w:p>
        </w:tc>
      </w:tr>
      <w:tr w:rsidR="00650570" w:rsidRPr="00E92571" w14:paraId="2FEFACE9" w14:textId="77777777" w:rsidTr="000F6360">
        <w:trPr>
          <w:trHeight w:val="190"/>
          <w:jc w:val="center"/>
        </w:trPr>
        <w:tc>
          <w:tcPr>
            <w:tcW w:w="1838" w:type="dxa"/>
            <w:vMerge/>
            <w:shd w:val="clear" w:color="auto" w:fill="auto"/>
            <w:vAlign w:val="center"/>
          </w:tcPr>
          <w:p w14:paraId="17BEF421" w14:textId="77777777" w:rsidR="00650570" w:rsidRPr="00E92571" w:rsidRDefault="00650570" w:rsidP="002462BB">
            <w:pPr>
              <w:spacing w:before="120"/>
              <w:rPr>
                <w:sz w:val="20"/>
                <w:szCs w:val="20"/>
              </w:rPr>
            </w:pPr>
          </w:p>
        </w:tc>
        <w:tc>
          <w:tcPr>
            <w:tcW w:w="1694" w:type="dxa"/>
            <w:vMerge/>
            <w:shd w:val="clear" w:color="auto" w:fill="auto"/>
            <w:vAlign w:val="center"/>
          </w:tcPr>
          <w:p w14:paraId="13A84978" w14:textId="77777777" w:rsidR="00650570" w:rsidRPr="00E92571" w:rsidRDefault="00650570" w:rsidP="002462BB">
            <w:pPr>
              <w:spacing w:before="120"/>
              <w:rPr>
                <w:rFonts w:cs="Arial"/>
                <w:sz w:val="20"/>
                <w:szCs w:val="20"/>
              </w:rPr>
            </w:pPr>
          </w:p>
        </w:tc>
        <w:tc>
          <w:tcPr>
            <w:tcW w:w="1798" w:type="dxa"/>
            <w:vMerge/>
            <w:shd w:val="clear" w:color="auto" w:fill="auto"/>
            <w:vAlign w:val="center"/>
          </w:tcPr>
          <w:p w14:paraId="3A172BE7" w14:textId="77777777" w:rsidR="00650570" w:rsidRPr="00E92571" w:rsidRDefault="00650570" w:rsidP="002462BB">
            <w:pPr>
              <w:spacing w:before="120"/>
              <w:rPr>
                <w:rFonts w:cs="Arial"/>
                <w:sz w:val="20"/>
                <w:szCs w:val="20"/>
              </w:rPr>
            </w:pPr>
          </w:p>
        </w:tc>
        <w:tc>
          <w:tcPr>
            <w:tcW w:w="2693" w:type="dxa"/>
            <w:vAlign w:val="center"/>
          </w:tcPr>
          <w:p w14:paraId="25FC164F" w14:textId="77777777" w:rsidR="00650570" w:rsidRPr="00B40BC9" w:rsidDel="00952187" w:rsidRDefault="00650570" w:rsidP="002462BB">
            <w:pPr>
              <w:rPr>
                <w:sz w:val="20"/>
                <w:szCs w:val="20"/>
              </w:rPr>
            </w:pPr>
            <w:r>
              <w:rPr>
                <w:sz w:val="20"/>
                <w:szCs w:val="20"/>
              </w:rPr>
              <w:t>A Project Management Toolkit has been developed and will be piloted in 1 PIC over the coming months.</w:t>
            </w:r>
          </w:p>
        </w:tc>
        <w:tc>
          <w:tcPr>
            <w:tcW w:w="1843" w:type="dxa"/>
            <w:vMerge/>
            <w:shd w:val="clear" w:color="auto" w:fill="auto"/>
            <w:vAlign w:val="center"/>
          </w:tcPr>
          <w:p w14:paraId="52F0A2EC" w14:textId="77777777" w:rsidR="00650570" w:rsidRDefault="00650570" w:rsidP="002462BB">
            <w:pPr>
              <w:rPr>
                <w:rFonts w:cs="Arial"/>
                <w:bCs/>
                <w:sz w:val="20"/>
                <w:szCs w:val="20"/>
              </w:rPr>
            </w:pPr>
          </w:p>
        </w:tc>
        <w:tc>
          <w:tcPr>
            <w:tcW w:w="2178" w:type="dxa"/>
            <w:vMerge/>
            <w:shd w:val="clear" w:color="auto" w:fill="auto"/>
            <w:vAlign w:val="center"/>
          </w:tcPr>
          <w:p w14:paraId="74A729D9" w14:textId="77777777" w:rsidR="00650570" w:rsidRPr="00E92571" w:rsidRDefault="00650570" w:rsidP="002462BB">
            <w:pPr>
              <w:spacing w:before="120"/>
              <w:rPr>
                <w:rFonts w:cs="Arial"/>
                <w:sz w:val="20"/>
                <w:szCs w:val="20"/>
              </w:rPr>
            </w:pPr>
          </w:p>
        </w:tc>
        <w:tc>
          <w:tcPr>
            <w:tcW w:w="1559" w:type="dxa"/>
            <w:shd w:val="clear" w:color="auto" w:fill="auto"/>
            <w:vAlign w:val="center"/>
          </w:tcPr>
          <w:p w14:paraId="4BFD5C2C" w14:textId="77777777" w:rsidR="00650570" w:rsidRPr="00E92571" w:rsidRDefault="00650570" w:rsidP="002462BB">
            <w:pPr>
              <w:spacing w:before="120"/>
              <w:rPr>
                <w:rFonts w:cs="Arial"/>
                <w:sz w:val="20"/>
                <w:szCs w:val="20"/>
              </w:rPr>
            </w:pPr>
            <w:r>
              <w:rPr>
                <w:rFonts w:cs="Arial"/>
                <w:sz w:val="20"/>
                <w:szCs w:val="20"/>
              </w:rPr>
              <w:t>Toolkit and TA report.</w:t>
            </w:r>
          </w:p>
        </w:tc>
        <w:tc>
          <w:tcPr>
            <w:tcW w:w="851" w:type="dxa"/>
            <w:shd w:val="clear" w:color="auto" w:fill="auto"/>
            <w:vAlign w:val="center"/>
          </w:tcPr>
          <w:p w14:paraId="51C5E504" w14:textId="77777777" w:rsidR="00650570" w:rsidRPr="00E92571" w:rsidRDefault="00650570" w:rsidP="003C796B">
            <w:pPr>
              <w:spacing w:before="120"/>
              <w:rPr>
                <w:rFonts w:cs="Arial"/>
                <w:sz w:val="20"/>
                <w:szCs w:val="20"/>
              </w:rPr>
            </w:pPr>
            <w:r>
              <w:rPr>
                <w:rFonts w:cs="Arial"/>
                <w:sz w:val="20"/>
                <w:szCs w:val="20"/>
              </w:rPr>
              <w:t>TA</w:t>
            </w:r>
          </w:p>
        </w:tc>
      </w:tr>
      <w:tr w:rsidR="008B63E1" w:rsidRPr="00E92571" w14:paraId="79DE7C2F" w14:textId="77777777" w:rsidTr="000F6360">
        <w:trPr>
          <w:trHeight w:val="304"/>
          <w:jc w:val="center"/>
        </w:trPr>
        <w:tc>
          <w:tcPr>
            <w:tcW w:w="14454" w:type="dxa"/>
            <w:gridSpan w:val="8"/>
            <w:shd w:val="clear" w:color="auto" w:fill="BFBFBF" w:themeFill="background1" w:themeFillShade="BF"/>
            <w:vAlign w:val="center"/>
          </w:tcPr>
          <w:p w14:paraId="18C9340C" w14:textId="77777777" w:rsidR="008B63E1" w:rsidRPr="008B63E1" w:rsidRDefault="008B63E1" w:rsidP="002462BB">
            <w:pPr>
              <w:spacing w:before="120"/>
              <w:rPr>
                <w:rFonts w:cs="Arial"/>
                <w:b/>
              </w:rPr>
            </w:pPr>
            <w:r w:rsidRPr="008B63E1">
              <w:rPr>
                <w:rFonts w:cs="Arial"/>
                <w:b/>
                <w:sz w:val="22"/>
                <w:szCs w:val="22"/>
              </w:rPr>
              <w:t>3.0 Systems and Processes</w:t>
            </w:r>
          </w:p>
        </w:tc>
      </w:tr>
      <w:tr w:rsidR="00BB3746" w:rsidRPr="00E92571" w14:paraId="7B2BF8A3" w14:textId="77777777" w:rsidTr="000F6360">
        <w:trPr>
          <w:trHeight w:val="2219"/>
          <w:jc w:val="center"/>
        </w:trPr>
        <w:tc>
          <w:tcPr>
            <w:tcW w:w="1838" w:type="dxa"/>
            <w:vMerge w:val="restart"/>
            <w:shd w:val="clear" w:color="auto" w:fill="auto"/>
            <w:vAlign w:val="center"/>
          </w:tcPr>
          <w:p w14:paraId="674F1062" w14:textId="77777777" w:rsidR="00BB3746" w:rsidRPr="00E92571" w:rsidRDefault="00BB3746" w:rsidP="002462BB">
            <w:pPr>
              <w:spacing w:before="120"/>
              <w:rPr>
                <w:sz w:val="20"/>
                <w:szCs w:val="20"/>
              </w:rPr>
            </w:pPr>
            <w:r w:rsidRPr="00E92571">
              <w:rPr>
                <w:sz w:val="20"/>
                <w:szCs w:val="20"/>
              </w:rPr>
              <w:t>Courts’ capabilities to dispose of cases efficiently are improved in up to six PICs, and their ability to regularly report on performance is improved in up to six PICs.</w:t>
            </w:r>
          </w:p>
          <w:p w14:paraId="5F345C70" w14:textId="77777777" w:rsidR="00BB3746" w:rsidRPr="00E92571" w:rsidRDefault="00BB3746" w:rsidP="002462BB">
            <w:pPr>
              <w:spacing w:before="120"/>
              <w:rPr>
                <w:sz w:val="20"/>
                <w:szCs w:val="20"/>
              </w:rPr>
            </w:pPr>
          </w:p>
          <w:p w14:paraId="76CB108C" w14:textId="77777777" w:rsidR="00BB3746" w:rsidRPr="00E92571" w:rsidRDefault="00BB3746" w:rsidP="002462BB">
            <w:pPr>
              <w:spacing w:before="120"/>
              <w:rPr>
                <w:rFonts w:cs="Arial"/>
                <w:b/>
                <w:bCs/>
                <w:sz w:val="20"/>
                <w:szCs w:val="20"/>
              </w:rPr>
            </w:pPr>
          </w:p>
        </w:tc>
        <w:tc>
          <w:tcPr>
            <w:tcW w:w="1694" w:type="dxa"/>
            <w:vMerge w:val="restart"/>
            <w:shd w:val="clear" w:color="auto" w:fill="auto"/>
            <w:vAlign w:val="center"/>
          </w:tcPr>
          <w:p w14:paraId="6746BF39" w14:textId="77777777" w:rsidR="00BB3746" w:rsidRPr="00E92571" w:rsidRDefault="00BB3746" w:rsidP="002462BB">
            <w:pPr>
              <w:spacing w:before="120"/>
              <w:rPr>
                <w:rFonts w:cs="Arial"/>
                <w:b/>
                <w:bCs/>
                <w:szCs w:val="23"/>
              </w:rPr>
            </w:pPr>
            <w:r w:rsidRPr="00E92571">
              <w:rPr>
                <w:rFonts w:cs="Arial"/>
                <w:sz w:val="20"/>
                <w:szCs w:val="20"/>
              </w:rPr>
              <w:lastRenderedPageBreak/>
              <w:t xml:space="preserve">Two PICs are using PJDP facilitated Registry / Court plans developed to undertake reforms.  All PICs have: increased capacity to assess court performance; and </w:t>
            </w:r>
            <w:r w:rsidRPr="00E92571">
              <w:rPr>
                <w:rFonts w:cs="Arial"/>
                <w:sz w:val="20"/>
                <w:szCs w:val="20"/>
              </w:rPr>
              <w:lastRenderedPageBreak/>
              <w:t>have access to the tools need to  enable them to increase transparency and accountability through the development of Annual Court Reports</w:t>
            </w:r>
          </w:p>
        </w:tc>
        <w:tc>
          <w:tcPr>
            <w:tcW w:w="1798" w:type="dxa"/>
            <w:vMerge w:val="restart"/>
            <w:shd w:val="clear" w:color="auto" w:fill="auto"/>
            <w:vAlign w:val="center"/>
          </w:tcPr>
          <w:p w14:paraId="2022CAFF" w14:textId="77777777" w:rsidR="00BB3746" w:rsidRPr="00E92571" w:rsidRDefault="00BB3746" w:rsidP="002462BB">
            <w:pPr>
              <w:rPr>
                <w:rFonts w:cs="Arial"/>
                <w:sz w:val="20"/>
                <w:szCs w:val="20"/>
              </w:rPr>
            </w:pPr>
            <w:r w:rsidRPr="00E92571">
              <w:rPr>
                <w:rFonts w:cs="Arial"/>
                <w:sz w:val="20"/>
                <w:szCs w:val="20"/>
              </w:rPr>
              <w:lastRenderedPageBreak/>
              <w:t xml:space="preserve">Approaches to collecting and using judicial and court administration data for diagnosis (problem identification) and treatment (local development plans) </w:t>
            </w:r>
            <w:r w:rsidRPr="00E92571">
              <w:rPr>
                <w:rFonts w:cs="Arial"/>
                <w:sz w:val="20"/>
                <w:szCs w:val="20"/>
              </w:rPr>
              <w:lastRenderedPageBreak/>
              <w:t>are inconsistent across the region.  There is no judicial and court baseline data utilising a common set of indicators, regional strategy or local development plans in PICs to improve court operations (including registry systems and processes).</w:t>
            </w:r>
          </w:p>
          <w:p w14:paraId="71D25194" w14:textId="77777777" w:rsidR="00BB3746" w:rsidRPr="00E92571" w:rsidRDefault="00BB3746" w:rsidP="002462BB">
            <w:pPr>
              <w:spacing w:before="120"/>
              <w:rPr>
                <w:rFonts w:cs="Arial"/>
                <w:b/>
                <w:bCs/>
                <w:szCs w:val="23"/>
              </w:rPr>
            </w:pPr>
          </w:p>
        </w:tc>
        <w:tc>
          <w:tcPr>
            <w:tcW w:w="2693" w:type="dxa"/>
            <w:vMerge w:val="restart"/>
            <w:vAlign w:val="center"/>
          </w:tcPr>
          <w:p w14:paraId="2C909CC5" w14:textId="77777777" w:rsidR="00BB3746" w:rsidRPr="001A3465" w:rsidRDefault="00BB3746" w:rsidP="002462BB">
            <w:pPr>
              <w:tabs>
                <w:tab w:val="left" w:pos="26"/>
              </w:tabs>
              <w:rPr>
                <w:sz w:val="20"/>
                <w:szCs w:val="20"/>
              </w:rPr>
            </w:pPr>
            <w:r>
              <w:rPr>
                <w:sz w:val="20"/>
                <w:szCs w:val="20"/>
              </w:rPr>
              <w:lastRenderedPageBreak/>
              <w:t>Further refinements</w:t>
            </w:r>
            <w:r w:rsidRPr="001A3465">
              <w:rPr>
                <w:sz w:val="20"/>
                <w:szCs w:val="20"/>
              </w:rPr>
              <w:t xml:space="preserve"> of </w:t>
            </w:r>
            <w:r>
              <w:rPr>
                <w:sz w:val="20"/>
                <w:szCs w:val="20"/>
              </w:rPr>
              <w:t>the Time Standards T</w:t>
            </w:r>
            <w:r w:rsidRPr="001A3465">
              <w:rPr>
                <w:sz w:val="20"/>
                <w:szCs w:val="20"/>
              </w:rPr>
              <w:t xml:space="preserve">oolkit </w:t>
            </w:r>
            <w:r>
              <w:rPr>
                <w:sz w:val="20"/>
                <w:szCs w:val="20"/>
              </w:rPr>
              <w:t>have been completed</w:t>
            </w:r>
            <w:r w:rsidRPr="001A3465">
              <w:rPr>
                <w:sz w:val="20"/>
                <w:szCs w:val="20"/>
              </w:rPr>
              <w:t xml:space="preserve"> </w:t>
            </w:r>
            <w:r>
              <w:rPr>
                <w:sz w:val="20"/>
                <w:szCs w:val="20"/>
              </w:rPr>
              <w:t>with i</w:t>
            </w:r>
            <w:r w:rsidRPr="001A3465">
              <w:rPr>
                <w:sz w:val="20"/>
                <w:szCs w:val="20"/>
              </w:rPr>
              <w:t xml:space="preserve">mplementation </w:t>
            </w:r>
            <w:r w:rsidR="000F576F">
              <w:rPr>
                <w:sz w:val="20"/>
                <w:szCs w:val="20"/>
              </w:rPr>
              <w:t>in</w:t>
            </w:r>
            <w:r>
              <w:rPr>
                <w:sz w:val="20"/>
                <w:szCs w:val="20"/>
              </w:rPr>
              <w:t xml:space="preserve"> t</w:t>
            </w:r>
            <w:r w:rsidR="000F576F">
              <w:rPr>
                <w:sz w:val="20"/>
                <w:szCs w:val="20"/>
              </w:rPr>
              <w:t>hree</w:t>
            </w:r>
            <w:r>
              <w:rPr>
                <w:sz w:val="20"/>
                <w:szCs w:val="20"/>
              </w:rPr>
              <w:t xml:space="preserve"> PICs</w:t>
            </w:r>
            <w:r w:rsidR="000F576F">
              <w:rPr>
                <w:sz w:val="20"/>
                <w:szCs w:val="20"/>
              </w:rPr>
              <w:t xml:space="preserve">. </w:t>
            </w:r>
            <w:r w:rsidRPr="001A3465">
              <w:rPr>
                <w:sz w:val="20"/>
                <w:szCs w:val="20"/>
              </w:rPr>
              <w:t xml:space="preserve">Delay Reduction Toolkit has been </w:t>
            </w:r>
            <w:r>
              <w:rPr>
                <w:sz w:val="20"/>
                <w:szCs w:val="20"/>
              </w:rPr>
              <w:t xml:space="preserve">piloted </w:t>
            </w:r>
            <w:r w:rsidRPr="001A3465">
              <w:rPr>
                <w:sz w:val="20"/>
                <w:szCs w:val="20"/>
              </w:rPr>
              <w:t xml:space="preserve">in </w:t>
            </w:r>
            <w:r>
              <w:rPr>
                <w:sz w:val="20"/>
                <w:szCs w:val="20"/>
              </w:rPr>
              <w:t>one PIC.</w:t>
            </w:r>
            <w:r w:rsidR="000F576F">
              <w:rPr>
                <w:sz w:val="20"/>
                <w:szCs w:val="20"/>
              </w:rPr>
              <w:t xml:space="preserve"> Launch of </w:t>
            </w:r>
            <w:r w:rsidR="00650570">
              <w:rPr>
                <w:sz w:val="20"/>
                <w:szCs w:val="20"/>
              </w:rPr>
              <w:t>an</w:t>
            </w:r>
            <w:r w:rsidR="000F576F">
              <w:rPr>
                <w:sz w:val="20"/>
                <w:szCs w:val="20"/>
              </w:rPr>
              <w:t xml:space="preserve"> ITOF to facilitate interaction between court </w:t>
            </w:r>
            <w:r w:rsidR="00650570">
              <w:rPr>
                <w:sz w:val="20"/>
                <w:szCs w:val="20"/>
              </w:rPr>
              <w:t xml:space="preserve">IT </w:t>
            </w:r>
            <w:r w:rsidR="000F576F">
              <w:rPr>
                <w:sz w:val="20"/>
                <w:szCs w:val="20"/>
              </w:rPr>
              <w:t>personnel.</w:t>
            </w:r>
          </w:p>
          <w:p w14:paraId="42DAEABD" w14:textId="77777777" w:rsidR="00BB3746" w:rsidRDefault="00BB3746" w:rsidP="002462BB">
            <w:pPr>
              <w:rPr>
                <w:rFonts w:cs="Arial"/>
                <w:bCs/>
                <w:sz w:val="20"/>
                <w:szCs w:val="20"/>
              </w:rPr>
            </w:pPr>
          </w:p>
          <w:p w14:paraId="636C1ED6" w14:textId="77777777" w:rsidR="00BB3746" w:rsidRPr="00B40BC9" w:rsidRDefault="00BB3746" w:rsidP="002462BB">
            <w:pPr>
              <w:rPr>
                <w:rFonts w:cs="Arial"/>
                <w:bCs/>
                <w:sz w:val="20"/>
                <w:szCs w:val="20"/>
              </w:rPr>
            </w:pPr>
            <w:r w:rsidRPr="00B40BC9">
              <w:rPr>
                <w:rFonts w:cs="Arial"/>
                <w:bCs/>
                <w:sz w:val="20"/>
                <w:szCs w:val="20"/>
              </w:rPr>
              <w:lastRenderedPageBreak/>
              <w:t xml:space="preserve">Annual reporting toolkit has been implemented in six PICs via the Court Annual Reporting Workshop, and ongoing support </w:t>
            </w:r>
            <w:r w:rsidR="000F576F">
              <w:rPr>
                <w:rFonts w:cs="Arial"/>
                <w:bCs/>
                <w:sz w:val="20"/>
                <w:szCs w:val="20"/>
              </w:rPr>
              <w:t>has been provided to support publication of those PICs annual reports.</w:t>
            </w:r>
            <w:r w:rsidR="000F576F" w:rsidRPr="00B40BC9">
              <w:rPr>
                <w:rFonts w:cs="Arial"/>
                <w:bCs/>
                <w:sz w:val="20"/>
                <w:szCs w:val="20"/>
              </w:rPr>
              <w:t xml:space="preserve"> </w:t>
            </w:r>
          </w:p>
          <w:p w14:paraId="45E7F133" w14:textId="77777777" w:rsidR="00BB3746" w:rsidRDefault="00BB3746" w:rsidP="002462BB">
            <w:pPr>
              <w:rPr>
                <w:rFonts w:cs="Arial"/>
                <w:bCs/>
                <w:sz w:val="20"/>
                <w:szCs w:val="20"/>
              </w:rPr>
            </w:pPr>
          </w:p>
          <w:p w14:paraId="6E1D1C39" w14:textId="77777777" w:rsidR="00BB3746" w:rsidRPr="00E92571" w:rsidRDefault="003D40ED" w:rsidP="003D40ED">
            <w:pPr>
              <w:rPr>
                <w:sz w:val="20"/>
                <w:szCs w:val="20"/>
              </w:rPr>
            </w:pPr>
            <w:r>
              <w:rPr>
                <w:rFonts w:cs="Arial"/>
                <w:bCs/>
                <w:sz w:val="20"/>
                <w:szCs w:val="20"/>
              </w:rPr>
              <w:t>Planned i</w:t>
            </w:r>
            <w:r w:rsidR="00BB3746" w:rsidRPr="00B40BC9">
              <w:rPr>
                <w:rFonts w:cs="Arial"/>
                <w:bCs/>
                <w:sz w:val="20"/>
                <w:szCs w:val="20"/>
              </w:rPr>
              <w:t>nteraction with 14 PICs</w:t>
            </w:r>
            <w:r>
              <w:rPr>
                <w:rFonts w:cs="Arial"/>
                <w:bCs/>
                <w:sz w:val="20"/>
                <w:szCs w:val="20"/>
              </w:rPr>
              <w:t xml:space="preserve"> remotely and at the scheduled NCs Meeting in October 2014 will inform the collection of court performance data for the planned 2014 Trend Report.</w:t>
            </w:r>
          </w:p>
        </w:tc>
        <w:tc>
          <w:tcPr>
            <w:tcW w:w="1843" w:type="dxa"/>
            <w:vMerge w:val="restart"/>
            <w:shd w:val="clear" w:color="auto" w:fill="auto"/>
            <w:vAlign w:val="center"/>
          </w:tcPr>
          <w:p w14:paraId="6DD0A9B8" w14:textId="77777777" w:rsidR="00BB3746" w:rsidRPr="00E92571" w:rsidRDefault="00BB3746" w:rsidP="002462BB">
            <w:pPr>
              <w:rPr>
                <w:sz w:val="20"/>
                <w:szCs w:val="20"/>
                <w:lang w:eastAsia="en-US"/>
              </w:rPr>
            </w:pPr>
            <w:r w:rsidRPr="00E92571">
              <w:rPr>
                <w:sz w:val="20"/>
                <w:szCs w:val="20"/>
              </w:rPr>
              <w:lastRenderedPageBreak/>
              <w:t>PICs better equipped to collect, use and report on judicial performance data and dispose of cases efficiently.</w:t>
            </w:r>
          </w:p>
          <w:p w14:paraId="790BF126" w14:textId="77777777" w:rsidR="00BB3746" w:rsidRPr="00E92571" w:rsidRDefault="00BB3746" w:rsidP="002462BB">
            <w:pPr>
              <w:spacing w:before="120"/>
              <w:rPr>
                <w:rFonts w:cs="Arial"/>
                <w:b/>
                <w:bCs/>
                <w:szCs w:val="23"/>
              </w:rPr>
            </w:pPr>
          </w:p>
        </w:tc>
        <w:tc>
          <w:tcPr>
            <w:tcW w:w="2178" w:type="dxa"/>
            <w:shd w:val="clear" w:color="auto" w:fill="auto"/>
            <w:vAlign w:val="center"/>
          </w:tcPr>
          <w:p w14:paraId="5A2F4201" w14:textId="77777777" w:rsidR="00BB3746" w:rsidRPr="00E92571" w:rsidRDefault="00BB3746" w:rsidP="002462BB">
            <w:pPr>
              <w:spacing w:before="120"/>
              <w:rPr>
                <w:rFonts w:cs="Arial"/>
                <w:b/>
                <w:bCs/>
                <w:szCs w:val="23"/>
              </w:rPr>
            </w:pPr>
            <w:r w:rsidRPr="00E92571">
              <w:rPr>
                <w:rFonts w:cs="Arial"/>
                <w:sz w:val="20"/>
                <w:szCs w:val="20"/>
              </w:rPr>
              <w:t>The level of progress made by up to three PICs implementing their development plans.</w:t>
            </w:r>
          </w:p>
        </w:tc>
        <w:tc>
          <w:tcPr>
            <w:tcW w:w="1559" w:type="dxa"/>
            <w:vMerge w:val="restart"/>
            <w:shd w:val="clear" w:color="auto" w:fill="auto"/>
            <w:vAlign w:val="center"/>
          </w:tcPr>
          <w:p w14:paraId="6203FC4C" w14:textId="77777777" w:rsidR="00BB3746" w:rsidRPr="00E92571" w:rsidRDefault="00BB3746" w:rsidP="002462BB">
            <w:pPr>
              <w:spacing w:before="120"/>
              <w:rPr>
                <w:rFonts w:cs="Arial"/>
                <w:b/>
                <w:bCs/>
                <w:szCs w:val="23"/>
              </w:rPr>
            </w:pPr>
            <w:r w:rsidRPr="00E92571">
              <w:rPr>
                <w:rFonts w:cs="Arial"/>
                <w:sz w:val="20"/>
                <w:szCs w:val="20"/>
              </w:rPr>
              <w:t>TA reports.</w:t>
            </w:r>
          </w:p>
        </w:tc>
        <w:tc>
          <w:tcPr>
            <w:tcW w:w="851" w:type="dxa"/>
            <w:vMerge w:val="restart"/>
            <w:shd w:val="clear" w:color="auto" w:fill="auto"/>
            <w:vAlign w:val="center"/>
          </w:tcPr>
          <w:p w14:paraId="4DF2EAF1" w14:textId="77777777" w:rsidR="00BB3746" w:rsidRPr="00E92571" w:rsidRDefault="00BB3746" w:rsidP="002462BB">
            <w:pPr>
              <w:spacing w:before="120"/>
              <w:rPr>
                <w:rFonts w:cs="Arial"/>
                <w:b/>
                <w:bCs/>
                <w:szCs w:val="23"/>
              </w:rPr>
            </w:pPr>
            <w:r w:rsidRPr="00E92571">
              <w:rPr>
                <w:rFonts w:cs="Arial"/>
                <w:sz w:val="20"/>
                <w:szCs w:val="20"/>
              </w:rPr>
              <w:t>TAs</w:t>
            </w:r>
          </w:p>
        </w:tc>
      </w:tr>
      <w:tr w:rsidR="00BB3746" w:rsidRPr="00E92571" w14:paraId="0E607DC1" w14:textId="77777777" w:rsidTr="000F6360">
        <w:trPr>
          <w:trHeight w:val="3255"/>
          <w:jc w:val="center"/>
        </w:trPr>
        <w:tc>
          <w:tcPr>
            <w:tcW w:w="1838" w:type="dxa"/>
            <w:vMerge/>
            <w:shd w:val="clear" w:color="auto" w:fill="auto"/>
            <w:vAlign w:val="center"/>
          </w:tcPr>
          <w:p w14:paraId="60EE844B" w14:textId="77777777" w:rsidR="00BB3746" w:rsidRPr="00E92571" w:rsidRDefault="00BB3746" w:rsidP="002462BB">
            <w:pPr>
              <w:spacing w:before="120"/>
              <w:rPr>
                <w:sz w:val="20"/>
                <w:szCs w:val="20"/>
              </w:rPr>
            </w:pPr>
          </w:p>
        </w:tc>
        <w:tc>
          <w:tcPr>
            <w:tcW w:w="1694" w:type="dxa"/>
            <w:vMerge/>
            <w:shd w:val="clear" w:color="auto" w:fill="auto"/>
            <w:vAlign w:val="center"/>
          </w:tcPr>
          <w:p w14:paraId="39560D7C" w14:textId="77777777" w:rsidR="00BB3746" w:rsidRPr="00E92571" w:rsidRDefault="00BB3746" w:rsidP="002462BB">
            <w:pPr>
              <w:spacing w:before="120"/>
              <w:rPr>
                <w:rFonts w:cs="Arial"/>
                <w:sz w:val="20"/>
                <w:szCs w:val="20"/>
              </w:rPr>
            </w:pPr>
          </w:p>
        </w:tc>
        <w:tc>
          <w:tcPr>
            <w:tcW w:w="1798" w:type="dxa"/>
            <w:vMerge/>
            <w:shd w:val="clear" w:color="auto" w:fill="auto"/>
            <w:vAlign w:val="center"/>
          </w:tcPr>
          <w:p w14:paraId="35501887" w14:textId="77777777" w:rsidR="00BB3746" w:rsidRPr="00E92571" w:rsidRDefault="00BB3746" w:rsidP="002462BB">
            <w:pPr>
              <w:rPr>
                <w:rFonts w:cs="Arial"/>
                <w:sz w:val="20"/>
                <w:szCs w:val="20"/>
              </w:rPr>
            </w:pPr>
          </w:p>
        </w:tc>
        <w:tc>
          <w:tcPr>
            <w:tcW w:w="2693" w:type="dxa"/>
            <w:vMerge/>
          </w:tcPr>
          <w:p w14:paraId="5CC9BBA6" w14:textId="77777777" w:rsidR="00BB3746" w:rsidRPr="00E92571" w:rsidRDefault="00BB3746" w:rsidP="002462BB">
            <w:pPr>
              <w:rPr>
                <w:sz w:val="20"/>
                <w:szCs w:val="20"/>
              </w:rPr>
            </w:pPr>
          </w:p>
        </w:tc>
        <w:tc>
          <w:tcPr>
            <w:tcW w:w="1843" w:type="dxa"/>
            <w:vMerge/>
            <w:shd w:val="clear" w:color="auto" w:fill="auto"/>
            <w:vAlign w:val="center"/>
          </w:tcPr>
          <w:p w14:paraId="4230A985" w14:textId="77777777" w:rsidR="00BB3746" w:rsidRPr="00E92571" w:rsidRDefault="00BB3746" w:rsidP="002462BB">
            <w:pPr>
              <w:rPr>
                <w:sz w:val="20"/>
                <w:szCs w:val="20"/>
              </w:rPr>
            </w:pPr>
          </w:p>
        </w:tc>
        <w:tc>
          <w:tcPr>
            <w:tcW w:w="2178" w:type="dxa"/>
            <w:shd w:val="clear" w:color="auto" w:fill="auto"/>
            <w:vAlign w:val="center"/>
          </w:tcPr>
          <w:p w14:paraId="5FE42177" w14:textId="77777777" w:rsidR="00BB3746" w:rsidRPr="00E92571" w:rsidRDefault="00BB3746" w:rsidP="002462BB">
            <w:pPr>
              <w:spacing w:before="120"/>
              <w:rPr>
                <w:rFonts w:cs="Arial"/>
                <w:sz w:val="20"/>
                <w:szCs w:val="20"/>
              </w:rPr>
            </w:pPr>
            <w:r w:rsidRPr="00E92571">
              <w:rPr>
                <w:rFonts w:cs="Arial"/>
                <w:sz w:val="20"/>
                <w:szCs w:val="20"/>
              </w:rPr>
              <w:t>The comprehensiveness of court data across multiple indicators being collected and reported on annually and the number of participating PICs.</w:t>
            </w:r>
          </w:p>
        </w:tc>
        <w:tc>
          <w:tcPr>
            <w:tcW w:w="1559" w:type="dxa"/>
            <w:vMerge/>
            <w:shd w:val="clear" w:color="auto" w:fill="auto"/>
            <w:vAlign w:val="center"/>
          </w:tcPr>
          <w:p w14:paraId="4DE4BD61" w14:textId="77777777" w:rsidR="00BB3746" w:rsidRPr="00E92571" w:rsidRDefault="00BB3746" w:rsidP="002462BB">
            <w:pPr>
              <w:spacing w:before="120"/>
              <w:rPr>
                <w:rFonts w:cs="Arial"/>
                <w:sz w:val="20"/>
                <w:szCs w:val="20"/>
              </w:rPr>
            </w:pPr>
          </w:p>
        </w:tc>
        <w:tc>
          <w:tcPr>
            <w:tcW w:w="851" w:type="dxa"/>
            <w:vMerge/>
            <w:shd w:val="clear" w:color="auto" w:fill="auto"/>
            <w:vAlign w:val="center"/>
          </w:tcPr>
          <w:p w14:paraId="5B420256" w14:textId="77777777" w:rsidR="00BB3746" w:rsidRPr="00E92571" w:rsidRDefault="00BB3746" w:rsidP="002462BB">
            <w:pPr>
              <w:spacing w:before="120"/>
              <w:rPr>
                <w:rFonts w:cs="Arial"/>
                <w:sz w:val="20"/>
                <w:szCs w:val="20"/>
              </w:rPr>
            </w:pPr>
          </w:p>
        </w:tc>
      </w:tr>
      <w:tr w:rsidR="00BB3746" w:rsidRPr="00E92571" w14:paraId="42AAB50A" w14:textId="77777777" w:rsidTr="000F6360">
        <w:trPr>
          <w:trHeight w:val="53"/>
          <w:jc w:val="center"/>
        </w:trPr>
        <w:tc>
          <w:tcPr>
            <w:tcW w:w="1838" w:type="dxa"/>
            <w:vMerge/>
            <w:shd w:val="clear" w:color="auto" w:fill="auto"/>
            <w:vAlign w:val="center"/>
          </w:tcPr>
          <w:p w14:paraId="26C506CB" w14:textId="77777777" w:rsidR="00BB3746" w:rsidRPr="00E92571" w:rsidRDefault="00BB3746" w:rsidP="002462BB">
            <w:pPr>
              <w:spacing w:before="120"/>
              <w:rPr>
                <w:sz w:val="20"/>
                <w:szCs w:val="20"/>
              </w:rPr>
            </w:pPr>
          </w:p>
        </w:tc>
        <w:tc>
          <w:tcPr>
            <w:tcW w:w="1694" w:type="dxa"/>
            <w:vMerge/>
            <w:shd w:val="clear" w:color="auto" w:fill="auto"/>
            <w:vAlign w:val="center"/>
          </w:tcPr>
          <w:p w14:paraId="6FA25DA1" w14:textId="77777777" w:rsidR="00BB3746" w:rsidRPr="00E92571" w:rsidRDefault="00BB3746" w:rsidP="002462BB">
            <w:pPr>
              <w:spacing w:before="120"/>
              <w:rPr>
                <w:rFonts w:cs="Arial"/>
                <w:sz w:val="20"/>
                <w:szCs w:val="20"/>
              </w:rPr>
            </w:pPr>
          </w:p>
        </w:tc>
        <w:tc>
          <w:tcPr>
            <w:tcW w:w="1798" w:type="dxa"/>
            <w:vMerge/>
            <w:shd w:val="clear" w:color="auto" w:fill="auto"/>
            <w:vAlign w:val="center"/>
          </w:tcPr>
          <w:p w14:paraId="42EED90F" w14:textId="77777777" w:rsidR="00BB3746" w:rsidRPr="00E92571" w:rsidRDefault="00BB3746" w:rsidP="002462BB">
            <w:pPr>
              <w:rPr>
                <w:rFonts w:cs="Arial"/>
                <w:sz w:val="20"/>
                <w:szCs w:val="20"/>
              </w:rPr>
            </w:pPr>
          </w:p>
        </w:tc>
        <w:tc>
          <w:tcPr>
            <w:tcW w:w="2693" w:type="dxa"/>
            <w:vMerge/>
          </w:tcPr>
          <w:p w14:paraId="6009D9C2" w14:textId="77777777" w:rsidR="00BB3746" w:rsidRPr="00E92571" w:rsidRDefault="00BB3746" w:rsidP="002462BB">
            <w:pPr>
              <w:rPr>
                <w:sz w:val="20"/>
                <w:szCs w:val="20"/>
              </w:rPr>
            </w:pPr>
          </w:p>
        </w:tc>
        <w:tc>
          <w:tcPr>
            <w:tcW w:w="1843" w:type="dxa"/>
            <w:vMerge/>
            <w:shd w:val="clear" w:color="auto" w:fill="auto"/>
            <w:vAlign w:val="center"/>
          </w:tcPr>
          <w:p w14:paraId="74F3C1FD" w14:textId="77777777" w:rsidR="00BB3746" w:rsidRPr="00E92571" w:rsidRDefault="00BB3746" w:rsidP="002462BB">
            <w:pPr>
              <w:rPr>
                <w:sz w:val="20"/>
                <w:szCs w:val="20"/>
              </w:rPr>
            </w:pPr>
          </w:p>
        </w:tc>
        <w:tc>
          <w:tcPr>
            <w:tcW w:w="2178" w:type="dxa"/>
            <w:shd w:val="clear" w:color="auto" w:fill="auto"/>
            <w:vAlign w:val="center"/>
          </w:tcPr>
          <w:p w14:paraId="4665F0EF" w14:textId="77777777" w:rsidR="00BB3746" w:rsidRPr="00E92571" w:rsidRDefault="00BB3746" w:rsidP="002462BB">
            <w:pPr>
              <w:spacing w:before="120"/>
              <w:rPr>
                <w:rFonts w:cs="Arial"/>
                <w:sz w:val="20"/>
                <w:szCs w:val="20"/>
              </w:rPr>
            </w:pPr>
            <w:r w:rsidRPr="00E92571">
              <w:rPr>
                <w:rFonts w:cs="Arial"/>
                <w:sz w:val="20"/>
                <w:szCs w:val="20"/>
              </w:rPr>
              <w:t>Promulgation of case disposal time standards and the number of PICs they are promulgated in.</w:t>
            </w:r>
          </w:p>
        </w:tc>
        <w:tc>
          <w:tcPr>
            <w:tcW w:w="1559" w:type="dxa"/>
            <w:vMerge/>
            <w:shd w:val="clear" w:color="auto" w:fill="auto"/>
            <w:vAlign w:val="center"/>
          </w:tcPr>
          <w:p w14:paraId="4FD8DB90" w14:textId="77777777" w:rsidR="00BB3746" w:rsidRPr="00E92571" w:rsidRDefault="00BB3746" w:rsidP="002462BB">
            <w:pPr>
              <w:spacing w:before="120"/>
              <w:rPr>
                <w:rFonts w:cs="Arial"/>
                <w:sz w:val="20"/>
                <w:szCs w:val="20"/>
              </w:rPr>
            </w:pPr>
          </w:p>
        </w:tc>
        <w:tc>
          <w:tcPr>
            <w:tcW w:w="851" w:type="dxa"/>
            <w:vMerge/>
            <w:shd w:val="clear" w:color="auto" w:fill="auto"/>
            <w:vAlign w:val="center"/>
          </w:tcPr>
          <w:p w14:paraId="4D6BFBE1" w14:textId="77777777" w:rsidR="00BB3746" w:rsidRPr="00E92571" w:rsidRDefault="00BB3746" w:rsidP="002462BB">
            <w:pPr>
              <w:spacing w:before="120"/>
              <w:rPr>
                <w:rFonts w:cs="Arial"/>
                <w:sz w:val="20"/>
                <w:szCs w:val="20"/>
              </w:rPr>
            </w:pPr>
          </w:p>
        </w:tc>
      </w:tr>
      <w:tr w:rsidR="008B63E1" w:rsidRPr="00E92571" w14:paraId="7A2351E9" w14:textId="77777777" w:rsidTr="000F6360">
        <w:trPr>
          <w:trHeight w:val="376"/>
          <w:jc w:val="center"/>
        </w:trPr>
        <w:tc>
          <w:tcPr>
            <w:tcW w:w="14454" w:type="dxa"/>
            <w:gridSpan w:val="8"/>
            <w:shd w:val="clear" w:color="auto" w:fill="F2F2F2" w:themeFill="background1" w:themeFillShade="F2"/>
            <w:vAlign w:val="center"/>
          </w:tcPr>
          <w:p w14:paraId="29F0135B" w14:textId="77777777" w:rsidR="008B63E1" w:rsidRPr="008B63E1" w:rsidRDefault="008B63E1" w:rsidP="002462BB">
            <w:pPr>
              <w:rPr>
                <w:rFonts w:cs="Arial"/>
                <w:b/>
              </w:rPr>
            </w:pPr>
            <w:r w:rsidRPr="008B63E1">
              <w:rPr>
                <w:rFonts w:cs="Arial"/>
                <w:b/>
                <w:sz w:val="22"/>
                <w:szCs w:val="22"/>
              </w:rPr>
              <w:t>3.1 Judicial Administration Project</w:t>
            </w:r>
          </w:p>
        </w:tc>
      </w:tr>
      <w:tr w:rsidR="00BB3746" w:rsidRPr="00E92571" w14:paraId="4B6947A7" w14:textId="77777777" w:rsidTr="000F6360">
        <w:trPr>
          <w:trHeight w:val="1020"/>
          <w:jc w:val="center"/>
        </w:trPr>
        <w:tc>
          <w:tcPr>
            <w:tcW w:w="1838" w:type="dxa"/>
            <w:vMerge w:val="restart"/>
            <w:shd w:val="clear" w:color="auto" w:fill="auto"/>
            <w:vAlign w:val="center"/>
          </w:tcPr>
          <w:p w14:paraId="380A5F44" w14:textId="77777777" w:rsidR="00BB3746" w:rsidRPr="00E92571" w:rsidRDefault="00BB3746" w:rsidP="002462BB">
            <w:pPr>
              <w:rPr>
                <w:rFonts w:cs="Arial"/>
                <w:sz w:val="20"/>
                <w:szCs w:val="20"/>
              </w:rPr>
            </w:pPr>
            <w:r w:rsidRPr="00E92571">
              <w:rPr>
                <w:sz w:val="20"/>
                <w:szCs w:val="20"/>
              </w:rPr>
              <w:t xml:space="preserve">Courts in up to four PICs begin to report an increase in the percentage of cases disposed of within the promulgated time standards and more efficient court management through the collection of internal court </w:t>
            </w:r>
            <w:r w:rsidRPr="00E92571">
              <w:rPr>
                <w:sz w:val="20"/>
                <w:szCs w:val="20"/>
              </w:rPr>
              <w:lastRenderedPageBreak/>
              <w:t xml:space="preserve">performance information against selected key performance indicators.  Courts in up to two PICs also proactively reducing delay and their IT capabilities to support judicial administration requirements; specifically relating to time standards and delay reduction, is enhanced. </w:t>
            </w:r>
          </w:p>
        </w:tc>
        <w:tc>
          <w:tcPr>
            <w:tcW w:w="1694" w:type="dxa"/>
            <w:vMerge w:val="restart"/>
            <w:shd w:val="clear" w:color="auto" w:fill="auto"/>
            <w:vAlign w:val="center"/>
          </w:tcPr>
          <w:p w14:paraId="00F584DB" w14:textId="77777777" w:rsidR="00BB3746" w:rsidRPr="00E92571" w:rsidRDefault="00BB3746" w:rsidP="002462BB">
            <w:pPr>
              <w:rPr>
                <w:rFonts w:cs="Arial"/>
                <w:sz w:val="20"/>
                <w:szCs w:val="20"/>
              </w:rPr>
            </w:pPr>
            <w:r w:rsidRPr="00E92571">
              <w:rPr>
                <w:rFonts w:cs="Arial"/>
                <w:sz w:val="20"/>
                <w:szCs w:val="20"/>
              </w:rPr>
              <w:lastRenderedPageBreak/>
              <w:t>Two of the three PICs which received support under the 18-month Implementation Plan are using the Registry / Court plans developed to undertake registry / court reforms.</w:t>
            </w:r>
          </w:p>
        </w:tc>
        <w:tc>
          <w:tcPr>
            <w:tcW w:w="1798" w:type="dxa"/>
            <w:vMerge w:val="restart"/>
            <w:shd w:val="clear" w:color="auto" w:fill="auto"/>
            <w:vAlign w:val="center"/>
          </w:tcPr>
          <w:p w14:paraId="65F66E2B" w14:textId="77777777" w:rsidR="00BB3746" w:rsidRPr="00E92571" w:rsidRDefault="00BB3746" w:rsidP="002462BB">
            <w:pPr>
              <w:rPr>
                <w:rFonts w:cs="Arial"/>
                <w:sz w:val="20"/>
                <w:szCs w:val="20"/>
              </w:rPr>
            </w:pPr>
            <w:r w:rsidRPr="00E92571">
              <w:rPr>
                <w:rFonts w:cs="Arial"/>
                <w:sz w:val="20"/>
                <w:szCs w:val="20"/>
              </w:rPr>
              <w:t xml:space="preserve">Approaches to using judicial and court administration data for diagnosis (problem identification) and treatment (local development plans) are inconsistent across the region.  There is no regional </w:t>
            </w:r>
            <w:r w:rsidRPr="00E92571">
              <w:rPr>
                <w:rFonts w:cs="Arial"/>
                <w:sz w:val="20"/>
                <w:szCs w:val="20"/>
              </w:rPr>
              <w:lastRenderedPageBreak/>
              <w:t>strategy or local development plans in PICs to improve court operations (including registry systems and processes).</w:t>
            </w:r>
          </w:p>
        </w:tc>
        <w:tc>
          <w:tcPr>
            <w:tcW w:w="2693" w:type="dxa"/>
            <w:vMerge w:val="restart"/>
            <w:vAlign w:val="center"/>
          </w:tcPr>
          <w:p w14:paraId="39ED52B2" w14:textId="77777777" w:rsidR="00BB3746" w:rsidRPr="001A3465" w:rsidRDefault="00BB3746" w:rsidP="002462BB">
            <w:pPr>
              <w:tabs>
                <w:tab w:val="left" w:pos="26"/>
              </w:tabs>
              <w:rPr>
                <w:sz w:val="20"/>
                <w:szCs w:val="20"/>
              </w:rPr>
            </w:pPr>
            <w:r w:rsidRPr="001A3465">
              <w:rPr>
                <w:sz w:val="20"/>
                <w:szCs w:val="20"/>
              </w:rPr>
              <w:lastRenderedPageBreak/>
              <w:t xml:space="preserve">The Time Standards Toolkit </w:t>
            </w:r>
            <w:r w:rsidR="003D40ED">
              <w:rPr>
                <w:sz w:val="20"/>
                <w:szCs w:val="20"/>
              </w:rPr>
              <w:t>continues to be refined in line with implementation across three PICs. One PIC will be further piloted in 2014.</w:t>
            </w:r>
          </w:p>
          <w:p w14:paraId="608A4B42" w14:textId="77777777" w:rsidR="00BB3746" w:rsidRPr="001A3465" w:rsidRDefault="00BB3746" w:rsidP="002462BB">
            <w:pPr>
              <w:tabs>
                <w:tab w:val="left" w:pos="26"/>
              </w:tabs>
              <w:rPr>
                <w:sz w:val="20"/>
                <w:szCs w:val="20"/>
              </w:rPr>
            </w:pPr>
          </w:p>
          <w:p w14:paraId="3475FF97" w14:textId="77777777" w:rsidR="00BB3746" w:rsidRPr="001A3465" w:rsidRDefault="00BB3746" w:rsidP="002462BB">
            <w:pPr>
              <w:tabs>
                <w:tab w:val="left" w:pos="26"/>
              </w:tabs>
              <w:rPr>
                <w:sz w:val="20"/>
                <w:szCs w:val="20"/>
              </w:rPr>
            </w:pPr>
            <w:r w:rsidRPr="001A3465">
              <w:rPr>
                <w:sz w:val="20"/>
                <w:szCs w:val="20"/>
              </w:rPr>
              <w:t xml:space="preserve">The </w:t>
            </w:r>
            <w:r w:rsidR="003D40ED">
              <w:rPr>
                <w:sz w:val="20"/>
                <w:szCs w:val="20"/>
              </w:rPr>
              <w:t>second</w:t>
            </w:r>
            <w:r w:rsidR="003D40ED" w:rsidRPr="001A3465">
              <w:rPr>
                <w:sz w:val="20"/>
                <w:szCs w:val="20"/>
              </w:rPr>
              <w:t xml:space="preserve"> </w:t>
            </w:r>
            <w:r w:rsidRPr="001A3465">
              <w:rPr>
                <w:sz w:val="20"/>
                <w:szCs w:val="20"/>
              </w:rPr>
              <w:t xml:space="preserve">in-country visit for the Delay Reduction Toolkit pilot has been completed </w:t>
            </w:r>
            <w:r>
              <w:rPr>
                <w:sz w:val="20"/>
                <w:szCs w:val="20"/>
              </w:rPr>
              <w:t>(</w:t>
            </w:r>
            <w:r w:rsidRPr="001A3465">
              <w:rPr>
                <w:sz w:val="20"/>
                <w:szCs w:val="20"/>
              </w:rPr>
              <w:t>Vanuatu</w:t>
            </w:r>
            <w:r>
              <w:rPr>
                <w:sz w:val="20"/>
                <w:szCs w:val="20"/>
              </w:rPr>
              <w:t>)</w:t>
            </w:r>
            <w:r w:rsidRPr="001A3465">
              <w:rPr>
                <w:sz w:val="20"/>
                <w:szCs w:val="20"/>
              </w:rPr>
              <w:t>, and assistance given</w:t>
            </w:r>
            <w:r>
              <w:rPr>
                <w:sz w:val="20"/>
                <w:szCs w:val="20"/>
              </w:rPr>
              <w:t xml:space="preserve"> to</w:t>
            </w:r>
            <w:r w:rsidRPr="001A3465">
              <w:rPr>
                <w:sz w:val="20"/>
                <w:szCs w:val="20"/>
              </w:rPr>
              <w:t xml:space="preserve"> implement and document </w:t>
            </w:r>
            <w:r>
              <w:rPr>
                <w:sz w:val="20"/>
                <w:szCs w:val="20"/>
              </w:rPr>
              <w:t xml:space="preserve">changes related to </w:t>
            </w:r>
            <w:r>
              <w:rPr>
                <w:sz w:val="20"/>
                <w:szCs w:val="20"/>
              </w:rPr>
              <w:lastRenderedPageBreak/>
              <w:t xml:space="preserve">the case </w:t>
            </w:r>
            <w:r w:rsidRPr="001A3465">
              <w:rPr>
                <w:sz w:val="20"/>
                <w:szCs w:val="20"/>
              </w:rPr>
              <w:t xml:space="preserve">backlog </w:t>
            </w:r>
            <w:r>
              <w:rPr>
                <w:sz w:val="20"/>
                <w:szCs w:val="20"/>
              </w:rPr>
              <w:t>in the Supreme Court</w:t>
            </w:r>
            <w:r w:rsidRPr="001A3465">
              <w:rPr>
                <w:sz w:val="20"/>
                <w:szCs w:val="20"/>
              </w:rPr>
              <w:t>.</w:t>
            </w:r>
          </w:p>
          <w:p w14:paraId="2DDB0AD0" w14:textId="77777777" w:rsidR="00BB3746" w:rsidRPr="001A3465" w:rsidRDefault="00BB3746" w:rsidP="002462BB">
            <w:pPr>
              <w:tabs>
                <w:tab w:val="left" w:pos="26"/>
              </w:tabs>
              <w:rPr>
                <w:sz w:val="20"/>
                <w:szCs w:val="20"/>
              </w:rPr>
            </w:pPr>
          </w:p>
          <w:p w14:paraId="473AA7ED" w14:textId="77777777" w:rsidR="00BB3746" w:rsidRPr="00E92571" w:rsidRDefault="003D40ED" w:rsidP="002462BB">
            <w:pPr>
              <w:tabs>
                <w:tab w:val="left" w:pos="26"/>
              </w:tabs>
              <w:rPr>
                <w:sz w:val="20"/>
                <w:szCs w:val="20"/>
              </w:rPr>
            </w:pPr>
            <w:r>
              <w:rPr>
                <w:sz w:val="20"/>
                <w:szCs w:val="20"/>
              </w:rPr>
              <w:t>The ITOF has been developed, tested and launched with 9 nominations received from PICs. Ongoing monitoring and support will be provided by the PJDP.</w:t>
            </w:r>
          </w:p>
        </w:tc>
        <w:tc>
          <w:tcPr>
            <w:tcW w:w="1843" w:type="dxa"/>
            <w:shd w:val="clear" w:color="auto" w:fill="auto"/>
            <w:vAlign w:val="center"/>
          </w:tcPr>
          <w:p w14:paraId="30490B30" w14:textId="77777777" w:rsidR="00BB3746" w:rsidRPr="00E92571" w:rsidRDefault="00BB3746" w:rsidP="002462BB">
            <w:pPr>
              <w:tabs>
                <w:tab w:val="left" w:pos="26"/>
              </w:tabs>
              <w:rPr>
                <w:rFonts w:cs="Arial"/>
                <w:b/>
                <w:bCs/>
                <w:i/>
                <w:sz w:val="20"/>
              </w:rPr>
            </w:pPr>
            <w:r w:rsidRPr="00E92571">
              <w:rPr>
                <w:sz w:val="20"/>
                <w:szCs w:val="20"/>
              </w:rPr>
              <w:lastRenderedPageBreak/>
              <w:t>Courts in up to four PICs introduce time standards for cases and commence reporting on case disposal rates.</w:t>
            </w:r>
          </w:p>
        </w:tc>
        <w:tc>
          <w:tcPr>
            <w:tcW w:w="2178" w:type="dxa"/>
            <w:vMerge w:val="restart"/>
            <w:shd w:val="clear" w:color="auto" w:fill="auto"/>
            <w:vAlign w:val="center"/>
          </w:tcPr>
          <w:p w14:paraId="7D3EECFA" w14:textId="77777777" w:rsidR="00BB3746" w:rsidRPr="00E92571" w:rsidRDefault="00BB3746" w:rsidP="002462BB">
            <w:pPr>
              <w:rPr>
                <w:rFonts w:cs="Arial"/>
                <w:sz w:val="20"/>
                <w:szCs w:val="20"/>
              </w:rPr>
            </w:pPr>
            <w:r w:rsidRPr="00E92571">
              <w:rPr>
                <w:rFonts w:cs="Arial"/>
                <w:sz w:val="20"/>
                <w:szCs w:val="20"/>
              </w:rPr>
              <w:t xml:space="preserve">Time standards as promulgated and the number of PICs reporting on case disposal rates. </w:t>
            </w:r>
          </w:p>
        </w:tc>
        <w:tc>
          <w:tcPr>
            <w:tcW w:w="1559" w:type="dxa"/>
            <w:vMerge w:val="restart"/>
            <w:shd w:val="clear" w:color="auto" w:fill="auto"/>
            <w:vAlign w:val="center"/>
          </w:tcPr>
          <w:p w14:paraId="72162A07" w14:textId="77777777" w:rsidR="00BB3746" w:rsidRPr="00E92571" w:rsidRDefault="00BB3746" w:rsidP="002462BB">
            <w:pPr>
              <w:rPr>
                <w:rFonts w:cs="Arial"/>
                <w:sz w:val="20"/>
                <w:szCs w:val="20"/>
              </w:rPr>
            </w:pPr>
            <w:r w:rsidRPr="00E92571">
              <w:rPr>
                <w:rFonts w:cs="Arial"/>
                <w:sz w:val="20"/>
                <w:szCs w:val="20"/>
              </w:rPr>
              <w:t xml:space="preserve">TA report. </w:t>
            </w:r>
          </w:p>
        </w:tc>
        <w:tc>
          <w:tcPr>
            <w:tcW w:w="851" w:type="dxa"/>
            <w:vMerge w:val="restart"/>
            <w:shd w:val="clear" w:color="auto" w:fill="auto"/>
            <w:vAlign w:val="center"/>
          </w:tcPr>
          <w:p w14:paraId="57574E72" w14:textId="77777777" w:rsidR="00BB3746" w:rsidRPr="00E92571" w:rsidRDefault="00BB3746" w:rsidP="002462BB">
            <w:pPr>
              <w:rPr>
                <w:rFonts w:cs="Arial"/>
                <w:sz w:val="20"/>
                <w:szCs w:val="20"/>
              </w:rPr>
            </w:pPr>
            <w:r w:rsidRPr="00E92571">
              <w:rPr>
                <w:rFonts w:cs="Arial"/>
                <w:sz w:val="20"/>
                <w:szCs w:val="20"/>
              </w:rPr>
              <w:t xml:space="preserve">TA </w:t>
            </w:r>
          </w:p>
        </w:tc>
      </w:tr>
      <w:tr w:rsidR="00BB3746" w:rsidRPr="00E92571" w14:paraId="33936591" w14:textId="77777777" w:rsidTr="000F6360">
        <w:trPr>
          <w:trHeight w:val="765"/>
          <w:jc w:val="center"/>
        </w:trPr>
        <w:tc>
          <w:tcPr>
            <w:tcW w:w="1838" w:type="dxa"/>
            <w:vMerge/>
            <w:shd w:val="clear" w:color="auto" w:fill="auto"/>
            <w:vAlign w:val="center"/>
          </w:tcPr>
          <w:p w14:paraId="20EE9C26" w14:textId="77777777" w:rsidR="00BB3746" w:rsidRPr="00E92571" w:rsidRDefault="00BB3746" w:rsidP="002462BB">
            <w:pPr>
              <w:rPr>
                <w:rFonts w:cs="Arial"/>
                <w:sz w:val="20"/>
                <w:szCs w:val="20"/>
              </w:rPr>
            </w:pPr>
          </w:p>
        </w:tc>
        <w:tc>
          <w:tcPr>
            <w:tcW w:w="1694" w:type="dxa"/>
            <w:vMerge/>
            <w:shd w:val="clear" w:color="auto" w:fill="auto"/>
            <w:vAlign w:val="center"/>
          </w:tcPr>
          <w:p w14:paraId="7CE92668" w14:textId="77777777" w:rsidR="00BB3746" w:rsidRPr="00E92571" w:rsidRDefault="00BB3746" w:rsidP="002462BB">
            <w:pPr>
              <w:rPr>
                <w:rFonts w:cs="Arial"/>
                <w:sz w:val="20"/>
                <w:szCs w:val="20"/>
              </w:rPr>
            </w:pPr>
          </w:p>
        </w:tc>
        <w:tc>
          <w:tcPr>
            <w:tcW w:w="1798" w:type="dxa"/>
            <w:vMerge/>
            <w:shd w:val="clear" w:color="auto" w:fill="auto"/>
            <w:vAlign w:val="center"/>
          </w:tcPr>
          <w:p w14:paraId="1773645C" w14:textId="77777777" w:rsidR="00BB3746" w:rsidRPr="00E92571" w:rsidRDefault="00BB3746" w:rsidP="002462BB">
            <w:pPr>
              <w:rPr>
                <w:rFonts w:cs="Arial"/>
                <w:sz w:val="20"/>
                <w:szCs w:val="20"/>
              </w:rPr>
            </w:pPr>
          </w:p>
        </w:tc>
        <w:tc>
          <w:tcPr>
            <w:tcW w:w="2693" w:type="dxa"/>
            <w:vMerge/>
          </w:tcPr>
          <w:p w14:paraId="40DDEB93" w14:textId="77777777" w:rsidR="00BB3746" w:rsidRPr="00E92571" w:rsidRDefault="00BB3746" w:rsidP="002462BB">
            <w:pPr>
              <w:rPr>
                <w:sz w:val="20"/>
                <w:szCs w:val="20"/>
              </w:rPr>
            </w:pPr>
          </w:p>
        </w:tc>
        <w:tc>
          <w:tcPr>
            <w:tcW w:w="1843" w:type="dxa"/>
            <w:vMerge w:val="restart"/>
            <w:shd w:val="clear" w:color="auto" w:fill="auto"/>
            <w:vAlign w:val="center"/>
          </w:tcPr>
          <w:p w14:paraId="1CA32B30" w14:textId="77777777" w:rsidR="00BB3746" w:rsidRPr="00E92571" w:rsidRDefault="00BB3746" w:rsidP="002462BB">
            <w:pPr>
              <w:rPr>
                <w:sz w:val="20"/>
                <w:szCs w:val="20"/>
              </w:rPr>
            </w:pPr>
            <w:r w:rsidRPr="00E92571">
              <w:rPr>
                <w:sz w:val="20"/>
                <w:szCs w:val="20"/>
              </w:rPr>
              <w:t>Courts in up to three PICs introduce delay reduction practices and procedures.</w:t>
            </w:r>
          </w:p>
          <w:p w14:paraId="3ABCA089" w14:textId="77777777" w:rsidR="00BB3746" w:rsidRPr="00E92571" w:rsidRDefault="00BB3746" w:rsidP="002462BB">
            <w:pPr>
              <w:rPr>
                <w:rFonts w:cs="Arial"/>
                <w:sz w:val="20"/>
                <w:szCs w:val="20"/>
              </w:rPr>
            </w:pPr>
          </w:p>
        </w:tc>
        <w:tc>
          <w:tcPr>
            <w:tcW w:w="2178" w:type="dxa"/>
            <w:vMerge/>
            <w:shd w:val="clear" w:color="auto" w:fill="auto"/>
            <w:vAlign w:val="center"/>
          </w:tcPr>
          <w:p w14:paraId="71678846" w14:textId="77777777" w:rsidR="00BB3746" w:rsidRPr="00E92571" w:rsidRDefault="00BB3746" w:rsidP="002462BB">
            <w:pPr>
              <w:rPr>
                <w:rFonts w:cs="Arial"/>
                <w:sz w:val="20"/>
                <w:szCs w:val="20"/>
              </w:rPr>
            </w:pPr>
          </w:p>
        </w:tc>
        <w:tc>
          <w:tcPr>
            <w:tcW w:w="1559" w:type="dxa"/>
            <w:vMerge/>
            <w:shd w:val="clear" w:color="auto" w:fill="auto"/>
            <w:vAlign w:val="center"/>
          </w:tcPr>
          <w:p w14:paraId="2BE3E3D6" w14:textId="77777777" w:rsidR="00BB3746" w:rsidRPr="00E92571" w:rsidRDefault="00BB3746" w:rsidP="002462BB">
            <w:pPr>
              <w:rPr>
                <w:rFonts w:cs="Arial"/>
                <w:sz w:val="20"/>
                <w:szCs w:val="20"/>
              </w:rPr>
            </w:pPr>
          </w:p>
        </w:tc>
        <w:tc>
          <w:tcPr>
            <w:tcW w:w="851" w:type="dxa"/>
            <w:vMerge/>
            <w:shd w:val="clear" w:color="auto" w:fill="auto"/>
            <w:vAlign w:val="center"/>
          </w:tcPr>
          <w:p w14:paraId="60A84CB3" w14:textId="77777777" w:rsidR="00BB3746" w:rsidRPr="00E92571" w:rsidRDefault="00BB3746" w:rsidP="002462BB">
            <w:pPr>
              <w:rPr>
                <w:rFonts w:cs="Arial"/>
                <w:sz w:val="20"/>
                <w:szCs w:val="20"/>
              </w:rPr>
            </w:pPr>
          </w:p>
        </w:tc>
      </w:tr>
      <w:tr w:rsidR="00BB3746" w:rsidRPr="00E92571" w14:paraId="2C2DA328" w14:textId="77777777" w:rsidTr="000F6360">
        <w:trPr>
          <w:trHeight w:val="510"/>
          <w:jc w:val="center"/>
        </w:trPr>
        <w:tc>
          <w:tcPr>
            <w:tcW w:w="1838" w:type="dxa"/>
            <w:vMerge/>
            <w:shd w:val="clear" w:color="auto" w:fill="auto"/>
            <w:vAlign w:val="center"/>
          </w:tcPr>
          <w:p w14:paraId="38AC2CCA" w14:textId="77777777" w:rsidR="00BB3746" w:rsidRPr="00E92571" w:rsidRDefault="00BB3746" w:rsidP="002462BB">
            <w:pPr>
              <w:rPr>
                <w:rFonts w:cs="Arial"/>
                <w:sz w:val="20"/>
                <w:szCs w:val="20"/>
              </w:rPr>
            </w:pPr>
          </w:p>
        </w:tc>
        <w:tc>
          <w:tcPr>
            <w:tcW w:w="1694" w:type="dxa"/>
            <w:vMerge/>
            <w:shd w:val="clear" w:color="auto" w:fill="auto"/>
            <w:vAlign w:val="center"/>
          </w:tcPr>
          <w:p w14:paraId="403F154E" w14:textId="77777777" w:rsidR="00BB3746" w:rsidRPr="00E92571" w:rsidRDefault="00BB3746" w:rsidP="002462BB">
            <w:pPr>
              <w:rPr>
                <w:rFonts w:cs="Arial"/>
                <w:sz w:val="20"/>
                <w:szCs w:val="20"/>
              </w:rPr>
            </w:pPr>
          </w:p>
        </w:tc>
        <w:tc>
          <w:tcPr>
            <w:tcW w:w="1798" w:type="dxa"/>
            <w:vMerge/>
            <w:shd w:val="clear" w:color="auto" w:fill="auto"/>
            <w:vAlign w:val="center"/>
          </w:tcPr>
          <w:p w14:paraId="4F211598" w14:textId="77777777" w:rsidR="00BB3746" w:rsidRPr="00E92571" w:rsidRDefault="00BB3746" w:rsidP="002462BB">
            <w:pPr>
              <w:rPr>
                <w:rFonts w:cs="Arial"/>
                <w:sz w:val="20"/>
                <w:szCs w:val="20"/>
              </w:rPr>
            </w:pPr>
          </w:p>
        </w:tc>
        <w:tc>
          <w:tcPr>
            <w:tcW w:w="2693" w:type="dxa"/>
            <w:vMerge/>
          </w:tcPr>
          <w:p w14:paraId="43465444" w14:textId="77777777" w:rsidR="00BB3746" w:rsidRPr="00E92571" w:rsidRDefault="00BB3746" w:rsidP="002462BB">
            <w:pPr>
              <w:rPr>
                <w:rFonts w:cs="Arial"/>
                <w:sz w:val="20"/>
                <w:szCs w:val="20"/>
              </w:rPr>
            </w:pPr>
          </w:p>
        </w:tc>
        <w:tc>
          <w:tcPr>
            <w:tcW w:w="1843" w:type="dxa"/>
            <w:vMerge/>
            <w:shd w:val="clear" w:color="auto" w:fill="auto"/>
            <w:vAlign w:val="center"/>
          </w:tcPr>
          <w:p w14:paraId="7C1B8BB1" w14:textId="77777777" w:rsidR="00BB3746" w:rsidRPr="00E92571" w:rsidRDefault="00BB3746" w:rsidP="002462BB">
            <w:pPr>
              <w:rPr>
                <w:rFonts w:cs="Arial"/>
                <w:sz w:val="20"/>
                <w:szCs w:val="20"/>
              </w:rPr>
            </w:pPr>
          </w:p>
        </w:tc>
        <w:tc>
          <w:tcPr>
            <w:tcW w:w="2178" w:type="dxa"/>
            <w:shd w:val="clear" w:color="auto" w:fill="auto"/>
            <w:vAlign w:val="center"/>
          </w:tcPr>
          <w:p w14:paraId="47CB0115" w14:textId="77777777" w:rsidR="00BB3746" w:rsidRPr="00E92571" w:rsidRDefault="00BB3746" w:rsidP="002462BB">
            <w:pPr>
              <w:rPr>
                <w:rFonts w:cs="Arial"/>
                <w:sz w:val="20"/>
                <w:szCs w:val="20"/>
              </w:rPr>
            </w:pPr>
            <w:r w:rsidRPr="00E92571">
              <w:rPr>
                <w:rFonts w:cs="Arial"/>
                <w:sz w:val="20"/>
                <w:szCs w:val="20"/>
              </w:rPr>
              <w:t xml:space="preserve">Quality, comprehensiveness and </w:t>
            </w:r>
            <w:r w:rsidRPr="00E92571">
              <w:rPr>
                <w:rFonts w:cs="Arial"/>
                <w:sz w:val="20"/>
                <w:szCs w:val="20"/>
              </w:rPr>
              <w:lastRenderedPageBreak/>
              <w:t xml:space="preserve">feasibility of the practices and procedures as implemented. </w:t>
            </w:r>
          </w:p>
        </w:tc>
        <w:tc>
          <w:tcPr>
            <w:tcW w:w="1559" w:type="dxa"/>
            <w:vMerge/>
            <w:shd w:val="clear" w:color="auto" w:fill="auto"/>
            <w:vAlign w:val="center"/>
          </w:tcPr>
          <w:p w14:paraId="51F55F2A" w14:textId="77777777" w:rsidR="00BB3746" w:rsidRPr="00E92571" w:rsidRDefault="00BB3746" w:rsidP="002462BB">
            <w:pPr>
              <w:rPr>
                <w:rFonts w:cs="Arial"/>
                <w:sz w:val="20"/>
                <w:szCs w:val="20"/>
              </w:rPr>
            </w:pPr>
          </w:p>
        </w:tc>
        <w:tc>
          <w:tcPr>
            <w:tcW w:w="851" w:type="dxa"/>
            <w:vMerge/>
            <w:shd w:val="clear" w:color="auto" w:fill="auto"/>
            <w:vAlign w:val="center"/>
          </w:tcPr>
          <w:p w14:paraId="4D50B49C" w14:textId="77777777" w:rsidR="00BB3746" w:rsidRPr="00E92571" w:rsidRDefault="00BB3746" w:rsidP="002462BB">
            <w:pPr>
              <w:rPr>
                <w:rFonts w:cs="Arial"/>
                <w:sz w:val="20"/>
                <w:szCs w:val="20"/>
              </w:rPr>
            </w:pPr>
          </w:p>
        </w:tc>
      </w:tr>
      <w:tr w:rsidR="00BB3746" w:rsidRPr="00E92571" w14:paraId="56549484" w14:textId="77777777" w:rsidTr="000F6360">
        <w:trPr>
          <w:trHeight w:val="510"/>
          <w:jc w:val="center"/>
        </w:trPr>
        <w:tc>
          <w:tcPr>
            <w:tcW w:w="1838" w:type="dxa"/>
            <w:vMerge/>
            <w:shd w:val="clear" w:color="auto" w:fill="auto"/>
            <w:vAlign w:val="center"/>
          </w:tcPr>
          <w:p w14:paraId="6DD9113E" w14:textId="77777777" w:rsidR="00BB3746" w:rsidRPr="00E92571" w:rsidRDefault="00BB3746" w:rsidP="002462BB">
            <w:pPr>
              <w:rPr>
                <w:rFonts w:cs="Arial"/>
                <w:sz w:val="20"/>
                <w:szCs w:val="20"/>
              </w:rPr>
            </w:pPr>
          </w:p>
        </w:tc>
        <w:tc>
          <w:tcPr>
            <w:tcW w:w="1694" w:type="dxa"/>
            <w:vMerge/>
            <w:shd w:val="clear" w:color="auto" w:fill="auto"/>
            <w:vAlign w:val="center"/>
          </w:tcPr>
          <w:p w14:paraId="3B775DF3" w14:textId="77777777" w:rsidR="00BB3746" w:rsidRPr="00E92571" w:rsidRDefault="00BB3746" w:rsidP="002462BB">
            <w:pPr>
              <w:rPr>
                <w:rFonts w:cs="Arial"/>
                <w:sz w:val="20"/>
                <w:szCs w:val="20"/>
              </w:rPr>
            </w:pPr>
          </w:p>
        </w:tc>
        <w:tc>
          <w:tcPr>
            <w:tcW w:w="1798" w:type="dxa"/>
            <w:vMerge/>
            <w:shd w:val="clear" w:color="auto" w:fill="auto"/>
            <w:vAlign w:val="center"/>
          </w:tcPr>
          <w:p w14:paraId="6D5C18CE" w14:textId="77777777" w:rsidR="00BB3746" w:rsidRPr="00E92571" w:rsidRDefault="00BB3746" w:rsidP="002462BB">
            <w:pPr>
              <w:rPr>
                <w:rFonts w:cs="Arial"/>
                <w:sz w:val="20"/>
                <w:szCs w:val="20"/>
              </w:rPr>
            </w:pPr>
          </w:p>
        </w:tc>
        <w:tc>
          <w:tcPr>
            <w:tcW w:w="2693" w:type="dxa"/>
            <w:vMerge/>
          </w:tcPr>
          <w:p w14:paraId="01307566" w14:textId="77777777" w:rsidR="00BB3746" w:rsidRPr="00E92571" w:rsidRDefault="00BB3746" w:rsidP="002462BB">
            <w:pPr>
              <w:rPr>
                <w:sz w:val="20"/>
                <w:szCs w:val="20"/>
              </w:rPr>
            </w:pPr>
          </w:p>
        </w:tc>
        <w:tc>
          <w:tcPr>
            <w:tcW w:w="1843" w:type="dxa"/>
            <w:shd w:val="clear" w:color="auto" w:fill="auto"/>
            <w:vAlign w:val="center"/>
          </w:tcPr>
          <w:p w14:paraId="3B148686" w14:textId="77777777" w:rsidR="00BB3746" w:rsidRPr="00E92571" w:rsidRDefault="00BB3746" w:rsidP="002462BB">
            <w:pPr>
              <w:rPr>
                <w:sz w:val="20"/>
                <w:szCs w:val="20"/>
              </w:rPr>
            </w:pPr>
            <w:r w:rsidRPr="00E92571">
              <w:rPr>
                <w:sz w:val="20"/>
                <w:szCs w:val="20"/>
              </w:rPr>
              <w:t>A regional network of IT administrators established and supported.</w:t>
            </w:r>
          </w:p>
        </w:tc>
        <w:tc>
          <w:tcPr>
            <w:tcW w:w="2178" w:type="dxa"/>
            <w:shd w:val="clear" w:color="auto" w:fill="auto"/>
            <w:vAlign w:val="center"/>
          </w:tcPr>
          <w:p w14:paraId="1D798C90" w14:textId="77777777" w:rsidR="00BB3746" w:rsidRPr="00E92571" w:rsidRDefault="00BB3746" w:rsidP="002462BB">
            <w:pPr>
              <w:rPr>
                <w:rFonts w:cs="Arial"/>
                <w:sz w:val="20"/>
                <w:szCs w:val="20"/>
              </w:rPr>
            </w:pPr>
            <w:r w:rsidRPr="00E92571">
              <w:rPr>
                <w:rFonts w:cs="Arial"/>
                <w:sz w:val="20"/>
                <w:szCs w:val="20"/>
              </w:rPr>
              <w:t>Quality and quantity of dialogue between IT administrators in participating PIC.</w:t>
            </w:r>
          </w:p>
          <w:p w14:paraId="5B1232FF" w14:textId="77777777" w:rsidR="00BB3746" w:rsidRPr="00E92571" w:rsidRDefault="00BB3746" w:rsidP="002462BB">
            <w:pPr>
              <w:rPr>
                <w:rFonts w:cs="Arial"/>
                <w:sz w:val="8"/>
                <w:szCs w:val="20"/>
              </w:rPr>
            </w:pPr>
          </w:p>
          <w:p w14:paraId="643B53CD" w14:textId="77777777" w:rsidR="00BB3746" w:rsidRPr="00E92571" w:rsidDel="00C90EED" w:rsidRDefault="00BB3746" w:rsidP="002462BB">
            <w:pPr>
              <w:rPr>
                <w:rFonts w:cs="Arial"/>
                <w:sz w:val="20"/>
                <w:szCs w:val="20"/>
              </w:rPr>
            </w:pPr>
            <w:r w:rsidRPr="00E92571">
              <w:rPr>
                <w:rFonts w:cs="Arial"/>
                <w:sz w:val="20"/>
                <w:szCs w:val="20"/>
              </w:rPr>
              <w:t>Feedback from IT administrators as to whether this network mechanism is actually helping PICs to resolve relevant IT issues.</w:t>
            </w:r>
          </w:p>
        </w:tc>
        <w:tc>
          <w:tcPr>
            <w:tcW w:w="1559" w:type="dxa"/>
            <w:vMerge/>
            <w:shd w:val="clear" w:color="auto" w:fill="auto"/>
            <w:vAlign w:val="center"/>
          </w:tcPr>
          <w:p w14:paraId="530AC047" w14:textId="77777777" w:rsidR="00BB3746" w:rsidRPr="00E92571" w:rsidRDefault="00BB3746" w:rsidP="002462BB">
            <w:pPr>
              <w:rPr>
                <w:rFonts w:cs="Arial"/>
                <w:sz w:val="20"/>
                <w:szCs w:val="20"/>
              </w:rPr>
            </w:pPr>
          </w:p>
        </w:tc>
        <w:tc>
          <w:tcPr>
            <w:tcW w:w="851" w:type="dxa"/>
            <w:vMerge/>
            <w:shd w:val="clear" w:color="auto" w:fill="auto"/>
            <w:vAlign w:val="center"/>
          </w:tcPr>
          <w:p w14:paraId="5E7F57B5" w14:textId="77777777" w:rsidR="00BB3746" w:rsidRPr="00E92571" w:rsidRDefault="00BB3746" w:rsidP="002462BB">
            <w:pPr>
              <w:rPr>
                <w:rFonts w:cs="Arial"/>
                <w:sz w:val="20"/>
                <w:szCs w:val="20"/>
              </w:rPr>
            </w:pPr>
          </w:p>
        </w:tc>
      </w:tr>
      <w:tr w:rsidR="008B63E1" w:rsidRPr="00E92571" w14:paraId="77130653" w14:textId="77777777" w:rsidTr="000F6360">
        <w:trPr>
          <w:trHeight w:val="109"/>
          <w:jc w:val="center"/>
        </w:trPr>
        <w:tc>
          <w:tcPr>
            <w:tcW w:w="14454" w:type="dxa"/>
            <w:gridSpan w:val="8"/>
            <w:shd w:val="clear" w:color="auto" w:fill="F2F2F2" w:themeFill="background1" w:themeFillShade="F2"/>
            <w:vAlign w:val="center"/>
          </w:tcPr>
          <w:p w14:paraId="05D27D06" w14:textId="77777777" w:rsidR="008B63E1" w:rsidRPr="008B63E1" w:rsidRDefault="008B63E1" w:rsidP="002462BB">
            <w:pPr>
              <w:rPr>
                <w:rFonts w:cs="Arial"/>
                <w:b/>
              </w:rPr>
            </w:pPr>
            <w:r w:rsidRPr="008B63E1">
              <w:rPr>
                <w:rFonts w:cs="Arial"/>
                <w:b/>
                <w:sz w:val="22"/>
                <w:szCs w:val="22"/>
              </w:rPr>
              <w:t>3.2 Court Annual Reporting (formerly Performance Monitoring &amp; Evaluation) Project</w:t>
            </w:r>
          </w:p>
        </w:tc>
      </w:tr>
      <w:tr w:rsidR="00BB3746" w:rsidRPr="00E92571" w14:paraId="0E2D3353" w14:textId="77777777" w:rsidTr="000F6360">
        <w:trPr>
          <w:trHeight w:val="109"/>
          <w:jc w:val="center"/>
        </w:trPr>
        <w:tc>
          <w:tcPr>
            <w:tcW w:w="1838" w:type="dxa"/>
            <w:vMerge w:val="restart"/>
            <w:shd w:val="clear" w:color="auto" w:fill="auto"/>
            <w:vAlign w:val="center"/>
          </w:tcPr>
          <w:p w14:paraId="2FE6925E" w14:textId="77777777" w:rsidR="00BB3746" w:rsidRPr="00E92571" w:rsidRDefault="00BB3746" w:rsidP="002462BB">
            <w:pPr>
              <w:rPr>
                <w:rFonts w:cs="Arial"/>
                <w:b/>
                <w:bCs/>
                <w:i/>
                <w:color w:val="FF0000"/>
                <w:sz w:val="20"/>
                <w:szCs w:val="20"/>
              </w:rPr>
            </w:pPr>
            <w:r w:rsidRPr="00E92571">
              <w:rPr>
                <w:sz w:val="20"/>
                <w:szCs w:val="20"/>
              </w:rPr>
              <w:t>Up to 6 courts publically reporting on performance on an annual basis across the region.</w:t>
            </w:r>
          </w:p>
          <w:p w14:paraId="3B89EF80" w14:textId="77777777" w:rsidR="00BB3746" w:rsidRPr="00E92571" w:rsidRDefault="00BB3746" w:rsidP="002462BB">
            <w:pPr>
              <w:rPr>
                <w:rFonts w:cs="Arial"/>
                <w:sz w:val="20"/>
                <w:szCs w:val="20"/>
              </w:rPr>
            </w:pPr>
          </w:p>
        </w:tc>
        <w:tc>
          <w:tcPr>
            <w:tcW w:w="1694" w:type="dxa"/>
            <w:vMerge w:val="restart"/>
            <w:shd w:val="clear" w:color="auto" w:fill="auto"/>
            <w:vAlign w:val="center"/>
          </w:tcPr>
          <w:p w14:paraId="35B5C2B0" w14:textId="77777777" w:rsidR="00BB3746" w:rsidRPr="00E92571" w:rsidRDefault="00BB3746" w:rsidP="002462BB">
            <w:pPr>
              <w:rPr>
                <w:rFonts w:cs="Arial"/>
                <w:sz w:val="20"/>
                <w:szCs w:val="20"/>
              </w:rPr>
            </w:pPr>
            <w:r w:rsidRPr="00E92571">
              <w:rPr>
                <w:rFonts w:cs="Arial"/>
                <w:sz w:val="20"/>
                <w:szCs w:val="20"/>
              </w:rPr>
              <w:t>All PICs have increased capacity to assess court performance and have access to the tools need to enable them to increase transparency and accountability through the development of Annual Court Reports.</w:t>
            </w:r>
          </w:p>
        </w:tc>
        <w:tc>
          <w:tcPr>
            <w:tcW w:w="1798" w:type="dxa"/>
            <w:vMerge w:val="restart"/>
            <w:shd w:val="clear" w:color="auto" w:fill="auto"/>
            <w:vAlign w:val="center"/>
          </w:tcPr>
          <w:p w14:paraId="18FAB4D4" w14:textId="77777777" w:rsidR="00BB3746" w:rsidRPr="00E92571" w:rsidRDefault="00BB3746" w:rsidP="002462BB">
            <w:pPr>
              <w:rPr>
                <w:rFonts w:cs="Arial"/>
                <w:sz w:val="20"/>
                <w:szCs w:val="20"/>
              </w:rPr>
            </w:pPr>
            <w:r w:rsidRPr="00E92571">
              <w:rPr>
                <w:rFonts w:cs="Arial"/>
                <w:sz w:val="20"/>
                <w:szCs w:val="20"/>
              </w:rPr>
              <w:t>There is no PIC judicial and court baseline data utilising a common set of indicators.</w:t>
            </w:r>
          </w:p>
        </w:tc>
        <w:tc>
          <w:tcPr>
            <w:tcW w:w="2693" w:type="dxa"/>
            <w:vMerge w:val="restart"/>
            <w:vAlign w:val="center"/>
          </w:tcPr>
          <w:p w14:paraId="64F7E927" w14:textId="77777777" w:rsidR="00BB3746" w:rsidRPr="00B40BC9" w:rsidRDefault="00BB3746" w:rsidP="002462BB">
            <w:pPr>
              <w:rPr>
                <w:rFonts w:cs="Arial"/>
                <w:bCs/>
                <w:sz w:val="20"/>
                <w:szCs w:val="20"/>
              </w:rPr>
            </w:pPr>
            <w:r w:rsidRPr="00B40BC9">
              <w:rPr>
                <w:rFonts w:cs="Arial"/>
                <w:bCs/>
                <w:sz w:val="20"/>
                <w:szCs w:val="20"/>
              </w:rPr>
              <w:t xml:space="preserve">Refinement of the piloted </w:t>
            </w:r>
            <w:r>
              <w:rPr>
                <w:rFonts w:cs="Arial"/>
                <w:bCs/>
                <w:sz w:val="20"/>
                <w:szCs w:val="20"/>
              </w:rPr>
              <w:t>C</w:t>
            </w:r>
            <w:r w:rsidRPr="00B40BC9">
              <w:rPr>
                <w:rFonts w:cs="Arial"/>
                <w:bCs/>
                <w:sz w:val="20"/>
                <w:szCs w:val="20"/>
              </w:rPr>
              <w:t xml:space="preserve">ourt </w:t>
            </w:r>
            <w:r>
              <w:rPr>
                <w:rFonts w:cs="Arial"/>
                <w:bCs/>
                <w:sz w:val="20"/>
                <w:szCs w:val="20"/>
              </w:rPr>
              <w:t>R</w:t>
            </w:r>
            <w:r w:rsidRPr="00B40BC9">
              <w:rPr>
                <w:rFonts w:cs="Arial"/>
                <w:bCs/>
                <w:sz w:val="20"/>
                <w:szCs w:val="20"/>
              </w:rPr>
              <w:t xml:space="preserve">eporting </w:t>
            </w:r>
            <w:r>
              <w:rPr>
                <w:rFonts w:cs="Arial"/>
                <w:bCs/>
                <w:sz w:val="20"/>
                <w:szCs w:val="20"/>
              </w:rPr>
              <w:t>T</w:t>
            </w:r>
            <w:r w:rsidRPr="00B40BC9">
              <w:rPr>
                <w:rFonts w:cs="Arial"/>
                <w:bCs/>
                <w:sz w:val="20"/>
                <w:szCs w:val="20"/>
              </w:rPr>
              <w:t>oolkit is underway to include support for implementing, collating and analysing court users</w:t>
            </w:r>
            <w:r>
              <w:rPr>
                <w:rFonts w:cs="Arial"/>
                <w:bCs/>
                <w:sz w:val="20"/>
                <w:szCs w:val="20"/>
              </w:rPr>
              <w:t>’</w:t>
            </w:r>
            <w:r w:rsidRPr="00B40BC9">
              <w:rPr>
                <w:rFonts w:cs="Arial"/>
                <w:bCs/>
                <w:sz w:val="20"/>
                <w:szCs w:val="20"/>
              </w:rPr>
              <w:t xml:space="preserve"> surveys on barriers to accessing, satisfaction with, and confidence in the courts.</w:t>
            </w:r>
          </w:p>
          <w:p w14:paraId="15B86998" w14:textId="77777777" w:rsidR="00BB3746" w:rsidRPr="00B40BC9" w:rsidRDefault="00BB3746" w:rsidP="002462BB">
            <w:pPr>
              <w:rPr>
                <w:rFonts w:cs="Arial"/>
                <w:bCs/>
                <w:sz w:val="20"/>
                <w:szCs w:val="20"/>
              </w:rPr>
            </w:pPr>
          </w:p>
          <w:p w14:paraId="5EB79953" w14:textId="77777777" w:rsidR="00BB3746" w:rsidRPr="00B40BC9" w:rsidRDefault="00BB3746" w:rsidP="002462BB">
            <w:pPr>
              <w:rPr>
                <w:rFonts w:cs="Arial"/>
                <w:bCs/>
                <w:sz w:val="20"/>
                <w:szCs w:val="20"/>
              </w:rPr>
            </w:pPr>
            <w:r>
              <w:rPr>
                <w:rFonts w:cs="Arial"/>
                <w:bCs/>
                <w:sz w:val="20"/>
                <w:szCs w:val="20"/>
              </w:rPr>
              <w:t xml:space="preserve">The </w:t>
            </w:r>
            <w:r w:rsidRPr="00B40BC9">
              <w:rPr>
                <w:rFonts w:cs="Arial"/>
                <w:bCs/>
                <w:sz w:val="20"/>
                <w:szCs w:val="20"/>
              </w:rPr>
              <w:t xml:space="preserve">Annual </w:t>
            </w:r>
            <w:r>
              <w:rPr>
                <w:rFonts w:cs="Arial"/>
                <w:bCs/>
                <w:sz w:val="20"/>
                <w:szCs w:val="20"/>
              </w:rPr>
              <w:t>R</w:t>
            </w:r>
            <w:r w:rsidRPr="00B40BC9">
              <w:rPr>
                <w:rFonts w:cs="Arial"/>
                <w:bCs/>
                <w:sz w:val="20"/>
                <w:szCs w:val="20"/>
              </w:rPr>
              <w:t xml:space="preserve">eporting </w:t>
            </w:r>
            <w:r>
              <w:rPr>
                <w:rFonts w:cs="Arial"/>
                <w:bCs/>
                <w:sz w:val="20"/>
                <w:szCs w:val="20"/>
              </w:rPr>
              <w:t>T</w:t>
            </w:r>
            <w:r w:rsidRPr="00B40BC9">
              <w:rPr>
                <w:rFonts w:cs="Arial"/>
                <w:bCs/>
                <w:sz w:val="20"/>
                <w:szCs w:val="20"/>
              </w:rPr>
              <w:t xml:space="preserve">oolkit has been implemented in six PICs </w:t>
            </w:r>
            <w:r>
              <w:rPr>
                <w:rFonts w:cs="Arial"/>
                <w:bCs/>
                <w:sz w:val="20"/>
                <w:szCs w:val="20"/>
              </w:rPr>
              <w:t>during</w:t>
            </w:r>
            <w:r w:rsidRPr="00B40BC9">
              <w:rPr>
                <w:rFonts w:cs="Arial"/>
                <w:bCs/>
                <w:sz w:val="20"/>
                <w:szCs w:val="20"/>
              </w:rPr>
              <w:t xml:space="preserve"> the Court Annual Reporting Workshop, and ongoing support</w:t>
            </w:r>
            <w:r w:rsidR="00505929">
              <w:rPr>
                <w:rFonts w:cs="Arial"/>
                <w:bCs/>
                <w:sz w:val="20"/>
                <w:szCs w:val="20"/>
              </w:rPr>
              <w:t xml:space="preserve"> has been </w:t>
            </w:r>
            <w:r w:rsidR="00505929">
              <w:rPr>
                <w:rFonts w:cs="Arial"/>
                <w:bCs/>
                <w:sz w:val="20"/>
                <w:szCs w:val="20"/>
              </w:rPr>
              <w:lastRenderedPageBreak/>
              <w:t>provided</w:t>
            </w:r>
            <w:r w:rsidRPr="00B40BC9">
              <w:rPr>
                <w:rFonts w:cs="Arial"/>
                <w:bCs/>
                <w:sz w:val="20"/>
                <w:szCs w:val="20"/>
              </w:rPr>
              <w:t xml:space="preserve"> to those PICs to publish annual reports. </w:t>
            </w:r>
          </w:p>
          <w:p w14:paraId="4481EC54" w14:textId="77777777" w:rsidR="00BB3746" w:rsidRPr="00B40BC9" w:rsidRDefault="00BB3746" w:rsidP="002462BB">
            <w:pPr>
              <w:rPr>
                <w:rFonts w:cs="Arial"/>
                <w:bCs/>
                <w:sz w:val="20"/>
                <w:szCs w:val="20"/>
              </w:rPr>
            </w:pPr>
          </w:p>
          <w:p w14:paraId="475430ED" w14:textId="77777777" w:rsidR="00BB3746" w:rsidRDefault="00BB3746" w:rsidP="002462BB">
            <w:pPr>
              <w:rPr>
                <w:rFonts w:cs="Arial"/>
                <w:bCs/>
                <w:sz w:val="20"/>
                <w:szCs w:val="20"/>
              </w:rPr>
            </w:pPr>
          </w:p>
          <w:p w14:paraId="03E5C8D8" w14:textId="77777777" w:rsidR="00505929" w:rsidRPr="00E92571" w:rsidRDefault="00505929" w:rsidP="00505929">
            <w:pPr>
              <w:rPr>
                <w:rFonts w:cs="Arial"/>
                <w:bCs/>
                <w:sz w:val="20"/>
                <w:szCs w:val="20"/>
              </w:rPr>
            </w:pPr>
            <w:r>
              <w:rPr>
                <w:rFonts w:cs="Arial"/>
                <w:bCs/>
                <w:sz w:val="20"/>
                <w:szCs w:val="20"/>
              </w:rPr>
              <w:t xml:space="preserve">Regional data is scheduled to be </w:t>
            </w:r>
            <w:proofErr w:type="gramStart"/>
            <w:r>
              <w:rPr>
                <w:rFonts w:cs="Arial"/>
                <w:bCs/>
                <w:sz w:val="20"/>
                <w:szCs w:val="20"/>
              </w:rPr>
              <w:t>collect</w:t>
            </w:r>
            <w:proofErr w:type="gramEnd"/>
            <w:r>
              <w:rPr>
                <w:rFonts w:cs="Arial"/>
                <w:bCs/>
                <w:sz w:val="20"/>
                <w:szCs w:val="20"/>
              </w:rPr>
              <w:t xml:space="preserve"> from PICs later in 2014.</w:t>
            </w:r>
          </w:p>
        </w:tc>
        <w:tc>
          <w:tcPr>
            <w:tcW w:w="1843" w:type="dxa"/>
            <w:shd w:val="clear" w:color="auto" w:fill="auto"/>
            <w:vAlign w:val="center"/>
          </w:tcPr>
          <w:p w14:paraId="2156CAA8" w14:textId="77777777" w:rsidR="00BB3746" w:rsidRPr="00E92571" w:rsidRDefault="00BB3746" w:rsidP="002462BB">
            <w:pPr>
              <w:rPr>
                <w:rFonts w:cs="Arial"/>
                <w:bCs/>
                <w:sz w:val="20"/>
                <w:szCs w:val="20"/>
              </w:rPr>
            </w:pPr>
            <w:r w:rsidRPr="00E92571">
              <w:rPr>
                <w:rFonts w:cs="Arial"/>
                <w:bCs/>
                <w:sz w:val="20"/>
                <w:szCs w:val="20"/>
              </w:rPr>
              <w:lastRenderedPageBreak/>
              <w:t xml:space="preserve">Timely, accurate and comprehensive annual court reports published by up to three PICs that include relevant court data as well as court user feedback on </w:t>
            </w:r>
            <w:r w:rsidRPr="007A3162">
              <w:rPr>
                <w:rFonts w:eastAsia="Calibri"/>
                <w:sz w:val="20"/>
                <w:szCs w:val="20"/>
              </w:rPr>
              <w:t>barriers to accessing, satisfaction with, and confidence in the courts.</w:t>
            </w:r>
          </w:p>
          <w:p w14:paraId="19A94DC0" w14:textId="77777777" w:rsidR="00BB3746" w:rsidRPr="00E92571" w:rsidRDefault="00BB3746" w:rsidP="002462BB">
            <w:pPr>
              <w:rPr>
                <w:rFonts w:cs="Arial"/>
                <w:sz w:val="20"/>
                <w:szCs w:val="20"/>
              </w:rPr>
            </w:pPr>
          </w:p>
        </w:tc>
        <w:tc>
          <w:tcPr>
            <w:tcW w:w="2178" w:type="dxa"/>
            <w:shd w:val="clear" w:color="auto" w:fill="auto"/>
            <w:vAlign w:val="center"/>
          </w:tcPr>
          <w:p w14:paraId="0F187381" w14:textId="77777777" w:rsidR="00BB3746" w:rsidRPr="00E92571" w:rsidRDefault="00BB3746" w:rsidP="002462BB">
            <w:pPr>
              <w:rPr>
                <w:rFonts w:cs="Arial"/>
                <w:sz w:val="20"/>
                <w:szCs w:val="20"/>
              </w:rPr>
            </w:pPr>
          </w:p>
          <w:p w14:paraId="3813CA8B" w14:textId="77777777" w:rsidR="00BB3746" w:rsidRPr="00E92571" w:rsidRDefault="00BB3746" w:rsidP="002462BB">
            <w:pPr>
              <w:rPr>
                <w:rFonts w:cs="Arial"/>
                <w:sz w:val="20"/>
                <w:szCs w:val="20"/>
              </w:rPr>
            </w:pPr>
            <w:r w:rsidRPr="00E92571">
              <w:rPr>
                <w:rFonts w:cs="Arial"/>
                <w:sz w:val="20"/>
                <w:szCs w:val="20"/>
              </w:rPr>
              <w:t>Number of PICs producing an annual report published and the quality of the data contained therein.</w:t>
            </w:r>
          </w:p>
        </w:tc>
        <w:tc>
          <w:tcPr>
            <w:tcW w:w="1559" w:type="dxa"/>
            <w:shd w:val="clear" w:color="auto" w:fill="auto"/>
            <w:vAlign w:val="center"/>
          </w:tcPr>
          <w:p w14:paraId="6A4E168D" w14:textId="77777777" w:rsidR="00BB3746" w:rsidRPr="00E92571" w:rsidRDefault="00BB3746" w:rsidP="002462BB">
            <w:pPr>
              <w:rPr>
                <w:rFonts w:cs="Arial"/>
                <w:sz w:val="20"/>
                <w:szCs w:val="20"/>
              </w:rPr>
            </w:pPr>
            <w:r w:rsidRPr="00E92571">
              <w:rPr>
                <w:rFonts w:cs="Arial"/>
                <w:sz w:val="20"/>
                <w:szCs w:val="20"/>
              </w:rPr>
              <w:t>TA report &amp; PEC/CJ assessment minuted.</w:t>
            </w:r>
          </w:p>
        </w:tc>
        <w:tc>
          <w:tcPr>
            <w:tcW w:w="851" w:type="dxa"/>
            <w:shd w:val="clear" w:color="auto" w:fill="auto"/>
            <w:vAlign w:val="center"/>
          </w:tcPr>
          <w:p w14:paraId="50C41A2E" w14:textId="77777777" w:rsidR="00BB3746" w:rsidRPr="00E92571" w:rsidRDefault="00BB3746" w:rsidP="002462BB">
            <w:pPr>
              <w:rPr>
                <w:rFonts w:cs="Arial"/>
                <w:sz w:val="20"/>
                <w:szCs w:val="20"/>
              </w:rPr>
            </w:pPr>
            <w:r w:rsidRPr="00E92571">
              <w:rPr>
                <w:rFonts w:cs="Arial"/>
                <w:sz w:val="20"/>
                <w:szCs w:val="20"/>
              </w:rPr>
              <w:t>TA/ MSC</w:t>
            </w:r>
          </w:p>
        </w:tc>
      </w:tr>
      <w:tr w:rsidR="00BB3746" w:rsidRPr="00E92571" w14:paraId="78BFCF6B" w14:textId="77777777" w:rsidTr="000F6360">
        <w:trPr>
          <w:trHeight w:val="1021"/>
          <w:jc w:val="center"/>
        </w:trPr>
        <w:tc>
          <w:tcPr>
            <w:tcW w:w="1838" w:type="dxa"/>
            <w:vMerge/>
            <w:shd w:val="clear" w:color="auto" w:fill="auto"/>
            <w:vAlign w:val="center"/>
          </w:tcPr>
          <w:p w14:paraId="7716BE1B" w14:textId="77777777" w:rsidR="00BB3746" w:rsidRPr="00E92571" w:rsidRDefault="00BB3746" w:rsidP="002462BB">
            <w:pPr>
              <w:rPr>
                <w:rFonts w:cs="Arial"/>
                <w:sz w:val="20"/>
                <w:szCs w:val="20"/>
              </w:rPr>
            </w:pPr>
          </w:p>
        </w:tc>
        <w:tc>
          <w:tcPr>
            <w:tcW w:w="1694" w:type="dxa"/>
            <w:vMerge/>
            <w:shd w:val="clear" w:color="auto" w:fill="auto"/>
            <w:vAlign w:val="center"/>
          </w:tcPr>
          <w:p w14:paraId="3E881289" w14:textId="77777777" w:rsidR="00BB3746" w:rsidRPr="00E92571" w:rsidRDefault="00BB3746" w:rsidP="002462BB">
            <w:pPr>
              <w:rPr>
                <w:rFonts w:cs="Arial"/>
                <w:sz w:val="20"/>
                <w:szCs w:val="20"/>
              </w:rPr>
            </w:pPr>
          </w:p>
        </w:tc>
        <w:tc>
          <w:tcPr>
            <w:tcW w:w="1798" w:type="dxa"/>
            <w:vMerge/>
            <w:shd w:val="clear" w:color="auto" w:fill="auto"/>
            <w:vAlign w:val="center"/>
          </w:tcPr>
          <w:p w14:paraId="053BEE03" w14:textId="77777777" w:rsidR="00BB3746" w:rsidRPr="00E92571" w:rsidRDefault="00BB3746" w:rsidP="002462BB">
            <w:pPr>
              <w:rPr>
                <w:rFonts w:cs="Arial"/>
                <w:sz w:val="20"/>
                <w:szCs w:val="20"/>
              </w:rPr>
            </w:pPr>
          </w:p>
        </w:tc>
        <w:tc>
          <w:tcPr>
            <w:tcW w:w="2693" w:type="dxa"/>
            <w:vMerge/>
          </w:tcPr>
          <w:p w14:paraId="67268D34" w14:textId="77777777" w:rsidR="00BB3746" w:rsidRPr="00E92571" w:rsidRDefault="00BB3746" w:rsidP="002462BB">
            <w:pPr>
              <w:rPr>
                <w:rFonts w:cs="Arial"/>
                <w:sz w:val="20"/>
                <w:szCs w:val="20"/>
              </w:rPr>
            </w:pPr>
          </w:p>
        </w:tc>
        <w:tc>
          <w:tcPr>
            <w:tcW w:w="1843" w:type="dxa"/>
            <w:vMerge w:val="restart"/>
            <w:shd w:val="clear" w:color="auto" w:fill="auto"/>
            <w:vAlign w:val="center"/>
          </w:tcPr>
          <w:p w14:paraId="4D03F2DC" w14:textId="77777777" w:rsidR="00BB3746" w:rsidRPr="00E92571" w:rsidRDefault="00BB3746" w:rsidP="002462BB">
            <w:pPr>
              <w:rPr>
                <w:rFonts w:cs="Arial"/>
                <w:sz w:val="20"/>
                <w:szCs w:val="20"/>
              </w:rPr>
            </w:pPr>
            <w:r w:rsidRPr="00E92571">
              <w:rPr>
                <w:rFonts w:cs="Arial"/>
                <w:sz w:val="20"/>
                <w:szCs w:val="20"/>
              </w:rPr>
              <w:t>Year two and four court performance trend data reported by PICs.</w:t>
            </w:r>
          </w:p>
        </w:tc>
        <w:tc>
          <w:tcPr>
            <w:tcW w:w="2178" w:type="dxa"/>
            <w:shd w:val="clear" w:color="auto" w:fill="auto"/>
            <w:vAlign w:val="center"/>
          </w:tcPr>
          <w:p w14:paraId="2B88BC23" w14:textId="77777777" w:rsidR="00BB3746" w:rsidRPr="00E92571" w:rsidRDefault="00BB3746" w:rsidP="002462BB">
            <w:pPr>
              <w:rPr>
                <w:rFonts w:cs="Arial"/>
                <w:sz w:val="20"/>
                <w:szCs w:val="20"/>
              </w:rPr>
            </w:pPr>
            <w:r w:rsidRPr="00E92571">
              <w:rPr>
                <w:rFonts w:cs="Arial"/>
                <w:sz w:val="20"/>
                <w:szCs w:val="20"/>
              </w:rPr>
              <w:t xml:space="preserve">Quality and breadth of data reported. </w:t>
            </w:r>
          </w:p>
        </w:tc>
        <w:tc>
          <w:tcPr>
            <w:tcW w:w="1559" w:type="dxa"/>
            <w:shd w:val="clear" w:color="auto" w:fill="auto"/>
            <w:vAlign w:val="center"/>
          </w:tcPr>
          <w:p w14:paraId="37A658DE" w14:textId="77777777" w:rsidR="00BB3746" w:rsidRPr="00E92571" w:rsidRDefault="00BB3746" w:rsidP="002462BB">
            <w:pPr>
              <w:rPr>
                <w:rFonts w:cs="Arial"/>
                <w:sz w:val="20"/>
                <w:szCs w:val="20"/>
              </w:rPr>
            </w:pPr>
            <w:r w:rsidRPr="00E92571">
              <w:rPr>
                <w:rFonts w:cs="Arial"/>
                <w:sz w:val="20"/>
                <w:szCs w:val="20"/>
              </w:rPr>
              <w:t>TA report.</w:t>
            </w:r>
          </w:p>
        </w:tc>
        <w:tc>
          <w:tcPr>
            <w:tcW w:w="851" w:type="dxa"/>
            <w:vMerge w:val="restart"/>
            <w:shd w:val="clear" w:color="auto" w:fill="auto"/>
            <w:vAlign w:val="center"/>
          </w:tcPr>
          <w:p w14:paraId="03AC0170" w14:textId="77777777" w:rsidR="00BB3746" w:rsidRPr="00E92571" w:rsidRDefault="00BB3746" w:rsidP="002462BB">
            <w:pPr>
              <w:rPr>
                <w:rFonts w:cs="Arial"/>
                <w:sz w:val="20"/>
                <w:szCs w:val="20"/>
              </w:rPr>
            </w:pPr>
            <w:r w:rsidRPr="00E92571">
              <w:rPr>
                <w:rFonts w:cs="Arial"/>
                <w:sz w:val="20"/>
                <w:szCs w:val="20"/>
              </w:rPr>
              <w:t>TA</w:t>
            </w:r>
          </w:p>
        </w:tc>
      </w:tr>
      <w:tr w:rsidR="00BB3746" w:rsidRPr="00E92571" w14:paraId="60813888" w14:textId="77777777" w:rsidTr="000F6360">
        <w:trPr>
          <w:trHeight w:val="109"/>
          <w:jc w:val="center"/>
        </w:trPr>
        <w:tc>
          <w:tcPr>
            <w:tcW w:w="1838" w:type="dxa"/>
            <w:vMerge/>
            <w:tcBorders>
              <w:bottom w:val="single" w:sz="4" w:space="0" w:color="auto"/>
            </w:tcBorders>
            <w:shd w:val="clear" w:color="auto" w:fill="auto"/>
            <w:vAlign w:val="center"/>
          </w:tcPr>
          <w:p w14:paraId="718542BD" w14:textId="77777777" w:rsidR="00BB3746" w:rsidRPr="00E92571" w:rsidRDefault="00BB3746" w:rsidP="002462BB">
            <w:pPr>
              <w:rPr>
                <w:rFonts w:cs="Arial"/>
                <w:sz w:val="20"/>
                <w:szCs w:val="20"/>
              </w:rPr>
            </w:pPr>
          </w:p>
        </w:tc>
        <w:tc>
          <w:tcPr>
            <w:tcW w:w="1694" w:type="dxa"/>
            <w:vMerge/>
            <w:tcBorders>
              <w:bottom w:val="single" w:sz="4" w:space="0" w:color="auto"/>
            </w:tcBorders>
            <w:shd w:val="clear" w:color="auto" w:fill="auto"/>
            <w:vAlign w:val="center"/>
          </w:tcPr>
          <w:p w14:paraId="205E4B11" w14:textId="77777777" w:rsidR="00BB3746" w:rsidRPr="00E92571" w:rsidRDefault="00BB3746" w:rsidP="002462BB">
            <w:pPr>
              <w:rPr>
                <w:rFonts w:cs="Arial"/>
                <w:sz w:val="20"/>
                <w:szCs w:val="20"/>
              </w:rPr>
            </w:pPr>
          </w:p>
        </w:tc>
        <w:tc>
          <w:tcPr>
            <w:tcW w:w="1798" w:type="dxa"/>
            <w:vMerge/>
            <w:tcBorders>
              <w:bottom w:val="single" w:sz="4" w:space="0" w:color="auto"/>
            </w:tcBorders>
            <w:shd w:val="clear" w:color="auto" w:fill="auto"/>
            <w:vAlign w:val="center"/>
          </w:tcPr>
          <w:p w14:paraId="5C728F22" w14:textId="77777777" w:rsidR="00BB3746" w:rsidRPr="00E92571" w:rsidRDefault="00BB3746" w:rsidP="002462BB">
            <w:pPr>
              <w:rPr>
                <w:rFonts w:cs="Arial"/>
                <w:sz w:val="20"/>
                <w:szCs w:val="20"/>
              </w:rPr>
            </w:pPr>
          </w:p>
        </w:tc>
        <w:tc>
          <w:tcPr>
            <w:tcW w:w="2693" w:type="dxa"/>
            <w:vMerge/>
            <w:tcBorders>
              <w:bottom w:val="single" w:sz="4" w:space="0" w:color="auto"/>
            </w:tcBorders>
          </w:tcPr>
          <w:p w14:paraId="31EA01E4" w14:textId="77777777" w:rsidR="00BB3746" w:rsidRPr="00E92571" w:rsidRDefault="00BB3746" w:rsidP="002462BB">
            <w:pPr>
              <w:rPr>
                <w:rFonts w:cs="Arial"/>
                <w:sz w:val="20"/>
                <w:szCs w:val="20"/>
              </w:rPr>
            </w:pPr>
          </w:p>
        </w:tc>
        <w:tc>
          <w:tcPr>
            <w:tcW w:w="1843" w:type="dxa"/>
            <w:vMerge/>
            <w:tcBorders>
              <w:bottom w:val="single" w:sz="4" w:space="0" w:color="auto"/>
            </w:tcBorders>
            <w:shd w:val="clear" w:color="auto" w:fill="auto"/>
            <w:vAlign w:val="center"/>
          </w:tcPr>
          <w:p w14:paraId="795748F0" w14:textId="77777777" w:rsidR="00BB3746" w:rsidRPr="00E92571" w:rsidRDefault="00BB3746" w:rsidP="002462BB">
            <w:pPr>
              <w:rPr>
                <w:rFonts w:cs="Arial"/>
                <w:sz w:val="20"/>
                <w:szCs w:val="20"/>
              </w:rPr>
            </w:pPr>
          </w:p>
        </w:tc>
        <w:tc>
          <w:tcPr>
            <w:tcW w:w="2178" w:type="dxa"/>
            <w:tcBorders>
              <w:bottom w:val="single" w:sz="4" w:space="0" w:color="auto"/>
            </w:tcBorders>
            <w:shd w:val="clear" w:color="auto" w:fill="auto"/>
            <w:vAlign w:val="center"/>
          </w:tcPr>
          <w:p w14:paraId="24961979" w14:textId="77777777" w:rsidR="00BB3746" w:rsidRPr="00E92571" w:rsidRDefault="00BB3746" w:rsidP="002462BB">
            <w:pPr>
              <w:rPr>
                <w:rFonts w:cs="Arial"/>
                <w:sz w:val="20"/>
                <w:szCs w:val="20"/>
              </w:rPr>
            </w:pPr>
            <w:r w:rsidRPr="00E92571">
              <w:rPr>
                <w:rFonts w:cs="Arial"/>
                <w:sz w:val="20"/>
                <w:szCs w:val="20"/>
              </w:rPr>
              <w:t>Frequency and nature of references to performance data in court administrative and planning documents.</w:t>
            </w:r>
          </w:p>
        </w:tc>
        <w:tc>
          <w:tcPr>
            <w:tcW w:w="1559" w:type="dxa"/>
            <w:tcBorders>
              <w:bottom w:val="single" w:sz="4" w:space="0" w:color="auto"/>
            </w:tcBorders>
            <w:shd w:val="clear" w:color="auto" w:fill="auto"/>
            <w:vAlign w:val="center"/>
          </w:tcPr>
          <w:p w14:paraId="2D5BFB38" w14:textId="77777777" w:rsidR="00BB3746" w:rsidRPr="00E92571" w:rsidRDefault="00BB3746" w:rsidP="002462BB">
            <w:pPr>
              <w:rPr>
                <w:rFonts w:cs="Arial"/>
                <w:sz w:val="20"/>
                <w:szCs w:val="20"/>
              </w:rPr>
            </w:pPr>
            <w:r w:rsidRPr="00E92571">
              <w:rPr>
                <w:rFonts w:cs="Arial"/>
                <w:sz w:val="20"/>
                <w:szCs w:val="20"/>
              </w:rPr>
              <w:t>NCs / PIC Courts.</w:t>
            </w:r>
          </w:p>
        </w:tc>
        <w:tc>
          <w:tcPr>
            <w:tcW w:w="851" w:type="dxa"/>
            <w:vMerge/>
            <w:tcBorders>
              <w:bottom w:val="single" w:sz="4" w:space="0" w:color="auto"/>
            </w:tcBorders>
            <w:shd w:val="clear" w:color="auto" w:fill="auto"/>
            <w:vAlign w:val="center"/>
          </w:tcPr>
          <w:p w14:paraId="3CC15907" w14:textId="77777777" w:rsidR="00BB3746" w:rsidRPr="00E92571" w:rsidRDefault="00BB3746" w:rsidP="002462BB">
            <w:pPr>
              <w:rPr>
                <w:rFonts w:cs="Arial"/>
                <w:sz w:val="20"/>
                <w:szCs w:val="20"/>
              </w:rPr>
            </w:pPr>
          </w:p>
        </w:tc>
      </w:tr>
      <w:tr w:rsidR="008B63E1" w:rsidRPr="00E92571" w14:paraId="49CFA552" w14:textId="77777777" w:rsidTr="000F6360">
        <w:trPr>
          <w:trHeight w:val="274"/>
          <w:jc w:val="center"/>
        </w:trPr>
        <w:tc>
          <w:tcPr>
            <w:tcW w:w="14454" w:type="dxa"/>
            <w:gridSpan w:val="8"/>
            <w:tcBorders>
              <w:top w:val="nil"/>
            </w:tcBorders>
            <w:shd w:val="clear" w:color="auto" w:fill="BFBFBF" w:themeFill="background1" w:themeFillShade="BF"/>
            <w:vAlign w:val="center"/>
          </w:tcPr>
          <w:p w14:paraId="5A249E09" w14:textId="77777777" w:rsidR="008B63E1" w:rsidRPr="008B63E1" w:rsidRDefault="008B63E1" w:rsidP="002462BB">
            <w:pPr>
              <w:spacing w:before="120"/>
              <w:rPr>
                <w:rFonts w:cs="Arial"/>
                <w:b/>
              </w:rPr>
            </w:pPr>
            <w:r w:rsidRPr="008B63E1">
              <w:rPr>
                <w:rFonts w:cs="Arial"/>
                <w:b/>
                <w:sz w:val="22"/>
                <w:szCs w:val="22"/>
              </w:rPr>
              <w:t>4.0 Professional Development</w:t>
            </w:r>
          </w:p>
        </w:tc>
      </w:tr>
      <w:tr w:rsidR="00BB3746" w:rsidRPr="00E92571" w14:paraId="4ACF834F" w14:textId="77777777" w:rsidTr="000F6360">
        <w:trPr>
          <w:trHeight w:val="1097"/>
          <w:jc w:val="center"/>
        </w:trPr>
        <w:tc>
          <w:tcPr>
            <w:tcW w:w="1838" w:type="dxa"/>
            <w:vMerge w:val="restart"/>
            <w:shd w:val="clear" w:color="auto" w:fill="auto"/>
            <w:vAlign w:val="center"/>
          </w:tcPr>
          <w:p w14:paraId="3E0623C4" w14:textId="77777777" w:rsidR="00BB3746" w:rsidRPr="0042120D" w:rsidRDefault="00BB3746" w:rsidP="002462BB">
            <w:pPr>
              <w:spacing w:before="120"/>
              <w:rPr>
                <w:sz w:val="20"/>
                <w:szCs w:val="20"/>
              </w:rPr>
            </w:pPr>
            <w:r w:rsidRPr="00E92571">
              <w:rPr>
                <w:rFonts w:cs="Arial"/>
                <w:sz w:val="20"/>
                <w:szCs w:val="20"/>
              </w:rPr>
              <w:t xml:space="preserve">Every PIC </w:t>
            </w:r>
            <w:r>
              <w:rPr>
                <w:rFonts w:cs="Arial"/>
                <w:sz w:val="20"/>
                <w:szCs w:val="20"/>
              </w:rPr>
              <w:t xml:space="preserve">continues to have </w:t>
            </w:r>
            <w:r w:rsidRPr="00E92571">
              <w:rPr>
                <w:rFonts w:cs="Arial"/>
                <w:sz w:val="20"/>
                <w:szCs w:val="20"/>
              </w:rPr>
              <w:t xml:space="preserve">access to </w:t>
            </w:r>
            <w:r>
              <w:rPr>
                <w:rFonts w:cs="Arial"/>
                <w:sz w:val="20"/>
                <w:szCs w:val="20"/>
              </w:rPr>
              <w:t xml:space="preserve">one or more </w:t>
            </w:r>
            <w:r w:rsidRPr="00E92571">
              <w:rPr>
                <w:rFonts w:cs="Arial"/>
                <w:sz w:val="20"/>
                <w:szCs w:val="20"/>
              </w:rPr>
              <w:t>certified trainer</w:t>
            </w:r>
            <w:r>
              <w:rPr>
                <w:rFonts w:cs="Arial"/>
                <w:sz w:val="20"/>
                <w:szCs w:val="20"/>
              </w:rPr>
              <w:t>(s)</w:t>
            </w:r>
            <w:r w:rsidRPr="00E92571">
              <w:rPr>
                <w:rFonts w:cs="Arial"/>
                <w:sz w:val="20"/>
                <w:szCs w:val="20"/>
              </w:rPr>
              <w:t xml:space="preserve"> able to assess </w:t>
            </w:r>
            <w:proofErr w:type="gramStart"/>
            <w:r w:rsidRPr="00E92571">
              <w:rPr>
                <w:rFonts w:cs="Arial"/>
                <w:sz w:val="20"/>
                <w:szCs w:val="20"/>
              </w:rPr>
              <w:t>needs,</w:t>
            </w:r>
            <w:proofErr w:type="gramEnd"/>
            <w:r w:rsidRPr="00E92571">
              <w:rPr>
                <w:rFonts w:cs="Arial"/>
                <w:sz w:val="20"/>
                <w:szCs w:val="20"/>
              </w:rPr>
              <w:t xml:space="preserve"> design and deliver training to judicial and court officers</w:t>
            </w:r>
            <w:r>
              <w:rPr>
                <w:rFonts w:cs="Arial"/>
                <w:sz w:val="20"/>
                <w:szCs w:val="20"/>
              </w:rPr>
              <w:t xml:space="preserve"> </w:t>
            </w:r>
            <w:r>
              <w:rPr>
                <w:sz w:val="20"/>
                <w:szCs w:val="20"/>
              </w:rPr>
              <w:t xml:space="preserve">within the region to build professional competence. </w:t>
            </w:r>
            <w:r>
              <w:rPr>
                <w:rFonts w:cs="Arial"/>
                <w:bCs/>
                <w:sz w:val="20"/>
                <w:szCs w:val="20"/>
              </w:rPr>
              <w:t>75</w:t>
            </w:r>
            <w:r w:rsidRPr="0042120D">
              <w:rPr>
                <w:rFonts w:cs="Arial"/>
                <w:bCs/>
                <w:sz w:val="20"/>
                <w:szCs w:val="20"/>
              </w:rPr>
              <w:t>% of Judicial and court officers report increased confidence following training workshops</w:t>
            </w:r>
            <w:r w:rsidRPr="0042120D">
              <w:rPr>
                <w:rFonts w:cs="Arial"/>
                <w:sz w:val="20"/>
                <w:szCs w:val="20"/>
              </w:rPr>
              <w:t>.</w:t>
            </w:r>
          </w:p>
        </w:tc>
        <w:tc>
          <w:tcPr>
            <w:tcW w:w="1694" w:type="dxa"/>
            <w:vMerge w:val="restart"/>
            <w:shd w:val="clear" w:color="auto" w:fill="auto"/>
            <w:vAlign w:val="center"/>
          </w:tcPr>
          <w:p w14:paraId="0C96DC0A" w14:textId="77777777" w:rsidR="00BB3746" w:rsidRPr="00E92571" w:rsidRDefault="00BB3746" w:rsidP="002462BB">
            <w:pPr>
              <w:spacing w:before="120"/>
              <w:rPr>
                <w:rFonts w:cs="Arial"/>
                <w:b/>
                <w:bCs/>
                <w:szCs w:val="23"/>
              </w:rPr>
            </w:pPr>
            <w:r w:rsidRPr="00E92571">
              <w:rPr>
                <w:rFonts w:cs="Arial"/>
                <w:sz w:val="20"/>
                <w:szCs w:val="20"/>
              </w:rPr>
              <w:t>Every PIC has: access to a certified (national or regional) trainer to assess needs, design and deliver training to judicial and court officers; and judicial officers report 25% increase in competence as a result of attending workshop.</w:t>
            </w:r>
          </w:p>
        </w:tc>
        <w:tc>
          <w:tcPr>
            <w:tcW w:w="1798" w:type="dxa"/>
            <w:vMerge w:val="restart"/>
            <w:shd w:val="clear" w:color="auto" w:fill="auto"/>
            <w:vAlign w:val="center"/>
          </w:tcPr>
          <w:p w14:paraId="12842A33" w14:textId="77777777" w:rsidR="00BB3746" w:rsidRPr="00E92571" w:rsidRDefault="00BB3746" w:rsidP="002462BB">
            <w:pPr>
              <w:spacing w:before="120"/>
              <w:rPr>
                <w:rFonts w:cs="Arial"/>
                <w:b/>
                <w:bCs/>
                <w:szCs w:val="23"/>
              </w:rPr>
            </w:pPr>
            <w:r w:rsidRPr="00E92571">
              <w:rPr>
                <w:rFonts w:cs="Arial"/>
                <w:sz w:val="20"/>
                <w:szCs w:val="20"/>
              </w:rPr>
              <w:t>As at July 2010 there are 23 accredited judicial educators in 10 PICs, no Regional Training Team and no PIC-tailored ToT training programme. Judicial officers have not received regional orientation and decision-making training since the cessation of PJDP Phase 1 in June 2008.  Data about links between judicial orientation training and performance do not exist across the region.</w:t>
            </w:r>
          </w:p>
        </w:tc>
        <w:tc>
          <w:tcPr>
            <w:tcW w:w="2693" w:type="dxa"/>
            <w:vMerge w:val="restart"/>
            <w:vAlign w:val="center"/>
          </w:tcPr>
          <w:p w14:paraId="7353B3B3" w14:textId="77777777" w:rsidR="00BB3746" w:rsidRDefault="00BB3746" w:rsidP="002462BB">
            <w:pPr>
              <w:spacing w:before="120"/>
              <w:rPr>
                <w:sz w:val="20"/>
                <w:szCs w:val="20"/>
              </w:rPr>
            </w:pPr>
            <w:r>
              <w:rPr>
                <w:sz w:val="20"/>
                <w:szCs w:val="20"/>
              </w:rPr>
              <w:t xml:space="preserve">20 RTT members </w:t>
            </w:r>
            <w:r w:rsidR="00B23D31">
              <w:rPr>
                <w:sz w:val="20"/>
                <w:szCs w:val="20"/>
              </w:rPr>
              <w:t xml:space="preserve">have </w:t>
            </w:r>
            <w:r>
              <w:rPr>
                <w:sz w:val="20"/>
                <w:szCs w:val="20"/>
              </w:rPr>
              <w:t>received advanced-level training to improve their ability to assess needs, design and deliver training regionally and locally within their own court.</w:t>
            </w:r>
          </w:p>
          <w:p w14:paraId="6D21DDAD" w14:textId="77777777" w:rsidR="00BB3746" w:rsidRDefault="00BB3746" w:rsidP="002462BB">
            <w:pPr>
              <w:spacing w:before="120"/>
              <w:rPr>
                <w:sz w:val="20"/>
                <w:szCs w:val="20"/>
              </w:rPr>
            </w:pPr>
            <w:r>
              <w:rPr>
                <w:sz w:val="20"/>
                <w:szCs w:val="20"/>
              </w:rPr>
              <w:t xml:space="preserve">A </w:t>
            </w:r>
            <w:r w:rsidRPr="00B40BC9">
              <w:rPr>
                <w:sz w:val="20"/>
                <w:szCs w:val="20"/>
              </w:rPr>
              <w:t xml:space="preserve">RTT </w:t>
            </w:r>
            <w:r>
              <w:rPr>
                <w:sz w:val="20"/>
                <w:szCs w:val="20"/>
              </w:rPr>
              <w:t>regional mentoring network has been established to facilitate sharing of resources and training methodologies, as well as to provide additional support to the trainers.</w:t>
            </w:r>
          </w:p>
          <w:p w14:paraId="4742153B" w14:textId="77777777" w:rsidR="00BB3746" w:rsidRDefault="00BB3746" w:rsidP="002462BB">
            <w:pPr>
              <w:spacing w:before="120"/>
              <w:rPr>
                <w:rFonts w:cs="Arial"/>
                <w:bCs/>
                <w:sz w:val="20"/>
                <w:szCs w:val="20"/>
              </w:rPr>
            </w:pPr>
            <w:r>
              <w:rPr>
                <w:rFonts w:cs="Arial"/>
                <w:bCs/>
                <w:sz w:val="20"/>
                <w:szCs w:val="20"/>
              </w:rPr>
              <w:t xml:space="preserve">The Decision-Making Training </w:t>
            </w:r>
            <w:r w:rsidR="00B23D31">
              <w:rPr>
                <w:rFonts w:cs="Arial"/>
                <w:bCs/>
                <w:sz w:val="20"/>
                <w:szCs w:val="20"/>
              </w:rPr>
              <w:t>was undertaken</w:t>
            </w:r>
            <w:r>
              <w:rPr>
                <w:rFonts w:cs="Arial"/>
                <w:bCs/>
                <w:sz w:val="20"/>
                <w:szCs w:val="20"/>
              </w:rPr>
              <w:t xml:space="preserve"> in Vanuatu</w:t>
            </w:r>
            <w:r w:rsidR="00B23D31">
              <w:rPr>
                <w:rFonts w:cs="Arial"/>
                <w:bCs/>
                <w:sz w:val="20"/>
                <w:szCs w:val="20"/>
              </w:rPr>
              <w:t>.</w:t>
            </w:r>
            <w:r>
              <w:rPr>
                <w:rFonts w:cs="Arial"/>
                <w:bCs/>
                <w:sz w:val="20"/>
                <w:szCs w:val="20"/>
              </w:rPr>
              <w:t xml:space="preserve"> </w:t>
            </w:r>
            <w:r w:rsidR="00B23D31">
              <w:rPr>
                <w:rFonts w:cs="Arial"/>
                <w:bCs/>
                <w:sz w:val="20"/>
                <w:szCs w:val="20"/>
              </w:rPr>
              <w:t>An additional activity approved under LoV13 – Local Orientation Training was delivered in FSM.</w:t>
            </w:r>
          </w:p>
          <w:p w14:paraId="4D355B1D" w14:textId="77777777" w:rsidR="00BB3746" w:rsidRPr="00E92571" w:rsidRDefault="00BB3746" w:rsidP="002462BB">
            <w:pPr>
              <w:spacing w:before="120"/>
              <w:rPr>
                <w:sz w:val="20"/>
                <w:szCs w:val="20"/>
              </w:rPr>
            </w:pPr>
          </w:p>
        </w:tc>
        <w:tc>
          <w:tcPr>
            <w:tcW w:w="1843" w:type="dxa"/>
            <w:vMerge w:val="restart"/>
            <w:shd w:val="clear" w:color="auto" w:fill="auto"/>
            <w:vAlign w:val="center"/>
          </w:tcPr>
          <w:p w14:paraId="12F549D8" w14:textId="77777777" w:rsidR="00BB3746" w:rsidRPr="00E92571" w:rsidRDefault="00BB3746" w:rsidP="002462BB">
            <w:pPr>
              <w:spacing w:before="120"/>
              <w:rPr>
                <w:rFonts w:cs="Arial"/>
                <w:b/>
                <w:bCs/>
                <w:sz w:val="20"/>
                <w:szCs w:val="20"/>
              </w:rPr>
            </w:pPr>
            <w:r w:rsidRPr="00E92571">
              <w:rPr>
                <w:sz w:val="20"/>
                <w:szCs w:val="20"/>
              </w:rPr>
              <w:t>PICs have greater capacity and ability to deliver their own professional development training locally and regionally</w:t>
            </w:r>
            <w:r w:rsidRPr="00E92571">
              <w:rPr>
                <w:rFonts w:cs="Arial"/>
                <w:sz w:val="20"/>
                <w:szCs w:val="20"/>
              </w:rPr>
              <w:t>.</w:t>
            </w:r>
          </w:p>
        </w:tc>
        <w:tc>
          <w:tcPr>
            <w:tcW w:w="2178" w:type="dxa"/>
            <w:shd w:val="clear" w:color="auto" w:fill="auto"/>
            <w:vAlign w:val="center"/>
          </w:tcPr>
          <w:p w14:paraId="671EA2EE" w14:textId="77777777" w:rsidR="00BB3746" w:rsidRPr="00E92571" w:rsidRDefault="00BB3746" w:rsidP="002462BB">
            <w:pPr>
              <w:spacing w:before="120"/>
              <w:rPr>
                <w:rFonts w:cs="Arial"/>
                <w:sz w:val="20"/>
                <w:szCs w:val="20"/>
              </w:rPr>
            </w:pPr>
            <w:r w:rsidRPr="00E92571">
              <w:rPr>
                <w:rFonts w:cs="Arial"/>
                <w:sz w:val="20"/>
                <w:szCs w:val="20"/>
              </w:rPr>
              <w:t>The number of local trainers/RTT members leading training locally without PJDP support/ intervention.</w:t>
            </w:r>
          </w:p>
          <w:p w14:paraId="1D5D7EE5" w14:textId="77777777" w:rsidR="00BB3746" w:rsidRPr="00E92571" w:rsidRDefault="00BB3746" w:rsidP="002462BB">
            <w:pPr>
              <w:spacing w:before="120"/>
              <w:rPr>
                <w:rFonts w:cs="Arial"/>
                <w:b/>
                <w:bCs/>
                <w:szCs w:val="23"/>
              </w:rPr>
            </w:pPr>
          </w:p>
        </w:tc>
        <w:tc>
          <w:tcPr>
            <w:tcW w:w="1559" w:type="dxa"/>
            <w:shd w:val="clear" w:color="auto" w:fill="auto"/>
            <w:vAlign w:val="center"/>
          </w:tcPr>
          <w:p w14:paraId="26D9E964" w14:textId="77777777" w:rsidR="00BB3746" w:rsidRPr="00E92571" w:rsidRDefault="00BB3746" w:rsidP="002462BB">
            <w:pPr>
              <w:spacing w:before="120"/>
              <w:rPr>
                <w:rFonts w:cs="Arial"/>
                <w:b/>
                <w:bCs/>
                <w:szCs w:val="23"/>
              </w:rPr>
            </w:pPr>
            <w:r w:rsidRPr="00E92571">
              <w:rPr>
                <w:rFonts w:cs="Arial"/>
                <w:sz w:val="20"/>
                <w:szCs w:val="20"/>
              </w:rPr>
              <w:t>TA reports, trainers’/RTT members reports.</w:t>
            </w:r>
          </w:p>
        </w:tc>
        <w:tc>
          <w:tcPr>
            <w:tcW w:w="851" w:type="dxa"/>
            <w:shd w:val="clear" w:color="auto" w:fill="auto"/>
            <w:vAlign w:val="center"/>
          </w:tcPr>
          <w:p w14:paraId="10DB5EC6" w14:textId="77777777" w:rsidR="00BB3746" w:rsidRPr="00E92571" w:rsidRDefault="00BB3746" w:rsidP="002462BB">
            <w:pPr>
              <w:spacing w:before="120"/>
              <w:rPr>
                <w:rFonts w:cs="Arial"/>
                <w:b/>
                <w:bCs/>
                <w:szCs w:val="23"/>
              </w:rPr>
            </w:pPr>
            <w:r w:rsidRPr="00E92571">
              <w:rPr>
                <w:rFonts w:cs="Arial"/>
                <w:sz w:val="20"/>
                <w:szCs w:val="20"/>
              </w:rPr>
              <w:t>TAs</w:t>
            </w:r>
          </w:p>
        </w:tc>
      </w:tr>
      <w:tr w:rsidR="00BB3746" w:rsidRPr="00E92571" w14:paraId="7215DB25" w14:textId="77777777" w:rsidTr="000F6360">
        <w:trPr>
          <w:trHeight w:val="3137"/>
          <w:jc w:val="center"/>
        </w:trPr>
        <w:tc>
          <w:tcPr>
            <w:tcW w:w="1838" w:type="dxa"/>
            <w:vMerge/>
            <w:shd w:val="clear" w:color="auto" w:fill="auto"/>
            <w:vAlign w:val="center"/>
          </w:tcPr>
          <w:p w14:paraId="15ED3C14" w14:textId="77777777" w:rsidR="00BB3746" w:rsidRPr="00E92571" w:rsidRDefault="00BB3746" w:rsidP="002462BB">
            <w:pPr>
              <w:spacing w:before="120"/>
              <w:rPr>
                <w:sz w:val="20"/>
                <w:szCs w:val="20"/>
              </w:rPr>
            </w:pPr>
          </w:p>
        </w:tc>
        <w:tc>
          <w:tcPr>
            <w:tcW w:w="1694" w:type="dxa"/>
            <w:vMerge/>
            <w:shd w:val="clear" w:color="auto" w:fill="auto"/>
            <w:vAlign w:val="center"/>
          </w:tcPr>
          <w:p w14:paraId="49267E97" w14:textId="77777777" w:rsidR="00BB3746" w:rsidRPr="00E92571" w:rsidRDefault="00BB3746" w:rsidP="002462BB">
            <w:pPr>
              <w:spacing w:before="120"/>
              <w:rPr>
                <w:rFonts w:cs="Arial"/>
                <w:sz w:val="20"/>
                <w:szCs w:val="20"/>
              </w:rPr>
            </w:pPr>
          </w:p>
        </w:tc>
        <w:tc>
          <w:tcPr>
            <w:tcW w:w="1798" w:type="dxa"/>
            <w:vMerge/>
            <w:shd w:val="clear" w:color="auto" w:fill="auto"/>
            <w:vAlign w:val="center"/>
          </w:tcPr>
          <w:p w14:paraId="64D350F4" w14:textId="77777777" w:rsidR="00BB3746" w:rsidRPr="00E92571" w:rsidRDefault="00BB3746" w:rsidP="002462BB">
            <w:pPr>
              <w:spacing w:before="120"/>
              <w:rPr>
                <w:rFonts w:cs="Arial"/>
                <w:sz w:val="20"/>
                <w:szCs w:val="20"/>
              </w:rPr>
            </w:pPr>
          </w:p>
        </w:tc>
        <w:tc>
          <w:tcPr>
            <w:tcW w:w="2693" w:type="dxa"/>
            <w:vMerge/>
          </w:tcPr>
          <w:p w14:paraId="19D58246" w14:textId="77777777" w:rsidR="00BB3746" w:rsidRPr="00E92571" w:rsidRDefault="00BB3746" w:rsidP="002462BB">
            <w:pPr>
              <w:spacing w:before="120"/>
              <w:rPr>
                <w:sz w:val="20"/>
                <w:szCs w:val="20"/>
              </w:rPr>
            </w:pPr>
          </w:p>
        </w:tc>
        <w:tc>
          <w:tcPr>
            <w:tcW w:w="1843" w:type="dxa"/>
            <w:vMerge/>
            <w:shd w:val="clear" w:color="auto" w:fill="auto"/>
            <w:vAlign w:val="center"/>
          </w:tcPr>
          <w:p w14:paraId="2EF384E8" w14:textId="77777777" w:rsidR="00BB3746" w:rsidRPr="00E92571" w:rsidRDefault="00BB3746" w:rsidP="002462BB">
            <w:pPr>
              <w:spacing w:before="120"/>
              <w:rPr>
                <w:sz w:val="20"/>
                <w:szCs w:val="20"/>
              </w:rPr>
            </w:pPr>
          </w:p>
        </w:tc>
        <w:tc>
          <w:tcPr>
            <w:tcW w:w="2178" w:type="dxa"/>
            <w:shd w:val="clear" w:color="auto" w:fill="auto"/>
            <w:vAlign w:val="center"/>
          </w:tcPr>
          <w:p w14:paraId="4F3E8B14" w14:textId="77777777" w:rsidR="00BB3746" w:rsidRPr="00E92571" w:rsidRDefault="00BB3746" w:rsidP="002462BB">
            <w:pPr>
              <w:spacing w:before="120"/>
              <w:rPr>
                <w:rFonts w:cs="Arial"/>
                <w:sz w:val="20"/>
                <w:szCs w:val="20"/>
              </w:rPr>
            </w:pPr>
            <w:r w:rsidRPr="00E92571">
              <w:rPr>
                <w:rFonts w:cs="Arial"/>
                <w:sz w:val="20"/>
                <w:szCs w:val="20"/>
              </w:rPr>
              <w:t>Perceptions of the quality of the local trainer/RTT lead training.</w:t>
            </w:r>
          </w:p>
        </w:tc>
        <w:tc>
          <w:tcPr>
            <w:tcW w:w="1559" w:type="dxa"/>
            <w:shd w:val="clear" w:color="auto" w:fill="auto"/>
            <w:vAlign w:val="center"/>
          </w:tcPr>
          <w:p w14:paraId="2D6A4D17" w14:textId="77777777" w:rsidR="00BB3746" w:rsidRPr="00E92571" w:rsidRDefault="00BB3746" w:rsidP="002462BB">
            <w:pPr>
              <w:spacing w:before="120"/>
              <w:rPr>
                <w:rFonts w:cs="Arial"/>
                <w:sz w:val="20"/>
                <w:szCs w:val="20"/>
              </w:rPr>
            </w:pPr>
            <w:r w:rsidRPr="00E92571">
              <w:rPr>
                <w:rFonts w:cs="Arial"/>
                <w:sz w:val="20"/>
                <w:szCs w:val="20"/>
              </w:rPr>
              <w:t>Feedback from workshop participants as included in local trainer/RTT reports provided to the MSC.</w:t>
            </w:r>
          </w:p>
        </w:tc>
        <w:tc>
          <w:tcPr>
            <w:tcW w:w="851" w:type="dxa"/>
            <w:shd w:val="clear" w:color="auto" w:fill="auto"/>
            <w:vAlign w:val="center"/>
          </w:tcPr>
          <w:p w14:paraId="621C487D" w14:textId="77777777" w:rsidR="00BB3746" w:rsidRPr="00E92571" w:rsidRDefault="00BB3746" w:rsidP="002462BB">
            <w:pPr>
              <w:spacing w:before="120"/>
              <w:rPr>
                <w:rFonts w:cs="Arial"/>
                <w:sz w:val="20"/>
                <w:szCs w:val="20"/>
              </w:rPr>
            </w:pPr>
            <w:r w:rsidRPr="00E92571">
              <w:rPr>
                <w:rFonts w:cs="Arial"/>
                <w:sz w:val="20"/>
                <w:szCs w:val="20"/>
              </w:rPr>
              <w:t>RTT/</w:t>
            </w:r>
            <w:r w:rsidR="00B23D31">
              <w:rPr>
                <w:rFonts w:cs="Arial"/>
                <w:sz w:val="20"/>
                <w:szCs w:val="20"/>
              </w:rPr>
              <w:t xml:space="preserve"> </w:t>
            </w:r>
            <w:r w:rsidRPr="00E92571">
              <w:rPr>
                <w:rFonts w:cs="Arial"/>
                <w:sz w:val="20"/>
                <w:szCs w:val="20"/>
              </w:rPr>
              <w:t>local trainers</w:t>
            </w:r>
          </w:p>
        </w:tc>
      </w:tr>
      <w:tr w:rsidR="008B63E1" w:rsidRPr="00E92571" w14:paraId="481D6E93" w14:textId="77777777" w:rsidTr="000F6360">
        <w:trPr>
          <w:trHeight w:val="380"/>
          <w:jc w:val="center"/>
        </w:trPr>
        <w:tc>
          <w:tcPr>
            <w:tcW w:w="14454" w:type="dxa"/>
            <w:gridSpan w:val="8"/>
            <w:shd w:val="clear" w:color="auto" w:fill="F2F2F2" w:themeFill="background1" w:themeFillShade="F2"/>
            <w:vAlign w:val="center"/>
          </w:tcPr>
          <w:p w14:paraId="4B84FE52" w14:textId="77777777" w:rsidR="008B63E1" w:rsidRPr="008B63E1" w:rsidRDefault="008B63E1" w:rsidP="002462BB">
            <w:pPr>
              <w:rPr>
                <w:rFonts w:cs="Arial"/>
                <w:b/>
                <w:sz w:val="20"/>
                <w:szCs w:val="20"/>
              </w:rPr>
            </w:pPr>
            <w:r w:rsidRPr="008B63E1">
              <w:rPr>
                <w:rFonts w:cs="Arial"/>
                <w:b/>
                <w:sz w:val="20"/>
                <w:szCs w:val="20"/>
              </w:rPr>
              <w:lastRenderedPageBreak/>
              <w:t>4.1 Regional Training Capacity</w:t>
            </w:r>
          </w:p>
        </w:tc>
      </w:tr>
      <w:tr w:rsidR="00BB3746" w:rsidRPr="00E92571" w14:paraId="4D09718F" w14:textId="77777777" w:rsidTr="000F6360">
        <w:trPr>
          <w:trHeight w:val="1275"/>
          <w:jc w:val="center"/>
        </w:trPr>
        <w:tc>
          <w:tcPr>
            <w:tcW w:w="1838" w:type="dxa"/>
            <w:vMerge w:val="restart"/>
            <w:shd w:val="clear" w:color="auto" w:fill="auto"/>
            <w:vAlign w:val="center"/>
          </w:tcPr>
          <w:p w14:paraId="2C27CEA0" w14:textId="77777777" w:rsidR="00BB3746" w:rsidRPr="00E92571" w:rsidRDefault="00BB3746" w:rsidP="002462BB">
            <w:pPr>
              <w:rPr>
                <w:rFonts w:cs="Arial"/>
                <w:sz w:val="20"/>
                <w:szCs w:val="20"/>
              </w:rPr>
            </w:pPr>
            <w:r w:rsidRPr="00E92571">
              <w:rPr>
                <w:rFonts w:cs="Arial"/>
                <w:sz w:val="20"/>
                <w:szCs w:val="20"/>
              </w:rPr>
              <w:t xml:space="preserve">Every PIC </w:t>
            </w:r>
            <w:r>
              <w:rPr>
                <w:rFonts w:cs="Arial"/>
                <w:sz w:val="20"/>
                <w:szCs w:val="20"/>
              </w:rPr>
              <w:t xml:space="preserve">continues to have </w:t>
            </w:r>
            <w:r w:rsidRPr="00E92571">
              <w:rPr>
                <w:rFonts w:cs="Arial"/>
                <w:sz w:val="20"/>
                <w:szCs w:val="20"/>
              </w:rPr>
              <w:t xml:space="preserve">access to </w:t>
            </w:r>
            <w:r>
              <w:rPr>
                <w:rFonts w:cs="Arial"/>
                <w:sz w:val="20"/>
                <w:szCs w:val="20"/>
              </w:rPr>
              <w:t xml:space="preserve">one or more </w:t>
            </w:r>
            <w:r w:rsidRPr="00E92571">
              <w:rPr>
                <w:rFonts w:cs="Arial"/>
                <w:sz w:val="20"/>
                <w:szCs w:val="20"/>
              </w:rPr>
              <w:t>certified trainer</w:t>
            </w:r>
            <w:r>
              <w:rPr>
                <w:rFonts w:cs="Arial"/>
                <w:sz w:val="20"/>
                <w:szCs w:val="20"/>
              </w:rPr>
              <w:t>(s)</w:t>
            </w:r>
            <w:r w:rsidRPr="00E92571">
              <w:rPr>
                <w:rFonts w:cs="Arial"/>
                <w:sz w:val="20"/>
                <w:szCs w:val="20"/>
              </w:rPr>
              <w:t xml:space="preserve"> able to assess </w:t>
            </w:r>
            <w:proofErr w:type="gramStart"/>
            <w:r w:rsidRPr="00E92571">
              <w:rPr>
                <w:rFonts w:cs="Arial"/>
                <w:sz w:val="20"/>
                <w:szCs w:val="20"/>
              </w:rPr>
              <w:t>needs,</w:t>
            </w:r>
            <w:proofErr w:type="gramEnd"/>
            <w:r w:rsidRPr="00E92571">
              <w:rPr>
                <w:rFonts w:cs="Arial"/>
                <w:sz w:val="20"/>
                <w:szCs w:val="20"/>
              </w:rPr>
              <w:t xml:space="preserve"> design and deliver training to judicial and court officers</w:t>
            </w:r>
            <w:r w:rsidR="00B23D31">
              <w:rPr>
                <w:rFonts w:cs="Arial"/>
                <w:sz w:val="20"/>
                <w:szCs w:val="20"/>
              </w:rPr>
              <w:t>.</w:t>
            </w:r>
          </w:p>
        </w:tc>
        <w:tc>
          <w:tcPr>
            <w:tcW w:w="1694" w:type="dxa"/>
            <w:vMerge w:val="restart"/>
            <w:shd w:val="clear" w:color="auto" w:fill="auto"/>
            <w:vAlign w:val="center"/>
          </w:tcPr>
          <w:p w14:paraId="0E2EA612" w14:textId="77777777" w:rsidR="00BB3746" w:rsidRPr="00E92571" w:rsidRDefault="00BB3746" w:rsidP="002462BB">
            <w:pPr>
              <w:rPr>
                <w:rFonts w:cs="Arial"/>
                <w:sz w:val="20"/>
                <w:szCs w:val="20"/>
              </w:rPr>
            </w:pPr>
            <w:r w:rsidRPr="00E92571">
              <w:rPr>
                <w:rFonts w:cs="Arial"/>
                <w:sz w:val="20"/>
                <w:szCs w:val="20"/>
              </w:rPr>
              <w:t>Every PIC has access to a certified trainer able to assess needs, design and deliver training to judicial and court officers</w:t>
            </w:r>
            <w:r w:rsidR="00B23D31">
              <w:rPr>
                <w:rFonts w:cs="Arial"/>
                <w:sz w:val="20"/>
                <w:szCs w:val="20"/>
              </w:rPr>
              <w:t>.</w:t>
            </w:r>
          </w:p>
        </w:tc>
        <w:tc>
          <w:tcPr>
            <w:tcW w:w="1798" w:type="dxa"/>
            <w:vMerge w:val="restart"/>
            <w:shd w:val="clear" w:color="auto" w:fill="auto"/>
            <w:vAlign w:val="center"/>
          </w:tcPr>
          <w:p w14:paraId="2EA5C121" w14:textId="77777777" w:rsidR="00BB3746" w:rsidRPr="00E92571" w:rsidRDefault="00BB3746" w:rsidP="002462BB">
            <w:pPr>
              <w:rPr>
                <w:rFonts w:cs="Arial"/>
                <w:sz w:val="20"/>
                <w:szCs w:val="20"/>
              </w:rPr>
            </w:pPr>
            <w:r w:rsidRPr="00E92571">
              <w:rPr>
                <w:rFonts w:cs="Arial"/>
                <w:sz w:val="20"/>
                <w:szCs w:val="20"/>
              </w:rPr>
              <w:t>As at July 2010 there are 23 accredited judicial educators in 10 PICs, no Regional Training Team and no PIC-tailored ToT training programme.</w:t>
            </w:r>
          </w:p>
        </w:tc>
        <w:tc>
          <w:tcPr>
            <w:tcW w:w="2693" w:type="dxa"/>
            <w:vMerge w:val="restart"/>
            <w:vAlign w:val="center"/>
          </w:tcPr>
          <w:p w14:paraId="27EED87F" w14:textId="77777777" w:rsidR="00BB3746" w:rsidRPr="00B40BC9" w:rsidRDefault="00BB3746" w:rsidP="002462BB">
            <w:pPr>
              <w:rPr>
                <w:sz w:val="20"/>
                <w:szCs w:val="20"/>
              </w:rPr>
            </w:pPr>
            <w:r>
              <w:rPr>
                <w:sz w:val="20"/>
                <w:szCs w:val="20"/>
              </w:rPr>
              <w:t>The c</w:t>
            </w:r>
            <w:r w:rsidRPr="00B40BC9">
              <w:rPr>
                <w:sz w:val="20"/>
                <w:szCs w:val="20"/>
              </w:rPr>
              <w:t>apacity of 20 RTT members to manage and conduct regional and local training was built at the advanced-level RTT workshop, as well as their confidence and ability to develop curricul</w:t>
            </w:r>
            <w:r>
              <w:rPr>
                <w:sz w:val="20"/>
                <w:szCs w:val="20"/>
              </w:rPr>
              <w:t>a</w:t>
            </w:r>
            <w:r w:rsidRPr="00B40BC9">
              <w:rPr>
                <w:sz w:val="20"/>
                <w:szCs w:val="20"/>
              </w:rPr>
              <w:t xml:space="preserve"> and deliver training. Each of the 20 RTTs that attended will deliver training programs within their courts before March 2014 as a one-day training activity to reinforce their ability to assess needs, design and deliver training to judicial and court officers.</w:t>
            </w:r>
          </w:p>
          <w:p w14:paraId="10F43AE2" w14:textId="77777777" w:rsidR="00BB3746" w:rsidRPr="00B40BC9" w:rsidRDefault="00BB3746" w:rsidP="002462BB">
            <w:pPr>
              <w:rPr>
                <w:sz w:val="20"/>
                <w:szCs w:val="20"/>
              </w:rPr>
            </w:pPr>
          </w:p>
          <w:p w14:paraId="0483B32B" w14:textId="77777777" w:rsidR="00BB3746" w:rsidRPr="00E92571" w:rsidRDefault="00BB3746" w:rsidP="002462BB">
            <w:pPr>
              <w:rPr>
                <w:sz w:val="20"/>
                <w:szCs w:val="20"/>
              </w:rPr>
            </w:pPr>
            <w:r w:rsidRPr="00B40BC9">
              <w:rPr>
                <w:sz w:val="20"/>
                <w:szCs w:val="20"/>
              </w:rPr>
              <w:t>RTT members have shared training resources and methodologies, and have an ongoing opportunity to sustain this exchange, as well as receive additional support via the regional mentoring network that was established for RTT members.</w:t>
            </w:r>
          </w:p>
        </w:tc>
        <w:tc>
          <w:tcPr>
            <w:tcW w:w="1843" w:type="dxa"/>
            <w:vMerge w:val="restart"/>
            <w:shd w:val="clear" w:color="auto" w:fill="auto"/>
            <w:vAlign w:val="center"/>
          </w:tcPr>
          <w:p w14:paraId="4B7D1B8A" w14:textId="77777777" w:rsidR="00BB3746" w:rsidRPr="00E92571" w:rsidRDefault="00BB3746" w:rsidP="002462BB">
            <w:pPr>
              <w:rPr>
                <w:rFonts w:cs="Arial"/>
                <w:sz w:val="20"/>
                <w:szCs w:val="20"/>
              </w:rPr>
            </w:pPr>
            <w:r w:rsidRPr="00E92571">
              <w:rPr>
                <w:sz w:val="20"/>
                <w:szCs w:val="20"/>
              </w:rPr>
              <w:t>The RTT is replenished with qualified trainers.</w:t>
            </w:r>
          </w:p>
        </w:tc>
        <w:tc>
          <w:tcPr>
            <w:tcW w:w="2178" w:type="dxa"/>
            <w:shd w:val="clear" w:color="auto" w:fill="auto"/>
            <w:vAlign w:val="center"/>
          </w:tcPr>
          <w:p w14:paraId="19964956" w14:textId="77777777" w:rsidR="00BB3746" w:rsidRPr="00E92571" w:rsidRDefault="00BB3746" w:rsidP="002462BB">
            <w:pPr>
              <w:rPr>
                <w:rFonts w:cs="Arial"/>
                <w:sz w:val="20"/>
                <w:szCs w:val="20"/>
              </w:rPr>
            </w:pPr>
            <w:r w:rsidRPr="00E92571">
              <w:rPr>
                <w:rFonts w:cs="Arial"/>
                <w:sz w:val="20"/>
                <w:szCs w:val="20"/>
              </w:rPr>
              <w:t xml:space="preserve">Participants </w:t>
            </w:r>
            <w:r>
              <w:rPr>
                <w:rFonts w:cs="Arial"/>
                <w:sz w:val="20"/>
                <w:szCs w:val="20"/>
              </w:rPr>
              <w:t xml:space="preserve">attaining an appropriate level of competence are </w:t>
            </w:r>
            <w:r w:rsidRPr="00E92571">
              <w:rPr>
                <w:rFonts w:cs="Arial"/>
                <w:sz w:val="20"/>
                <w:szCs w:val="20"/>
              </w:rPr>
              <w:t>certified to deliver training regionally/ locally</w:t>
            </w:r>
            <w:r>
              <w:rPr>
                <w:rFonts w:cs="Arial"/>
                <w:sz w:val="20"/>
                <w:szCs w:val="20"/>
              </w:rPr>
              <w:t>,</w:t>
            </w:r>
            <w:r w:rsidRPr="00E92571">
              <w:rPr>
                <w:rFonts w:cs="Arial"/>
                <w:sz w:val="20"/>
                <w:szCs w:val="20"/>
              </w:rPr>
              <w:t xml:space="preserve"> and perceptions of </w:t>
            </w:r>
            <w:r>
              <w:rPr>
                <w:rFonts w:cs="Arial"/>
                <w:sz w:val="20"/>
                <w:szCs w:val="20"/>
              </w:rPr>
              <w:t xml:space="preserve">participants of </w:t>
            </w:r>
            <w:r w:rsidRPr="00E92571">
              <w:rPr>
                <w:rFonts w:cs="Arial"/>
                <w:sz w:val="20"/>
                <w:szCs w:val="20"/>
              </w:rPr>
              <w:t>the quality of the training / programme including RTT co-facilitation of ToT.</w:t>
            </w:r>
          </w:p>
        </w:tc>
        <w:tc>
          <w:tcPr>
            <w:tcW w:w="1559" w:type="dxa"/>
            <w:shd w:val="clear" w:color="auto" w:fill="auto"/>
            <w:vAlign w:val="center"/>
          </w:tcPr>
          <w:p w14:paraId="358837AB" w14:textId="77777777" w:rsidR="00BB3746" w:rsidRPr="00E92571" w:rsidRDefault="00BB3746" w:rsidP="002462BB">
            <w:pPr>
              <w:rPr>
                <w:rFonts w:cs="Arial"/>
                <w:sz w:val="20"/>
                <w:szCs w:val="20"/>
              </w:rPr>
            </w:pPr>
            <w:r w:rsidRPr="00E92571">
              <w:rPr>
                <w:rFonts w:cs="Arial"/>
                <w:sz w:val="20"/>
                <w:szCs w:val="20"/>
              </w:rPr>
              <w:t>ToT TA report including participants' pre/post-workshop evaluations and TAs evaluation of knowledge / skills,</w:t>
            </w:r>
          </w:p>
        </w:tc>
        <w:tc>
          <w:tcPr>
            <w:tcW w:w="851" w:type="dxa"/>
            <w:vMerge w:val="restart"/>
            <w:shd w:val="clear" w:color="auto" w:fill="auto"/>
            <w:vAlign w:val="center"/>
          </w:tcPr>
          <w:p w14:paraId="45CC6347" w14:textId="77777777" w:rsidR="00BB3746" w:rsidRPr="00E92571" w:rsidRDefault="00BB3746" w:rsidP="002462BB">
            <w:pPr>
              <w:rPr>
                <w:rFonts w:cs="Arial"/>
                <w:sz w:val="20"/>
                <w:szCs w:val="20"/>
              </w:rPr>
            </w:pPr>
            <w:r w:rsidRPr="00E92571">
              <w:rPr>
                <w:rFonts w:cs="Arial"/>
                <w:sz w:val="20"/>
                <w:szCs w:val="20"/>
              </w:rPr>
              <w:t>TA/RTT</w:t>
            </w:r>
          </w:p>
        </w:tc>
      </w:tr>
      <w:tr w:rsidR="00BB3746" w:rsidRPr="00E92571" w14:paraId="230D3ACF" w14:textId="77777777" w:rsidTr="000F6360">
        <w:trPr>
          <w:trHeight w:val="765"/>
          <w:jc w:val="center"/>
        </w:trPr>
        <w:tc>
          <w:tcPr>
            <w:tcW w:w="1838" w:type="dxa"/>
            <w:vMerge/>
            <w:shd w:val="clear" w:color="auto" w:fill="auto"/>
            <w:vAlign w:val="center"/>
          </w:tcPr>
          <w:p w14:paraId="7E5661D3" w14:textId="77777777" w:rsidR="00BB3746" w:rsidRPr="00E92571" w:rsidRDefault="00BB3746" w:rsidP="002462BB">
            <w:pPr>
              <w:rPr>
                <w:rFonts w:cs="Arial"/>
                <w:sz w:val="20"/>
                <w:szCs w:val="20"/>
              </w:rPr>
            </w:pPr>
          </w:p>
        </w:tc>
        <w:tc>
          <w:tcPr>
            <w:tcW w:w="1694" w:type="dxa"/>
            <w:vMerge/>
            <w:shd w:val="clear" w:color="auto" w:fill="auto"/>
            <w:vAlign w:val="center"/>
          </w:tcPr>
          <w:p w14:paraId="52F3C48D" w14:textId="77777777" w:rsidR="00BB3746" w:rsidRPr="00E92571" w:rsidRDefault="00BB3746" w:rsidP="002462BB">
            <w:pPr>
              <w:rPr>
                <w:rFonts w:cs="Arial"/>
                <w:sz w:val="20"/>
                <w:szCs w:val="20"/>
              </w:rPr>
            </w:pPr>
          </w:p>
        </w:tc>
        <w:tc>
          <w:tcPr>
            <w:tcW w:w="1798" w:type="dxa"/>
            <w:vMerge/>
            <w:shd w:val="clear" w:color="auto" w:fill="auto"/>
            <w:vAlign w:val="center"/>
          </w:tcPr>
          <w:p w14:paraId="6CC83A73" w14:textId="77777777" w:rsidR="00BB3746" w:rsidRPr="00E92571" w:rsidRDefault="00BB3746" w:rsidP="002462BB">
            <w:pPr>
              <w:rPr>
                <w:rFonts w:cs="Arial"/>
                <w:sz w:val="20"/>
                <w:szCs w:val="20"/>
              </w:rPr>
            </w:pPr>
          </w:p>
        </w:tc>
        <w:tc>
          <w:tcPr>
            <w:tcW w:w="2693" w:type="dxa"/>
            <w:vMerge/>
          </w:tcPr>
          <w:p w14:paraId="587736D3" w14:textId="77777777" w:rsidR="00BB3746" w:rsidRPr="00E92571" w:rsidRDefault="00BB3746" w:rsidP="002462BB">
            <w:pPr>
              <w:rPr>
                <w:rFonts w:cs="Arial"/>
                <w:sz w:val="20"/>
                <w:szCs w:val="20"/>
              </w:rPr>
            </w:pPr>
          </w:p>
        </w:tc>
        <w:tc>
          <w:tcPr>
            <w:tcW w:w="1843" w:type="dxa"/>
            <w:vMerge/>
            <w:shd w:val="clear" w:color="auto" w:fill="auto"/>
            <w:vAlign w:val="center"/>
          </w:tcPr>
          <w:p w14:paraId="707F2FF7" w14:textId="77777777" w:rsidR="00BB3746" w:rsidRPr="00E92571" w:rsidRDefault="00BB3746" w:rsidP="002462BB">
            <w:pPr>
              <w:rPr>
                <w:rFonts w:cs="Arial"/>
                <w:sz w:val="20"/>
                <w:szCs w:val="20"/>
              </w:rPr>
            </w:pPr>
          </w:p>
        </w:tc>
        <w:tc>
          <w:tcPr>
            <w:tcW w:w="2178" w:type="dxa"/>
            <w:vMerge w:val="restart"/>
            <w:shd w:val="clear" w:color="auto" w:fill="auto"/>
            <w:vAlign w:val="center"/>
          </w:tcPr>
          <w:p w14:paraId="5A600579" w14:textId="77777777" w:rsidR="00BB3746" w:rsidRPr="00E92571" w:rsidRDefault="00BB3746" w:rsidP="002462BB">
            <w:pPr>
              <w:rPr>
                <w:rFonts w:cs="Arial"/>
                <w:sz w:val="20"/>
                <w:szCs w:val="20"/>
              </w:rPr>
            </w:pPr>
            <w:r w:rsidRPr="00E92571">
              <w:rPr>
                <w:rFonts w:cs="Arial"/>
                <w:sz w:val="20"/>
                <w:szCs w:val="20"/>
              </w:rPr>
              <w:t>Number of local trainer-led training programmes designed/delivered locally and participants' perception of quality.</w:t>
            </w:r>
          </w:p>
        </w:tc>
        <w:tc>
          <w:tcPr>
            <w:tcW w:w="1559" w:type="dxa"/>
            <w:vMerge w:val="restart"/>
            <w:shd w:val="clear" w:color="auto" w:fill="auto"/>
            <w:vAlign w:val="center"/>
          </w:tcPr>
          <w:p w14:paraId="30BEDEC8" w14:textId="77777777" w:rsidR="00BB3746" w:rsidRPr="00E92571" w:rsidRDefault="00BB3746" w:rsidP="002462BB">
            <w:pPr>
              <w:rPr>
                <w:rFonts w:cs="Arial"/>
                <w:sz w:val="20"/>
                <w:szCs w:val="20"/>
              </w:rPr>
            </w:pPr>
            <w:r w:rsidRPr="00E92571">
              <w:rPr>
                <w:rFonts w:cs="Arial"/>
                <w:sz w:val="20"/>
                <w:szCs w:val="20"/>
              </w:rPr>
              <w:t>RTT reports including participants' evaluations and TA reports,</w:t>
            </w:r>
          </w:p>
        </w:tc>
        <w:tc>
          <w:tcPr>
            <w:tcW w:w="851" w:type="dxa"/>
            <w:vMerge/>
            <w:shd w:val="clear" w:color="auto" w:fill="auto"/>
            <w:vAlign w:val="center"/>
          </w:tcPr>
          <w:p w14:paraId="257560BF" w14:textId="77777777" w:rsidR="00BB3746" w:rsidRPr="00E92571" w:rsidRDefault="00BB3746" w:rsidP="002462BB">
            <w:pPr>
              <w:rPr>
                <w:rFonts w:cs="Arial"/>
                <w:sz w:val="20"/>
                <w:szCs w:val="20"/>
              </w:rPr>
            </w:pPr>
          </w:p>
        </w:tc>
      </w:tr>
      <w:tr w:rsidR="00BB3746" w:rsidRPr="00E92571" w14:paraId="0BA5E45A" w14:textId="77777777" w:rsidTr="000F6360">
        <w:trPr>
          <w:trHeight w:val="765"/>
          <w:jc w:val="center"/>
        </w:trPr>
        <w:tc>
          <w:tcPr>
            <w:tcW w:w="1838" w:type="dxa"/>
            <w:vMerge/>
            <w:shd w:val="clear" w:color="auto" w:fill="auto"/>
            <w:vAlign w:val="center"/>
          </w:tcPr>
          <w:p w14:paraId="4D95CC3F" w14:textId="77777777" w:rsidR="00BB3746" w:rsidRPr="00E92571" w:rsidRDefault="00BB3746" w:rsidP="002462BB">
            <w:pPr>
              <w:rPr>
                <w:rFonts w:cs="Arial"/>
                <w:sz w:val="20"/>
                <w:szCs w:val="20"/>
              </w:rPr>
            </w:pPr>
          </w:p>
        </w:tc>
        <w:tc>
          <w:tcPr>
            <w:tcW w:w="1694" w:type="dxa"/>
            <w:vMerge/>
            <w:shd w:val="clear" w:color="auto" w:fill="auto"/>
            <w:vAlign w:val="center"/>
          </w:tcPr>
          <w:p w14:paraId="06C97DCF" w14:textId="77777777" w:rsidR="00BB3746" w:rsidRPr="00E92571" w:rsidRDefault="00BB3746" w:rsidP="002462BB">
            <w:pPr>
              <w:rPr>
                <w:rFonts w:cs="Arial"/>
                <w:sz w:val="20"/>
                <w:szCs w:val="20"/>
              </w:rPr>
            </w:pPr>
          </w:p>
        </w:tc>
        <w:tc>
          <w:tcPr>
            <w:tcW w:w="1798" w:type="dxa"/>
            <w:vMerge/>
            <w:shd w:val="clear" w:color="auto" w:fill="auto"/>
            <w:vAlign w:val="center"/>
          </w:tcPr>
          <w:p w14:paraId="7AEC1768" w14:textId="77777777" w:rsidR="00BB3746" w:rsidRPr="00E92571" w:rsidRDefault="00BB3746" w:rsidP="002462BB">
            <w:pPr>
              <w:rPr>
                <w:rFonts w:cs="Arial"/>
                <w:sz w:val="20"/>
                <w:szCs w:val="20"/>
              </w:rPr>
            </w:pPr>
          </w:p>
        </w:tc>
        <w:tc>
          <w:tcPr>
            <w:tcW w:w="2693" w:type="dxa"/>
            <w:vMerge/>
          </w:tcPr>
          <w:p w14:paraId="4E4AED3D" w14:textId="77777777" w:rsidR="00BB3746" w:rsidRPr="00E92571" w:rsidRDefault="00BB3746" w:rsidP="002462BB">
            <w:pPr>
              <w:rPr>
                <w:rFonts w:cs="Arial"/>
                <w:bCs/>
                <w:sz w:val="20"/>
                <w:szCs w:val="20"/>
              </w:rPr>
            </w:pPr>
          </w:p>
        </w:tc>
        <w:tc>
          <w:tcPr>
            <w:tcW w:w="1843" w:type="dxa"/>
            <w:shd w:val="clear" w:color="auto" w:fill="auto"/>
            <w:vAlign w:val="center"/>
          </w:tcPr>
          <w:p w14:paraId="2B7C0BC3" w14:textId="77777777" w:rsidR="00BB3746" w:rsidRPr="00E92571" w:rsidRDefault="00BB3746" w:rsidP="002462BB">
            <w:pPr>
              <w:rPr>
                <w:rFonts w:cs="Arial"/>
                <w:bCs/>
                <w:sz w:val="20"/>
                <w:szCs w:val="20"/>
              </w:rPr>
            </w:pPr>
            <w:r w:rsidRPr="00E92571">
              <w:rPr>
                <w:rFonts w:cs="Arial"/>
                <w:bCs/>
                <w:sz w:val="20"/>
                <w:szCs w:val="20"/>
              </w:rPr>
              <w:t xml:space="preserve">Capacity of the RTT to manage and conduct regional and local training is built. </w:t>
            </w:r>
          </w:p>
        </w:tc>
        <w:tc>
          <w:tcPr>
            <w:tcW w:w="2178" w:type="dxa"/>
            <w:vMerge/>
            <w:shd w:val="clear" w:color="auto" w:fill="auto"/>
            <w:vAlign w:val="center"/>
          </w:tcPr>
          <w:p w14:paraId="50DC0012" w14:textId="77777777" w:rsidR="00BB3746" w:rsidRPr="00E92571" w:rsidRDefault="00BB3746" w:rsidP="002462BB">
            <w:pPr>
              <w:rPr>
                <w:rFonts w:cs="Arial"/>
                <w:sz w:val="20"/>
                <w:szCs w:val="20"/>
              </w:rPr>
            </w:pPr>
          </w:p>
        </w:tc>
        <w:tc>
          <w:tcPr>
            <w:tcW w:w="1559" w:type="dxa"/>
            <w:vMerge/>
            <w:shd w:val="clear" w:color="auto" w:fill="auto"/>
            <w:vAlign w:val="center"/>
          </w:tcPr>
          <w:p w14:paraId="22FB9047" w14:textId="77777777" w:rsidR="00BB3746" w:rsidRPr="00E92571" w:rsidRDefault="00BB3746" w:rsidP="002462BB">
            <w:pPr>
              <w:rPr>
                <w:rFonts w:cs="Arial"/>
                <w:sz w:val="20"/>
                <w:szCs w:val="20"/>
              </w:rPr>
            </w:pPr>
          </w:p>
        </w:tc>
        <w:tc>
          <w:tcPr>
            <w:tcW w:w="851" w:type="dxa"/>
            <w:vMerge w:val="restart"/>
            <w:shd w:val="clear" w:color="auto" w:fill="auto"/>
            <w:vAlign w:val="center"/>
          </w:tcPr>
          <w:p w14:paraId="27DAB030" w14:textId="77777777" w:rsidR="00BB3746" w:rsidRPr="00E92571" w:rsidRDefault="00BB3746" w:rsidP="002462BB">
            <w:pPr>
              <w:rPr>
                <w:rFonts w:cs="Arial"/>
                <w:sz w:val="20"/>
                <w:szCs w:val="20"/>
              </w:rPr>
            </w:pPr>
            <w:r w:rsidRPr="00E92571">
              <w:rPr>
                <w:rFonts w:cs="Arial"/>
                <w:sz w:val="20"/>
                <w:szCs w:val="20"/>
              </w:rPr>
              <w:t>TA</w:t>
            </w:r>
          </w:p>
        </w:tc>
      </w:tr>
      <w:tr w:rsidR="00BB3746" w:rsidRPr="00E92571" w14:paraId="1A038506" w14:textId="77777777" w:rsidTr="000F6360">
        <w:trPr>
          <w:trHeight w:val="765"/>
          <w:jc w:val="center"/>
        </w:trPr>
        <w:tc>
          <w:tcPr>
            <w:tcW w:w="1838" w:type="dxa"/>
            <w:vMerge/>
            <w:shd w:val="clear" w:color="auto" w:fill="auto"/>
            <w:vAlign w:val="center"/>
          </w:tcPr>
          <w:p w14:paraId="76360C09" w14:textId="77777777" w:rsidR="00BB3746" w:rsidRPr="00E92571" w:rsidRDefault="00BB3746" w:rsidP="002462BB">
            <w:pPr>
              <w:rPr>
                <w:rFonts w:cs="Arial"/>
                <w:sz w:val="20"/>
                <w:szCs w:val="20"/>
              </w:rPr>
            </w:pPr>
          </w:p>
        </w:tc>
        <w:tc>
          <w:tcPr>
            <w:tcW w:w="1694" w:type="dxa"/>
            <w:vMerge/>
            <w:shd w:val="clear" w:color="auto" w:fill="auto"/>
            <w:vAlign w:val="center"/>
          </w:tcPr>
          <w:p w14:paraId="1278B015" w14:textId="77777777" w:rsidR="00BB3746" w:rsidRPr="00E92571" w:rsidRDefault="00BB3746" w:rsidP="002462BB">
            <w:pPr>
              <w:rPr>
                <w:rFonts w:cs="Arial"/>
                <w:sz w:val="20"/>
                <w:szCs w:val="20"/>
              </w:rPr>
            </w:pPr>
          </w:p>
        </w:tc>
        <w:tc>
          <w:tcPr>
            <w:tcW w:w="1798" w:type="dxa"/>
            <w:vMerge/>
            <w:shd w:val="clear" w:color="auto" w:fill="auto"/>
            <w:vAlign w:val="center"/>
          </w:tcPr>
          <w:p w14:paraId="3B07BE04" w14:textId="77777777" w:rsidR="00BB3746" w:rsidRPr="00E92571" w:rsidRDefault="00BB3746" w:rsidP="002462BB">
            <w:pPr>
              <w:rPr>
                <w:rFonts w:cs="Arial"/>
                <w:sz w:val="20"/>
                <w:szCs w:val="20"/>
              </w:rPr>
            </w:pPr>
          </w:p>
        </w:tc>
        <w:tc>
          <w:tcPr>
            <w:tcW w:w="2693" w:type="dxa"/>
            <w:vMerge/>
          </w:tcPr>
          <w:p w14:paraId="3311759F" w14:textId="77777777" w:rsidR="00BB3746" w:rsidRPr="00E92571" w:rsidRDefault="00BB3746" w:rsidP="002462BB">
            <w:pPr>
              <w:rPr>
                <w:rFonts w:cs="Arial"/>
                <w:bCs/>
                <w:sz w:val="20"/>
                <w:szCs w:val="20"/>
              </w:rPr>
            </w:pPr>
          </w:p>
        </w:tc>
        <w:tc>
          <w:tcPr>
            <w:tcW w:w="1843" w:type="dxa"/>
            <w:shd w:val="clear" w:color="auto" w:fill="auto"/>
            <w:vAlign w:val="center"/>
          </w:tcPr>
          <w:p w14:paraId="3FDA2A41" w14:textId="77777777" w:rsidR="00BB3746" w:rsidRPr="00E92571" w:rsidRDefault="00BB3746" w:rsidP="002462BB">
            <w:pPr>
              <w:rPr>
                <w:rFonts w:cs="Arial"/>
                <w:bCs/>
                <w:sz w:val="20"/>
                <w:szCs w:val="20"/>
              </w:rPr>
            </w:pPr>
            <w:r w:rsidRPr="00E92571">
              <w:rPr>
                <w:rFonts w:cs="Arial"/>
                <w:bCs/>
                <w:sz w:val="20"/>
                <w:szCs w:val="20"/>
              </w:rPr>
              <w:t>RTT members have an opportunity to share training resources and methodologies.</w:t>
            </w:r>
          </w:p>
        </w:tc>
        <w:tc>
          <w:tcPr>
            <w:tcW w:w="2178" w:type="dxa"/>
            <w:shd w:val="clear" w:color="auto" w:fill="auto"/>
            <w:vAlign w:val="center"/>
          </w:tcPr>
          <w:p w14:paraId="2F93E31F" w14:textId="77777777" w:rsidR="00BB3746" w:rsidRPr="00E92571" w:rsidRDefault="00BB3746" w:rsidP="002462BB">
            <w:pPr>
              <w:rPr>
                <w:rFonts w:cs="Arial"/>
                <w:sz w:val="20"/>
                <w:szCs w:val="20"/>
              </w:rPr>
            </w:pPr>
            <w:r w:rsidRPr="00E92571">
              <w:rPr>
                <w:rFonts w:cs="Arial"/>
                <w:sz w:val="20"/>
                <w:szCs w:val="20"/>
              </w:rPr>
              <w:t>Frequency of interaction between RTT members to share resources and methodologies.</w:t>
            </w:r>
          </w:p>
        </w:tc>
        <w:tc>
          <w:tcPr>
            <w:tcW w:w="1559" w:type="dxa"/>
            <w:vMerge/>
            <w:shd w:val="clear" w:color="auto" w:fill="auto"/>
            <w:vAlign w:val="center"/>
          </w:tcPr>
          <w:p w14:paraId="577CD821" w14:textId="77777777" w:rsidR="00BB3746" w:rsidRPr="00E92571" w:rsidRDefault="00BB3746" w:rsidP="002462BB">
            <w:pPr>
              <w:rPr>
                <w:rFonts w:cs="Arial"/>
                <w:sz w:val="20"/>
                <w:szCs w:val="20"/>
              </w:rPr>
            </w:pPr>
          </w:p>
        </w:tc>
        <w:tc>
          <w:tcPr>
            <w:tcW w:w="851" w:type="dxa"/>
            <w:vMerge/>
            <w:shd w:val="clear" w:color="auto" w:fill="auto"/>
            <w:vAlign w:val="center"/>
          </w:tcPr>
          <w:p w14:paraId="6B7C48D8" w14:textId="77777777" w:rsidR="00BB3746" w:rsidRPr="00E92571" w:rsidRDefault="00BB3746" w:rsidP="002462BB">
            <w:pPr>
              <w:rPr>
                <w:rFonts w:cs="Arial"/>
                <w:sz w:val="20"/>
                <w:szCs w:val="20"/>
              </w:rPr>
            </w:pPr>
          </w:p>
        </w:tc>
      </w:tr>
      <w:tr w:rsidR="00BB3746" w:rsidRPr="00E92571" w14:paraId="13AA8A27" w14:textId="77777777" w:rsidTr="000F6360">
        <w:trPr>
          <w:trHeight w:val="765"/>
          <w:jc w:val="center"/>
        </w:trPr>
        <w:tc>
          <w:tcPr>
            <w:tcW w:w="1838" w:type="dxa"/>
            <w:vMerge/>
            <w:shd w:val="clear" w:color="auto" w:fill="auto"/>
            <w:vAlign w:val="center"/>
          </w:tcPr>
          <w:p w14:paraId="14130914" w14:textId="77777777" w:rsidR="00BB3746" w:rsidRPr="00E92571" w:rsidRDefault="00BB3746" w:rsidP="002462BB">
            <w:pPr>
              <w:rPr>
                <w:rFonts w:cs="Arial"/>
                <w:sz w:val="20"/>
                <w:szCs w:val="20"/>
              </w:rPr>
            </w:pPr>
          </w:p>
        </w:tc>
        <w:tc>
          <w:tcPr>
            <w:tcW w:w="1694" w:type="dxa"/>
            <w:vMerge/>
            <w:shd w:val="clear" w:color="auto" w:fill="auto"/>
            <w:vAlign w:val="center"/>
          </w:tcPr>
          <w:p w14:paraId="39500C33" w14:textId="77777777" w:rsidR="00BB3746" w:rsidRPr="00E92571" w:rsidRDefault="00BB3746" w:rsidP="002462BB">
            <w:pPr>
              <w:rPr>
                <w:rFonts w:cs="Arial"/>
                <w:sz w:val="20"/>
                <w:szCs w:val="20"/>
              </w:rPr>
            </w:pPr>
          </w:p>
        </w:tc>
        <w:tc>
          <w:tcPr>
            <w:tcW w:w="1798" w:type="dxa"/>
            <w:vMerge/>
            <w:shd w:val="clear" w:color="auto" w:fill="auto"/>
            <w:vAlign w:val="center"/>
          </w:tcPr>
          <w:p w14:paraId="4EF0C264" w14:textId="77777777" w:rsidR="00BB3746" w:rsidRPr="00E92571" w:rsidRDefault="00BB3746" w:rsidP="002462BB">
            <w:pPr>
              <w:rPr>
                <w:rFonts w:cs="Arial"/>
                <w:sz w:val="20"/>
                <w:szCs w:val="20"/>
              </w:rPr>
            </w:pPr>
          </w:p>
        </w:tc>
        <w:tc>
          <w:tcPr>
            <w:tcW w:w="2693" w:type="dxa"/>
            <w:vMerge/>
          </w:tcPr>
          <w:p w14:paraId="055E4335" w14:textId="77777777" w:rsidR="00BB3746" w:rsidRPr="00E92571" w:rsidRDefault="00BB3746" w:rsidP="002462BB">
            <w:pPr>
              <w:tabs>
                <w:tab w:val="left" w:pos="26"/>
              </w:tabs>
              <w:rPr>
                <w:rFonts w:cs="Arial"/>
                <w:bCs/>
                <w:sz w:val="20"/>
                <w:szCs w:val="20"/>
              </w:rPr>
            </w:pPr>
          </w:p>
        </w:tc>
        <w:tc>
          <w:tcPr>
            <w:tcW w:w="1843" w:type="dxa"/>
            <w:shd w:val="clear" w:color="auto" w:fill="auto"/>
            <w:vAlign w:val="center"/>
          </w:tcPr>
          <w:p w14:paraId="0C4509AB" w14:textId="77777777" w:rsidR="00BB3746" w:rsidRPr="00E92571" w:rsidRDefault="00BB3746" w:rsidP="002462BB">
            <w:pPr>
              <w:tabs>
                <w:tab w:val="left" w:pos="26"/>
              </w:tabs>
              <w:rPr>
                <w:rFonts w:cs="Arial"/>
                <w:bCs/>
                <w:sz w:val="20"/>
                <w:szCs w:val="20"/>
              </w:rPr>
            </w:pPr>
            <w:r w:rsidRPr="00E92571">
              <w:rPr>
                <w:rFonts w:cs="Arial"/>
                <w:bCs/>
                <w:sz w:val="20"/>
                <w:szCs w:val="20"/>
              </w:rPr>
              <w:t>RTT members more confident disposed and able to deliver training locally.</w:t>
            </w:r>
          </w:p>
        </w:tc>
        <w:tc>
          <w:tcPr>
            <w:tcW w:w="2178" w:type="dxa"/>
            <w:vMerge w:val="restart"/>
            <w:shd w:val="clear" w:color="auto" w:fill="auto"/>
            <w:vAlign w:val="center"/>
          </w:tcPr>
          <w:p w14:paraId="4F90AE8D" w14:textId="77777777" w:rsidR="00BB3746" w:rsidRPr="00E92571" w:rsidRDefault="00BB3746" w:rsidP="002462BB">
            <w:pPr>
              <w:rPr>
                <w:rFonts w:cs="Arial"/>
                <w:sz w:val="20"/>
                <w:szCs w:val="20"/>
              </w:rPr>
            </w:pPr>
            <w:r w:rsidRPr="00E92571">
              <w:rPr>
                <w:rFonts w:cs="Arial"/>
                <w:sz w:val="20"/>
                <w:szCs w:val="20"/>
              </w:rPr>
              <w:t>Quality and quantity of interaction between network members.</w:t>
            </w:r>
          </w:p>
        </w:tc>
        <w:tc>
          <w:tcPr>
            <w:tcW w:w="1559" w:type="dxa"/>
            <w:vMerge/>
            <w:shd w:val="clear" w:color="auto" w:fill="auto"/>
            <w:vAlign w:val="center"/>
          </w:tcPr>
          <w:p w14:paraId="7C85315C" w14:textId="77777777" w:rsidR="00BB3746" w:rsidRPr="00E92571" w:rsidRDefault="00BB3746" w:rsidP="002462BB">
            <w:pPr>
              <w:rPr>
                <w:rFonts w:cs="Arial"/>
                <w:sz w:val="20"/>
                <w:szCs w:val="20"/>
              </w:rPr>
            </w:pPr>
          </w:p>
        </w:tc>
        <w:tc>
          <w:tcPr>
            <w:tcW w:w="851" w:type="dxa"/>
            <w:vMerge/>
            <w:shd w:val="clear" w:color="auto" w:fill="auto"/>
            <w:vAlign w:val="center"/>
          </w:tcPr>
          <w:p w14:paraId="1CC383F8" w14:textId="77777777" w:rsidR="00BB3746" w:rsidRPr="00E92571" w:rsidRDefault="00BB3746" w:rsidP="002462BB">
            <w:pPr>
              <w:rPr>
                <w:rFonts w:cs="Arial"/>
                <w:sz w:val="20"/>
                <w:szCs w:val="20"/>
              </w:rPr>
            </w:pPr>
          </w:p>
        </w:tc>
      </w:tr>
      <w:tr w:rsidR="00BB3746" w:rsidRPr="00E92571" w14:paraId="1ABBCFD5" w14:textId="77777777" w:rsidTr="000F6360">
        <w:trPr>
          <w:trHeight w:val="765"/>
          <w:jc w:val="center"/>
        </w:trPr>
        <w:tc>
          <w:tcPr>
            <w:tcW w:w="1838" w:type="dxa"/>
            <w:vMerge/>
            <w:shd w:val="clear" w:color="auto" w:fill="auto"/>
            <w:vAlign w:val="center"/>
          </w:tcPr>
          <w:p w14:paraId="1082B178" w14:textId="77777777" w:rsidR="00BB3746" w:rsidRPr="00E92571" w:rsidRDefault="00BB3746" w:rsidP="002462BB">
            <w:pPr>
              <w:rPr>
                <w:rFonts w:cs="Arial"/>
                <w:sz w:val="20"/>
                <w:szCs w:val="20"/>
              </w:rPr>
            </w:pPr>
          </w:p>
        </w:tc>
        <w:tc>
          <w:tcPr>
            <w:tcW w:w="1694" w:type="dxa"/>
            <w:vMerge/>
            <w:shd w:val="clear" w:color="auto" w:fill="auto"/>
            <w:vAlign w:val="center"/>
          </w:tcPr>
          <w:p w14:paraId="00DEFE06" w14:textId="77777777" w:rsidR="00BB3746" w:rsidRPr="00E92571" w:rsidRDefault="00BB3746" w:rsidP="002462BB">
            <w:pPr>
              <w:rPr>
                <w:rFonts w:cs="Arial"/>
                <w:sz w:val="20"/>
                <w:szCs w:val="20"/>
              </w:rPr>
            </w:pPr>
          </w:p>
        </w:tc>
        <w:tc>
          <w:tcPr>
            <w:tcW w:w="1798" w:type="dxa"/>
            <w:vMerge/>
            <w:shd w:val="clear" w:color="auto" w:fill="auto"/>
            <w:vAlign w:val="center"/>
          </w:tcPr>
          <w:p w14:paraId="05C3CCDA" w14:textId="77777777" w:rsidR="00BB3746" w:rsidRPr="00E92571" w:rsidRDefault="00BB3746" w:rsidP="002462BB">
            <w:pPr>
              <w:rPr>
                <w:rFonts w:cs="Arial"/>
                <w:sz w:val="20"/>
                <w:szCs w:val="20"/>
              </w:rPr>
            </w:pPr>
          </w:p>
        </w:tc>
        <w:tc>
          <w:tcPr>
            <w:tcW w:w="2693" w:type="dxa"/>
            <w:vMerge/>
          </w:tcPr>
          <w:p w14:paraId="4396822A" w14:textId="77777777" w:rsidR="00BB3746" w:rsidRPr="00E92571" w:rsidRDefault="00BB3746" w:rsidP="002462BB">
            <w:pPr>
              <w:tabs>
                <w:tab w:val="left" w:pos="0"/>
                <w:tab w:val="left" w:pos="26"/>
              </w:tabs>
              <w:rPr>
                <w:sz w:val="20"/>
                <w:szCs w:val="20"/>
              </w:rPr>
            </w:pPr>
          </w:p>
        </w:tc>
        <w:tc>
          <w:tcPr>
            <w:tcW w:w="1843" w:type="dxa"/>
            <w:shd w:val="clear" w:color="auto" w:fill="auto"/>
            <w:vAlign w:val="center"/>
          </w:tcPr>
          <w:p w14:paraId="000C68BA" w14:textId="77777777" w:rsidR="00BB3746" w:rsidRPr="00E92571" w:rsidRDefault="00BB3746" w:rsidP="002462BB">
            <w:pPr>
              <w:tabs>
                <w:tab w:val="left" w:pos="0"/>
                <w:tab w:val="left" w:pos="26"/>
              </w:tabs>
              <w:rPr>
                <w:sz w:val="20"/>
                <w:szCs w:val="20"/>
              </w:rPr>
            </w:pPr>
            <w:r w:rsidRPr="00E92571">
              <w:rPr>
                <w:sz w:val="20"/>
                <w:szCs w:val="20"/>
              </w:rPr>
              <w:t>A regional network of RTT members established and supported.</w:t>
            </w:r>
          </w:p>
        </w:tc>
        <w:tc>
          <w:tcPr>
            <w:tcW w:w="2178" w:type="dxa"/>
            <w:vMerge/>
            <w:shd w:val="clear" w:color="auto" w:fill="auto"/>
            <w:vAlign w:val="center"/>
          </w:tcPr>
          <w:p w14:paraId="771A452A" w14:textId="77777777" w:rsidR="00BB3746" w:rsidRPr="00E92571" w:rsidRDefault="00BB3746" w:rsidP="002462BB">
            <w:pPr>
              <w:rPr>
                <w:rFonts w:cs="Arial"/>
                <w:sz w:val="20"/>
                <w:szCs w:val="20"/>
              </w:rPr>
            </w:pPr>
          </w:p>
        </w:tc>
        <w:tc>
          <w:tcPr>
            <w:tcW w:w="1559" w:type="dxa"/>
            <w:vMerge/>
            <w:shd w:val="clear" w:color="auto" w:fill="auto"/>
            <w:vAlign w:val="center"/>
          </w:tcPr>
          <w:p w14:paraId="45DC52CC" w14:textId="77777777" w:rsidR="00BB3746" w:rsidRPr="00E92571" w:rsidRDefault="00BB3746" w:rsidP="002462BB">
            <w:pPr>
              <w:rPr>
                <w:rFonts w:cs="Arial"/>
                <w:sz w:val="20"/>
                <w:szCs w:val="20"/>
              </w:rPr>
            </w:pPr>
          </w:p>
        </w:tc>
        <w:tc>
          <w:tcPr>
            <w:tcW w:w="851" w:type="dxa"/>
            <w:vMerge/>
            <w:shd w:val="clear" w:color="auto" w:fill="auto"/>
            <w:vAlign w:val="center"/>
          </w:tcPr>
          <w:p w14:paraId="30612B03" w14:textId="77777777" w:rsidR="00BB3746" w:rsidRPr="00E92571" w:rsidRDefault="00BB3746" w:rsidP="002462BB">
            <w:pPr>
              <w:rPr>
                <w:rFonts w:cs="Arial"/>
                <w:sz w:val="20"/>
                <w:szCs w:val="20"/>
              </w:rPr>
            </w:pPr>
          </w:p>
        </w:tc>
      </w:tr>
      <w:tr w:rsidR="00D40477" w:rsidRPr="00E92571" w14:paraId="33FC63BE" w14:textId="77777777" w:rsidTr="000F6360">
        <w:trPr>
          <w:trHeight w:val="344"/>
          <w:jc w:val="center"/>
        </w:trPr>
        <w:tc>
          <w:tcPr>
            <w:tcW w:w="14454" w:type="dxa"/>
            <w:gridSpan w:val="8"/>
            <w:shd w:val="clear" w:color="auto" w:fill="F2F2F2" w:themeFill="background1" w:themeFillShade="F2"/>
            <w:vAlign w:val="center"/>
          </w:tcPr>
          <w:p w14:paraId="3220EBA2" w14:textId="77777777" w:rsidR="00D40477" w:rsidRPr="00D40477" w:rsidRDefault="00D40477" w:rsidP="002462BB">
            <w:pPr>
              <w:rPr>
                <w:rFonts w:cs="Arial"/>
                <w:b/>
              </w:rPr>
            </w:pPr>
            <w:r w:rsidRPr="00D40477">
              <w:rPr>
                <w:rFonts w:cs="Arial"/>
                <w:b/>
                <w:sz w:val="22"/>
                <w:szCs w:val="22"/>
              </w:rPr>
              <w:lastRenderedPageBreak/>
              <w:t>4.2 Core Judicial Development Project</w:t>
            </w:r>
          </w:p>
        </w:tc>
      </w:tr>
      <w:tr w:rsidR="00BB3746" w:rsidRPr="00E92571" w14:paraId="31BA4324" w14:textId="77777777" w:rsidTr="000F6360">
        <w:trPr>
          <w:trHeight w:val="255"/>
          <w:jc w:val="center"/>
        </w:trPr>
        <w:tc>
          <w:tcPr>
            <w:tcW w:w="1838" w:type="dxa"/>
            <w:vMerge w:val="restart"/>
            <w:shd w:val="clear" w:color="auto" w:fill="auto"/>
            <w:vAlign w:val="center"/>
          </w:tcPr>
          <w:p w14:paraId="748B4B35" w14:textId="77777777" w:rsidR="00BB3746" w:rsidRPr="00E92571" w:rsidRDefault="00BB3746" w:rsidP="002462BB">
            <w:pPr>
              <w:rPr>
                <w:rFonts w:cs="Arial"/>
                <w:sz w:val="20"/>
                <w:szCs w:val="20"/>
              </w:rPr>
            </w:pPr>
            <w:r>
              <w:rPr>
                <w:rFonts w:cs="Arial"/>
                <w:bCs/>
                <w:sz w:val="20"/>
                <w:szCs w:val="20"/>
              </w:rPr>
              <w:t xml:space="preserve">75% of </w:t>
            </w:r>
            <w:r w:rsidRPr="00E92571">
              <w:rPr>
                <w:rFonts w:cs="Arial"/>
                <w:bCs/>
                <w:sz w:val="20"/>
                <w:szCs w:val="20"/>
              </w:rPr>
              <w:t xml:space="preserve">Judicial </w:t>
            </w:r>
            <w:r>
              <w:rPr>
                <w:rFonts w:cs="Arial"/>
                <w:bCs/>
                <w:sz w:val="20"/>
                <w:szCs w:val="20"/>
              </w:rPr>
              <w:t xml:space="preserve">and court </w:t>
            </w:r>
            <w:r w:rsidRPr="00E92571">
              <w:rPr>
                <w:rFonts w:cs="Arial"/>
                <w:bCs/>
                <w:sz w:val="20"/>
                <w:szCs w:val="20"/>
              </w:rPr>
              <w:t xml:space="preserve">officers </w:t>
            </w:r>
            <w:r>
              <w:rPr>
                <w:rFonts w:cs="Arial"/>
                <w:bCs/>
                <w:sz w:val="20"/>
                <w:szCs w:val="20"/>
              </w:rPr>
              <w:t>report increased confidence following training workshops</w:t>
            </w:r>
            <w:r w:rsidRPr="00E92571">
              <w:rPr>
                <w:rFonts w:cs="Arial"/>
                <w:bCs/>
                <w:sz w:val="20"/>
                <w:szCs w:val="20"/>
              </w:rPr>
              <w:t>, and R</w:t>
            </w:r>
            <w:r w:rsidRPr="00E92571">
              <w:rPr>
                <w:sz w:val="20"/>
                <w:szCs w:val="20"/>
              </w:rPr>
              <w:t>TT members are more experienced and able to deliver training regionally and locally.</w:t>
            </w:r>
          </w:p>
        </w:tc>
        <w:tc>
          <w:tcPr>
            <w:tcW w:w="1694" w:type="dxa"/>
            <w:vMerge w:val="restart"/>
            <w:shd w:val="clear" w:color="auto" w:fill="auto"/>
            <w:vAlign w:val="center"/>
          </w:tcPr>
          <w:p w14:paraId="1ED132A2" w14:textId="77777777" w:rsidR="00BB3746" w:rsidRPr="00E92571" w:rsidRDefault="00BB3746" w:rsidP="002462BB">
            <w:pPr>
              <w:rPr>
                <w:rFonts w:cs="Arial"/>
                <w:sz w:val="20"/>
                <w:szCs w:val="20"/>
              </w:rPr>
            </w:pPr>
            <w:r w:rsidRPr="00E92571">
              <w:rPr>
                <w:rFonts w:cs="Arial"/>
                <w:sz w:val="20"/>
                <w:szCs w:val="20"/>
              </w:rPr>
              <w:t>Judicial officers report 25% increase in competence as a result of attending workshop</w:t>
            </w:r>
          </w:p>
        </w:tc>
        <w:tc>
          <w:tcPr>
            <w:tcW w:w="1798" w:type="dxa"/>
            <w:vMerge w:val="restart"/>
            <w:shd w:val="clear" w:color="auto" w:fill="auto"/>
            <w:vAlign w:val="center"/>
          </w:tcPr>
          <w:p w14:paraId="5A90266D" w14:textId="77777777" w:rsidR="00BB3746" w:rsidRPr="00E92571" w:rsidRDefault="00BB3746" w:rsidP="002462BB">
            <w:pPr>
              <w:rPr>
                <w:rFonts w:cs="Arial"/>
                <w:sz w:val="20"/>
                <w:szCs w:val="20"/>
              </w:rPr>
            </w:pPr>
            <w:r w:rsidRPr="00E92571">
              <w:rPr>
                <w:rFonts w:cs="Arial"/>
                <w:sz w:val="20"/>
                <w:szCs w:val="20"/>
              </w:rPr>
              <w:t>Judicial officers in PICs have not received Regional orientation and decision-making training since the cessation of PJDP Phase 1 in June 2008.  Data about links between judicial orientation training and performance do not exist across the Region.</w:t>
            </w:r>
          </w:p>
        </w:tc>
        <w:tc>
          <w:tcPr>
            <w:tcW w:w="2693" w:type="dxa"/>
            <w:vMerge w:val="restart"/>
            <w:vAlign w:val="center"/>
          </w:tcPr>
          <w:p w14:paraId="671EF890" w14:textId="77777777" w:rsidR="00BB3746" w:rsidRDefault="00BB3746" w:rsidP="001768B8">
            <w:pPr>
              <w:rPr>
                <w:rFonts w:cs="Arial"/>
                <w:bCs/>
                <w:sz w:val="20"/>
                <w:szCs w:val="20"/>
              </w:rPr>
            </w:pPr>
            <w:r w:rsidRPr="00B40BC9">
              <w:rPr>
                <w:rFonts w:cs="Arial"/>
                <w:bCs/>
                <w:sz w:val="20"/>
                <w:szCs w:val="20"/>
              </w:rPr>
              <w:t xml:space="preserve">The </w:t>
            </w:r>
            <w:r>
              <w:rPr>
                <w:rFonts w:cs="Arial"/>
                <w:bCs/>
                <w:sz w:val="20"/>
                <w:szCs w:val="20"/>
              </w:rPr>
              <w:t>D</w:t>
            </w:r>
            <w:r w:rsidRPr="00B40BC9">
              <w:rPr>
                <w:rFonts w:cs="Arial"/>
                <w:bCs/>
                <w:sz w:val="20"/>
                <w:szCs w:val="20"/>
              </w:rPr>
              <w:t>ecision-</w:t>
            </w:r>
            <w:r>
              <w:rPr>
                <w:rFonts w:cs="Arial"/>
                <w:bCs/>
                <w:sz w:val="20"/>
                <w:szCs w:val="20"/>
              </w:rPr>
              <w:t>M</w:t>
            </w:r>
            <w:r w:rsidRPr="00B40BC9">
              <w:rPr>
                <w:rFonts w:cs="Arial"/>
                <w:bCs/>
                <w:sz w:val="20"/>
                <w:szCs w:val="20"/>
              </w:rPr>
              <w:t xml:space="preserve">aking </w:t>
            </w:r>
            <w:r>
              <w:rPr>
                <w:rFonts w:cs="Arial"/>
                <w:bCs/>
                <w:sz w:val="20"/>
                <w:szCs w:val="20"/>
              </w:rPr>
              <w:t>T</w:t>
            </w:r>
            <w:r w:rsidRPr="00B40BC9">
              <w:rPr>
                <w:rFonts w:cs="Arial"/>
                <w:bCs/>
                <w:sz w:val="20"/>
                <w:szCs w:val="20"/>
              </w:rPr>
              <w:t xml:space="preserve">raining </w:t>
            </w:r>
            <w:r w:rsidR="00942EE1">
              <w:rPr>
                <w:rFonts w:cs="Arial"/>
                <w:bCs/>
                <w:sz w:val="20"/>
                <w:szCs w:val="20"/>
              </w:rPr>
              <w:t>was held in Vanuatu with a team of 5 RTT members supporting delivery</w:t>
            </w:r>
            <w:r w:rsidR="001768B8">
              <w:rPr>
                <w:rFonts w:cs="Arial"/>
                <w:bCs/>
                <w:sz w:val="20"/>
                <w:szCs w:val="20"/>
              </w:rPr>
              <w:t xml:space="preserve"> on customary law, case flow management, Vanuatu’s Family Protection Act, self-represented litigants and judicial ethics</w:t>
            </w:r>
            <w:r w:rsidR="00942EE1">
              <w:rPr>
                <w:rFonts w:cs="Arial"/>
                <w:bCs/>
                <w:sz w:val="20"/>
                <w:szCs w:val="20"/>
              </w:rPr>
              <w:t>. A total of 17 lay and 13 law judicial officers participated</w:t>
            </w:r>
            <w:r w:rsidR="001768B8">
              <w:rPr>
                <w:rFonts w:cs="Arial"/>
                <w:bCs/>
                <w:sz w:val="20"/>
                <w:szCs w:val="20"/>
              </w:rPr>
              <w:t xml:space="preserve">. </w:t>
            </w:r>
          </w:p>
          <w:p w14:paraId="2A32ABC4" w14:textId="77777777" w:rsidR="001768B8" w:rsidRDefault="001768B8" w:rsidP="001768B8">
            <w:pPr>
              <w:rPr>
                <w:rFonts w:cs="Arial"/>
                <w:bCs/>
                <w:sz w:val="20"/>
                <w:szCs w:val="20"/>
              </w:rPr>
            </w:pPr>
          </w:p>
          <w:p w14:paraId="74F456EA" w14:textId="77777777" w:rsidR="001768B8" w:rsidRDefault="001768B8" w:rsidP="001768B8">
            <w:pPr>
              <w:rPr>
                <w:rFonts w:cs="Arial"/>
                <w:bCs/>
                <w:sz w:val="20"/>
                <w:szCs w:val="20"/>
              </w:rPr>
            </w:pPr>
            <w:r>
              <w:rPr>
                <w:rFonts w:cs="Arial"/>
                <w:bCs/>
                <w:sz w:val="20"/>
                <w:szCs w:val="20"/>
              </w:rPr>
              <w:t xml:space="preserve">Local Orientation </w:t>
            </w:r>
            <w:r w:rsidR="00B240A5">
              <w:rPr>
                <w:rFonts w:cs="Arial"/>
                <w:bCs/>
                <w:sz w:val="20"/>
                <w:szCs w:val="20"/>
              </w:rPr>
              <w:t>Course Toolkit was developed and piloted in FSM with the inclusion of a three day ToT and the support of eight local trainers / facilitators.</w:t>
            </w:r>
            <w:r>
              <w:rPr>
                <w:rFonts w:cs="Arial"/>
                <w:bCs/>
                <w:sz w:val="20"/>
                <w:szCs w:val="20"/>
              </w:rPr>
              <w:t xml:space="preserve"> </w:t>
            </w:r>
          </w:p>
          <w:p w14:paraId="5CB7519B" w14:textId="77777777" w:rsidR="00B240A5" w:rsidRDefault="00B240A5" w:rsidP="001768B8">
            <w:pPr>
              <w:rPr>
                <w:rFonts w:cs="Arial"/>
                <w:bCs/>
                <w:sz w:val="20"/>
                <w:szCs w:val="20"/>
              </w:rPr>
            </w:pPr>
          </w:p>
          <w:p w14:paraId="7FC29839" w14:textId="77777777" w:rsidR="00B240A5" w:rsidRPr="00BC0815" w:rsidRDefault="00B240A5" w:rsidP="001768B8">
            <w:pPr>
              <w:rPr>
                <w:rFonts w:cs="Arial"/>
                <w:bCs/>
                <w:sz w:val="20"/>
                <w:szCs w:val="20"/>
              </w:rPr>
            </w:pPr>
            <w:r>
              <w:rPr>
                <w:rFonts w:cs="Arial"/>
                <w:bCs/>
                <w:sz w:val="20"/>
                <w:szCs w:val="20"/>
              </w:rPr>
              <w:t>The draft Local Decision Making Toolkit was developed and is scheduled to be piloted in September.</w:t>
            </w:r>
          </w:p>
        </w:tc>
        <w:tc>
          <w:tcPr>
            <w:tcW w:w="1843" w:type="dxa"/>
            <w:vMerge w:val="restart"/>
            <w:shd w:val="clear" w:color="auto" w:fill="auto"/>
            <w:vAlign w:val="center"/>
          </w:tcPr>
          <w:p w14:paraId="6756B8A4" w14:textId="77777777" w:rsidR="00BB3746" w:rsidRPr="00E92571" w:rsidRDefault="00BB3746" w:rsidP="002462BB">
            <w:pPr>
              <w:rPr>
                <w:rFonts w:cs="Arial"/>
                <w:sz w:val="20"/>
                <w:szCs w:val="20"/>
              </w:rPr>
            </w:pPr>
            <w:r w:rsidRPr="00E92571">
              <w:rPr>
                <w:rFonts w:cs="Arial"/>
                <w:bCs/>
                <w:sz w:val="20"/>
                <w:szCs w:val="20"/>
              </w:rPr>
              <w:t xml:space="preserve">Enhanced competence of 20-30 newly-appointed </w:t>
            </w:r>
            <w:proofErr w:type="gramStart"/>
            <w:r w:rsidRPr="00E92571">
              <w:rPr>
                <w:rFonts w:cs="Arial"/>
                <w:bCs/>
                <w:sz w:val="20"/>
                <w:szCs w:val="20"/>
              </w:rPr>
              <w:t>lay</w:t>
            </w:r>
            <w:proofErr w:type="gramEnd"/>
            <w:r w:rsidRPr="00E92571">
              <w:rPr>
                <w:rFonts w:cs="Arial"/>
                <w:bCs/>
                <w:sz w:val="20"/>
                <w:szCs w:val="20"/>
              </w:rPr>
              <w:t xml:space="preserve"> judicial officers.</w:t>
            </w:r>
          </w:p>
        </w:tc>
        <w:tc>
          <w:tcPr>
            <w:tcW w:w="2178" w:type="dxa"/>
            <w:shd w:val="clear" w:color="auto" w:fill="auto"/>
            <w:vAlign w:val="center"/>
          </w:tcPr>
          <w:p w14:paraId="04F66830" w14:textId="77777777" w:rsidR="00BB3746" w:rsidRPr="00E92571" w:rsidRDefault="00BB3746" w:rsidP="002462BB">
            <w:pPr>
              <w:rPr>
                <w:rFonts w:cs="Arial"/>
                <w:sz w:val="20"/>
                <w:szCs w:val="20"/>
              </w:rPr>
            </w:pPr>
            <w:r w:rsidRPr="00E92571">
              <w:rPr>
                <w:rFonts w:cs="Arial"/>
                <w:sz w:val="20"/>
                <w:szCs w:val="20"/>
              </w:rPr>
              <w:t>Perceptions of the quality of the training.</w:t>
            </w:r>
          </w:p>
        </w:tc>
        <w:tc>
          <w:tcPr>
            <w:tcW w:w="1559" w:type="dxa"/>
            <w:vMerge w:val="restart"/>
            <w:shd w:val="clear" w:color="auto" w:fill="auto"/>
            <w:vAlign w:val="center"/>
          </w:tcPr>
          <w:p w14:paraId="7C07AF88" w14:textId="77777777" w:rsidR="00BB3746" w:rsidRPr="00E92571" w:rsidRDefault="00BB3746" w:rsidP="002462BB">
            <w:pPr>
              <w:rPr>
                <w:rFonts w:cs="Arial"/>
                <w:sz w:val="20"/>
                <w:szCs w:val="20"/>
              </w:rPr>
            </w:pPr>
            <w:r w:rsidRPr="00E92571">
              <w:rPr>
                <w:rFonts w:cs="Arial"/>
                <w:sz w:val="20"/>
                <w:szCs w:val="20"/>
              </w:rPr>
              <w:t>Participants' / TA evaluation</w:t>
            </w:r>
          </w:p>
        </w:tc>
        <w:tc>
          <w:tcPr>
            <w:tcW w:w="851" w:type="dxa"/>
            <w:vMerge w:val="restart"/>
            <w:shd w:val="clear" w:color="auto" w:fill="auto"/>
            <w:vAlign w:val="center"/>
          </w:tcPr>
          <w:p w14:paraId="4DE5FA27" w14:textId="77777777" w:rsidR="00BB3746" w:rsidRPr="00E92571" w:rsidRDefault="00BB3746" w:rsidP="002462BB">
            <w:pPr>
              <w:rPr>
                <w:rFonts w:cs="Arial"/>
                <w:sz w:val="20"/>
                <w:szCs w:val="20"/>
              </w:rPr>
            </w:pPr>
            <w:r w:rsidRPr="00E92571">
              <w:rPr>
                <w:rFonts w:cs="Arial"/>
                <w:sz w:val="20"/>
                <w:szCs w:val="20"/>
              </w:rPr>
              <w:t>TA</w:t>
            </w:r>
          </w:p>
          <w:p w14:paraId="0ABA8CDA" w14:textId="77777777" w:rsidR="00BB3746" w:rsidRPr="00E92571" w:rsidRDefault="00BB3746" w:rsidP="002462BB">
            <w:pPr>
              <w:rPr>
                <w:rFonts w:cs="Arial"/>
                <w:sz w:val="20"/>
                <w:szCs w:val="20"/>
              </w:rPr>
            </w:pPr>
          </w:p>
        </w:tc>
      </w:tr>
      <w:tr w:rsidR="00BB3746" w:rsidRPr="00E92571" w14:paraId="2F4C5C62" w14:textId="77777777" w:rsidTr="000F6360">
        <w:trPr>
          <w:trHeight w:val="1020"/>
          <w:jc w:val="center"/>
        </w:trPr>
        <w:tc>
          <w:tcPr>
            <w:tcW w:w="1838" w:type="dxa"/>
            <w:vMerge/>
            <w:shd w:val="clear" w:color="auto" w:fill="auto"/>
            <w:vAlign w:val="center"/>
          </w:tcPr>
          <w:p w14:paraId="51AE7B8B" w14:textId="77777777" w:rsidR="00BB3746" w:rsidRPr="00E92571" w:rsidRDefault="00BB3746" w:rsidP="002462BB">
            <w:pPr>
              <w:rPr>
                <w:rFonts w:cs="Arial"/>
                <w:sz w:val="20"/>
                <w:szCs w:val="20"/>
              </w:rPr>
            </w:pPr>
          </w:p>
        </w:tc>
        <w:tc>
          <w:tcPr>
            <w:tcW w:w="1694" w:type="dxa"/>
            <w:vMerge/>
            <w:shd w:val="clear" w:color="auto" w:fill="auto"/>
            <w:vAlign w:val="center"/>
          </w:tcPr>
          <w:p w14:paraId="2DC65791" w14:textId="77777777" w:rsidR="00BB3746" w:rsidRPr="00E92571" w:rsidRDefault="00BB3746" w:rsidP="002462BB">
            <w:pPr>
              <w:rPr>
                <w:rFonts w:cs="Arial"/>
                <w:sz w:val="20"/>
                <w:szCs w:val="20"/>
              </w:rPr>
            </w:pPr>
          </w:p>
        </w:tc>
        <w:tc>
          <w:tcPr>
            <w:tcW w:w="1798" w:type="dxa"/>
            <w:vMerge/>
            <w:shd w:val="clear" w:color="auto" w:fill="auto"/>
            <w:vAlign w:val="center"/>
          </w:tcPr>
          <w:p w14:paraId="2D1A27E0" w14:textId="77777777" w:rsidR="00BB3746" w:rsidRPr="00E92571" w:rsidRDefault="00BB3746" w:rsidP="002462BB">
            <w:pPr>
              <w:rPr>
                <w:rFonts w:cs="Arial"/>
                <w:sz w:val="20"/>
                <w:szCs w:val="20"/>
              </w:rPr>
            </w:pPr>
          </w:p>
        </w:tc>
        <w:tc>
          <w:tcPr>
            <w:tcW w:w="2693" w:type="dxa"/>
            <w:vMerge/>
          </w:tcPr>
          <w:p w14:paraId="5F7879D1" w14:textId="77777777" w:rsidR="00BB3746" w:rsidRPr="00E92571" w:rsidRDefault="00BB3746" w:rsidP="002462BB">
            <w:pPr>
              <w:rPr>
                <w:rFonts w:cs="Arial"/>
                <w:sz w:val="20"/>
                <w:szCs w:val="20"/>
              </w:rPr>
            </w:pPr>
          </w:p>
        </w:tc>
        <w:tc>
          <w:tcPr>
            <w:tcW w:w="1843" w:type="dxa"/>
            <w:vMerge/>
            <w:shd w:val="clear" w:color="auto" w:fill="auto"/>
            <w:vAlign w:val="center"/>
          </w:tcPr>
          <w:p w14:paraId="2BE61EAB" w14:textId="77777777" w:rsidR="00BB3746" w:rsidRPr="00E92571" w:rsidRDefault="00BB3746" w:rsidP="002462BB">
            <w:pPr>
              <w:rPr>
                <w:rFonts w:cs="Arial"/>
                <w:sz w:val="20"/>
                <w:szCs w:val="20"/>
              </w:rPr>
            </w:pPr>
          </w:p>
        </w:tc>
        <w:tc>
          <w:tcPr>
            <w:tcW w:w="2178" w:type="dxa"/>
            <w:shd w:val="clear" w:color="auto" w:fill="auto"/>
            <w:vAlign w:val="center"/>
          </w:tcPr>
          <w:p w14:paraId="3633547F" w14:textId="77777777" w:rsidR="00BB3746" w:rsidRPr="00E92571" w:rsidRDefault="00BB3746" w:rsidP="002462BB">
            <w:pPr>
              <w:rPr>
                <w:rFonts w:cs="Arial"/>
                <w:sz w:val="20"/>
                <w:szCs w:val="20"/>
              </w:rPr>
            </w:pPr>
            <w:r w:rsidRPr="00E92571">
              <w:rPr>
                <w:rFonts w:cs="Arial"/>
                <w:sz w:val="20"/>
                <w:szCs w:val="20"/>
              </w:rPr>
              <w:t>Follow-up to Phase 2/ Extension Phase Orientation Training: participants' self-assessment and TA assessment of whether they perform their functions more competently as a result of the training.</w:t>
            </w:r>
          </w:p>
        </w:tc>
        <w:tc>
          <w:tcPr>
            <w:tcW w:w="1559" w:type="dxa"/>
            <w:vMerge/>
            <w:shd w:val="clear" w:color="auto" w:fill="auto"/>
            <w:vAlign w:val="center"/>
          </w:tcPr>
          <w:p w14:paraId="6A3D65D3" w14:textId="77777777" w:rsidR="00BB3746" w:rsidRPr="00E92571" w:rsidRDefault="00BB3746" w:rsidP="002462BB">
            <w:pPr>
              <w:rPr>
                <w:rFonts w:cs="Arial"/>
                <w:sz w:val="20"/>
                <w:szCs w:val="20"/>
              </w:rPr>
            </w:pPr>
          </w:p>
        </w:tc>
        <w:tc>
          <w:tcPr>
            <w:tcW w:w="851" w:type="dxa"/>
            <w:vMerge/>
            <w:shd w:val="clear" w:color="auto" w:fill="auto"/>
            <w:vAlign w:val="center"/>
          </w:tcPr>
          <w:p w14:paraId="507839C0" w14:textId="77777777" w:rsidR="00BB3746" w:rsidRPr="00E92571" w:rsidRDefault="00BB3746" w:rsidP="002462BB">
            <w:pPr>
              <w:rPr>
                <w:rFonts w:cs="Arial"/>
                <w:sz w:val="20"/>
                <w:szCs w:val="20"/>
              </w:rPr>
            </w:pPr>
          </w:p>
        </w:tc>
      </w:tr>
      <w:tr w:rsidR="00BB3746" w:rsidRPr="00E92571" w14:paraId="4AEBC5BD" w14:textId="77777777" w:rsidTr="000F6360">
        <w:trPr>
          <w:trHeight w:val="765"/>
          <w:jc w:val="center"/>
        </w:trPr>
        <w:tc>
          <w:tcPr>
            <w:tcW w:w="1838" w:type="dxa"/>
            <w:vMerge/>
            <w:shd w:val="clear" w:color="auto" w:fill="auto"/>
            <w:vAlign w:val="center"/>
          </w:tcPr>
          <w:p w14:paraId="1F80E914" w14:textId="77777777" w:rsidR="00BB3746" w:rsidRPr="00E92571" w:rsidRDefault="00BB3746" w:rsidP="002462BB">
            <w:pPr>
              <w:rPr>
                <w:rFonts w:cs="Arial"/>
                <w:sz w:val="20"/>
                <w:szCs w:val="20"/>
              </w:rPr>
            </w:pPr>
          </w:p>
        </w:tc>
        <w:tc>
          <w:tcPr>
            <w:tcW w:w="1694" w:type="dxa"/>
            <w:vMerge/>
            <w:shd w:val="clear" w:color="auto" w:fill="auto"/>
            <w:vAlign w:val="center"/>
          </w:tcPr>
          <w:p w14:paraId="2F7A7710" w14:textId="77777777" w:rsidR="00BB3746" w:rsidRPr="00E92571" w:rsidRDefault="00BB3746" w:rsidP="002462BB">
            <w:pPr>
              <w:rPr>
                <w:rFonts w:cs="Arial"/>
                <w:sz w:val="20"/>
                <w:szCs w:val="20"/>
              </w:rPr>
            </w:pPr>
          </w:p>
        </w:tc>
        <w:tc>
          <w:tcPr>
            <w:tcW w:w="1798" w:type="dxa"/>
            <w:vMerge/>
            <w:shd w:val="clear" w:color="auto" w:fill="auto"/>
            <w:vAlign w:val="center"/>
          </w:tcPr>
          <w:p w14:paraId="08366FA4" w14:textId="77777777" w:rsidR="00BB3746" w:rsidRPr="00E92571" w:rsidRDefault="00BB3746" w:rsidP="002462BB">
            <w:pPr>
              <w:rPr>
                <w:rFonts w:cs="Arial"/>
                <w:sz w:val="20"/>
                <w:szCs w:val="20"/>
              </w:rPr>
            </w:pPr>
          </w:p>
        </w:tc>
        <w:tc>
          <w:tcPr>
            <w:tcW w:w="2693" w:type="dxa"/>
            <w:vMerge/>
          </w:tcPr>
          <w:p w14:paraId="2B659D5A" w14:textId="77777777" w:rsidR="00BB3746" w:rsidRPr="00E92571" w:rsidRDefault="00BB3746" w:rsidP="002462BB">
            <w:pPr>
              <w:rPr>
                <w:rFonts w:cs="Arial"/>
                <w:bCs/>
                <w:sz w:val="20"/>
                <w:szCs w:val="20"/>
              </w:rPr>
            </w:pPr>
          </w:p>
        </w:tc>
        <w:tc>
          <w:tcPr>
            <w:tcW w:w="1843" w:type="dxa"/>
            <w:shd w:val="clear" w:color="auto" w:fill="auto"/>
            <w:vAlign w:val="center"/>
          </w:tcPr>
          <w:p w14:paraId="74525711" w14:textId="77777777" w:rsidR="00BB3746" w:rsidRPr="00E92571" w:rsidRDefault="00BB3746" w:rsidP="002462BB">
            <w:pPr>
              <w:rPr>
                <w:rFonts w:cs="Arial"/>
                <w:bCs/>
                <w:sz w:val="20"/>
                <w:szCs w:val="20"/>
              </w:rPr>
            </w:pPr>
            <w:r w:rsidRPr="00E92571">
              <w:rPr>
                <w:rFonts w:cs="Arial"/>
                <w:bCs/>
                <w:sz w:val="20"/>
                <w:szCs w:val="20"/>
              </w:rPr>
              <w:t>RTT members more confidently disposed and able to deliver orientation training locally.</w:t>
            </w:r>
          </w:p>
        </w:tc>
        <w:tc>
          <w:tcPr>
            <w:tcW w:w="2178" w:type="dxa"/>
            <w:shd w:val="clear" w:color="auto" w:fill="auto"/>
            <w:vAlign w:val="center"/>
          </w:tcPr>
          <w:p w14:paraId="15E30B0F" w14:textId="77777777" w:rsidR="00BB3746" w:rsidRPr="00E92571" w:rsidRDefault="00BB3746" w:rsidP="002462BB">
            <w:pPr>
              <w:rPr>
                <w:rFonts w:cs="Arial"/>
                <w:sz w:val="20"/>
                <w:szCs w:val="20"/>
              </w:rPr>
            </w:pPr>
            <w:r w:rsidRPr="00E92571">
              <w:rPr>
                <w:rFonts w:cs="Arial"/>
                <w:sz w:val="20"/>
                <w:szCs w:val="20"/>
              </w:rPr>
              <w:t>Quality of training, toolkit and materials/resources developed for the RTT.</w:t>
            </w:r>
          </w:p>
        </w:tc>
        <w:tc>
          <w:tcPr>
            <w:tcW w:w="1559" w:type="dxa"/>
            <w:shd w:val="clear" w:color="auto" w:fill="auto"/>
            <w:vAlign w:val="center"/>
          </w:tcPr>
          <w:p w14:paraId="422BF6DF" w14:textId="77777777" w:rsidR="00BB3746" w:rsidRPr="00E92571" w:rsidRDefault="00BB3746" w:rsidP="002462BB">
            <w:pPr>
              <w:rPr>
                <w:rFonts w:cs="Arial"/>
                <w:sz w:val="20"/>
                <w:szCs w:val="20"/>
              </w:rPr>
            </w:pPr>
            <w:r w:rsidRPr="00E92571">
              <w:rPr>
                <w:rFonts w:cs="Arial"/>
                <w:sz w:val="20"/>
                <w:szCs w:val="20"/>
              </w:rPr>
              <w:t>Programme/toolkit and participants' evaluations.</w:t>
            </w:r>
          </w:p>
        </w:tc>
        <w:tc>
          <w:tcPr>
            <w:tcW w:w="851" w:type="dxa"/>
            <w:vMerge/>
            <w:shd w:val="clear" w:color="auto" w:fill="auto"/>
            <w:vAlign w:val="center"/>
          </w:tcPr>
          <w:p w14:paraId="2BAA9A3C" w14:textId="77777777" w:rsidR="00BB3746" w:rsidRPr="00E92571" w:rsidRDefault="00BB3746" w:rsidP="002462BB">
            <w:pPr>
              <w:rPr>
                <w:rFonts w:cs="Arial"/>
                <w:sz w:val="20"/>
                <w:szCs w:val="20"/>
              </w:rPr>
            </w:pPr>
          </w:p>
        </w:tc>
      </w:tr>
      <w:tr w:rsidR="00BB3746" w:rsidRPr="00E92571" w14:paraId="2994089F" w14:textId="77777777" w:rsidTr="000F6360">
        <w:trPr>
          <w:trHeight w:val="1377"/>
          <w:jc w:val="center"/>
        </w:trPr>
        <w:tc>
          <w:tcPr>
            <w:tcW w:w="1838" w:type="dxa"/>
            <w:vMerge/>
            <w:shd w:val="clear" w:color="auto" w:fill="auto"/>
            <w:vAlign w:val="center"/>
          </w:tcPr>
          <w:p w14:paraId="520DCA9C" w14:textId="77777777" w:rsidR="00BB3746" w:rsidRPr="00E92571" w:rsidRDefault="00BB3746" w:rsidP="002462BB">
            <w:pPr>
              <w:rPr>
                <w:rFonts w:cs="Arial"/>
                <w:sz w:val="20"/>
                <w:szCs w:val="20"/>
              </w:rPr>
            </w:pPr>
          </w:p>
        </w:tc>
        <w:tc>
          <w:tcPr>
            <w:tcW w:w="1694" w:type="dxa"/>
            <w:vMerge/>
            <w:shd w:val="clear" w:color="auto" w:fill="auto"/>
            <w:vAlign w:val="center"/>
          </w:tcPr>
          <w:p w14:paraId="7622B289" w14:textId="77777777" w:rsidR="00BB3746" w:rsidRPr="00E92571" w:rsidRDefault="00BB3746" w:rsidP="002462BB">
            <w:pPr>
              <w:rPr>
                <w:rFonts w:cs="Arial"/>
                <w:sz w:val="20"/>
                <w:szCs w:val="20"/>
              </w:rPr>
            </w:pPr>
          </w:p>
        </w:tc>
        <w:tc>
          <w:tcPr>
            <w:tcW w:w="1798" w:type="dxa"/>
            <w:vMerge/>
            <w:shd w:val="clear" w:color="auto" w:fill="auto"/>
            <w:vAlign w:val="center"/>
          </w:tcPr>
          <w:p w14:paraId="2C28393E" w14:textId="77777777" w:rsidR="00BB3746" w:rsidRPr="00E92571" w:rsidRDefault="00BB3746" w:rsidP="002462BB">
            <w:pPr>
              <w:rPr>
                <w:rFonts w:cs="Arial"/>
                <w:sz w:val="20"/>
                <w:szCs w:val="20"/>
              </w:rPr>
            </w:pPr>
          </w:p>
        </w:tc>
        <w:tc>
          <w:tcPr>
            <w:tcW w:w="2693" w:type="dxa"/>
            <w:vMerge/>
          </w:tcPr>
          <w:p w14:paraId="1E28C296" w14:textId="77777777" w:rsidR="00BB3746" w:rsidRPr="00E92571" w:rsidRDefault="00BB3746" w:rsidP="002462BB">
            <w:pPr>
              <w:rPr>
                <w:sz w:val="20"/>
                <w:szCs w:val="20"/>
              </w:rPr>
            </w:pPr>
          </w:p>
        </w:tc>
        <w:tc>
          <w:tcPr>
            <w:tcW w:w="1843" w:type="dxa"/>
            <w:shd w:val="clear" w:color="auto" w:fill="auto"/>
            <w:vAlign w:val="center"/>
          </w:tcPr>
          <w:p w14:paraId="1CBDBDC6" w14:textId="77777777" w:rsidR="00BB3746" w:rsidRPr="00E92571" w:rsidRDefault="00BB3746" w:rsidP="002462BB">
            <w:pPr>
              <w:rPr>
                <w:sz w:val="20"/>
                <w:szCs w:val="20"/>
              </w:rPr>
            </w:pPr>
            <w:r w:rsidRPr="00E92571">
              <w:rPr>
                <w:sz w:val="20"/>
                <w:szCs w:val="20"/>
              </w:rPr>
              <w:t>Capacity of up to 30 law-trained and lay judicial officers built by participating in two separate decision-making workshops.</w:t>
            </w:r>
          </w:p>
        </w:tc>
        <w:tc>
          <w:tcPr>
            <w:tcW w:w="2178" w:type="dxa"/>
            <w:vMerge w:val="restart"/>
            <w:shd w:val="clear" w:color="auto" w:fill="auto"/>
            <w:vAlign w:val="center"/>
          </w:tcPr>
          <w:p w14:paraId="36262122" w14:textId="77777777" w:rsidR="00BB3746" w:rsidRPr="00E92571" w:rsidRDefault="00BB3746" w:rsidP="002462BB">
            <w:pPr>
              <w:rPr>
                <w:rFonts w:cs="Arial"/>
                <w:sz w:val="20"/>
                <w:szCs w:val="20"/>
              </w:rPr>
            </w:pPr>
            <w:r w:rsidRPr="00E92571">
              <w:rPr>
                <w:rFonts w:cs="Arial"/>
                <w:sz w:val="20"/>
                <w:szCs w:val="20"/>
              </w:rPr>
              <w:t>Perceptions of the quality of the training including RTT co-facilitation of it.</w:t>
            </w:r>
          </w:p>
        </w:tc>
        <w:tc>
          <w:tcPr>
            <w:tcW w:w="1559" w:type="dxa"/>
            <w:vMerge w:val="restart"/>
            <w:shd w:val="clear" w:color="auto" w:fill="auto"/>
            <w:vAlign w:val="center"/>
          </w:tcPr>
          <w:p w14:paraId="6FD1E4C6" w14:textId="77777777" w:rsidR="00BB3746" w:rsidRPr="00E92571" w:rsidRDefault="00BB3746" w:rsidP="002462BB">
            <w:pPr>
              <w:rPr>
                <w:rFonts w:cs="Arial"/>
                <w:sz w:val="20"/>
                <w:szCs w:val="20"/>
              </w:rPr>
            </w:pPr>
            <w:r w:rsidRPr="00E92571">
              <w:rPr>
                <w:rFonts w:cs="Arial"/>
                <w:sz w:val="20"/>
                <w:szCs w:val="20"/>
              </w:rPr>
              <w:t>TA/participants' evaluation.</w:t>
            </w:r>
          </w:p>
        </w:tc>
        <w:tc>
          <w:tcPr>
            <w:tcW w:w="851" w:type="dxa"/>
            <w:vMerge/>
            <w:shd w:val="clear" w:color="auto" w:fill="auto"/>
            <w:vAlign w:val="center"/>
          </w:tcPr>
          <w:p w14:paraId="62426E72" w14:textId="77777777" w:rsidR="00BB3746" w:rsidRPr="00E92571" w:rsidRDefault="00BB3746" w:rsidP="002462BB">
            <w:pPr>
              <w:rPr>
                <w:rFonts w:cs="Arial"/>
                <w:sz w:val="20"/>
                <w:szCs w:val="20"/>
              </w:rPr>
            </w:pPr>
          </w:p>
        </w:tc>
      </w:tr>
      <w:tr w:rsidR="00BB3746" w:rsidRPr="00E92571" w14:paraId="2C3FDDCF" w14:textId="77777777" w:rsidTr="000F6360">
        <w:trPr>
          <w:trHeight w:val="70"/>
          <w:jc w:val="center"/>
        </w:trPr>
        <w:tc>
          <w:tcPr>
            <w:tcW w:w="1838" w:type="dxa"/>
            <w:vMerge/>
            <w:shd w:val="clear" w:color="auto" w:fill="auto"/>
            <w:vAlign w:val="center"/>
          </w:tcPr>
          <w:p w14:paraId="2F1B833F" w14:textId="77777777" w:rsidR="00BB3746" w:rsidRPr="00E92571" w:rsidRDefault="00BB3746" w:rsidP="002462BB">
            <w:pPr>
              <w:rPr>
                <w:rFonts w:cs="Arial"/>
                <w:sz w:val="20"/>
                <w:szCs w:val="20"/>
              </w:rPr>
            </w:pPr>
          </w:p>
        </w:tc>
        <w:tc>
          <w:tcPr>
            <w:tcW w:w="1694" w:type="dxa"/>
            <w:vMerge/>
            <w:shd w:val="clear" w:color="auto" w:fill="auto"/>
            <w:vAlign w:val="center"/>
          </w:tcPr>
          <w:p w14:paraId="4D86C64D" w14:textId="77777777" w:rsidR="00BB3746" w:rsidRPr="00E92571" w:rsidRDefault="00BB3746" w:rsidP="002462BB">
            <w:pPr>
              <w:rPr>
                <w:rFonts w:cs="Arial"/>
                <w:sz w:val="20"/>
                <w:szCs w:val="20"/>
              </w:rPr>
            </w:pPr>
          </w:p>
        </w:tc>
        <w:tc>
          <w:tcPr>
            <w:tcW w:w="1798" w:type="dxa"/>
            <w:vMerge/>
            <w:shd w:val="clear" w:color="auto" w:fill="auto"/>
            <w:vAlign w:val="center"/>
          </w:tcPr>
          <w:p w14:paraId="46725D93" w14:textId="77777777" w:rsidR="00BB3746" w:rsidRPr="00E92571" w:rsidRDefault="00BB3746" w:rsidP="002462BB">
            <w:pPr>
              <w:rPr>
                <w:rFonts w:cs="Arial"/>
                <w:sz w:val="20"/>
                <w:szCs w:val="20"/>
              </w:rPr>
            </w:pPr>
          </w:p>
        </w:tc>
        <w:tc>
          <w:tcPr>
            <w:tcW w:w="2693" w:type="dxa"/>
            <w:vMerge/>
          </w:tcPr>
          <w:p w14:paraId="2C7CB5EF" w14:textId="77777777" w:rsidR="00BB3746" w:rsidRPr="00E92571" w:rsidRDefault="00BB3746" w:rsidP="002462BB">
            <w:pPr>
              <w:tabs>
                <w:tab w:val="left" w:pos="0"/>
              </w:tabs>
              <w:rPr>
                <w:sz w:val="20"/>
                <w:szCs w:val="20"/>
              </w:rPr>
            </w:pPr>
          </w:p>
        </w:tc>
        <w:tc>
          <w:tcPr>
            <w:tcW w:w="1843" w:type="dxa"/>
            <w:shd w:val="clear" w:color="auto" w:fill="auto"/>
            <w:vAlign w:val="center"/>
          </w:tcPr>
          <w:p w14:paraId="475C4A05" w14:textId="77777777" w:rsidR="00BB3746" w:rsidRPr="00E92571" w:rsidRDefault="00BB3746" w:rsidP="002462BB">
            <w:pPr>
              <w:tabs>
                <w:tab w:val="left" w:pos="0"/>
              </w:tabs>
              <w:rPr>
                <w:sz w:val="20"/>
                <w:szCs w:val="20"/>
              </w:rPr>
            </w:pPr>
            <w:r w:rsidRPr="00E92571">
              <w:rPr>
                <w:sz w:val="20"/>
                <w:szCs w:val="20"/>
              </w:rPr>
              <w:t>Capacity of RTT members built through experience delivering peer-based support and training in decision-making at regional level.</w:t>
            </w:r>
          </w:p>
        </w:tc>
        <w:tc>
          <w:tcPr>
            <w:tcW w:w="2178" w:type="dxa"/>
            <w:vMerge/>
            <w:shd w:val="clear" w:color="auto" w:fill="auto"/>
            <w:vAlign w:val="center"/>
          </w:tcPr>
          <w:p w14:paraId="3A90847F" w14:textId="77777777" w:rsidR="00BB3746" w:rsidRPr="00E92571" w:rsidRDefault="00BB3746" w:rsidP="002462BB">
            <w:pPr>
              <w:rPr>
                <w:rFonts w:cs="Arial"/>
                <w:sz w:val="20"/>
                <w:szCs w:val="20"/>
              </w:rPr>
            </w:pPr>
          </w:p>
        </w:tc>
        <w:tc>
          <w:tcPr>
            <w:tcW w:w="1559" w:type="dxa"/>
            <w:vMerge/>
            <w:shd w:val="clear" w:color="auto" w:fill="auto"/>
            <w:vAlign w:val="center"/>
          </w:tcPr>
          <w:p w14:paraId="5537DE71" w14:textId="77777777" w:rsidR="00BB3746" w:rsidRPr="00E92571" w:rsidRDefault="00BB3746" w:rsidP="002462BB">
            <w:pPr>
              <w:rPr>
                <w:rFonts w:cs="Arial"/>
                <w:sz w:val="20"/>
                <w:szCs w:val="20"/>
              </w:rPr>
            </w:pPr>
          </w:p>
        </w:tc>
        <w:tc>
          <w:tcPr>
            <w:tcW w:w="851" w:type="dxa"/>
            <w:vMerge w:val="restart"/>
            <w:shd w:val="clear" w:color="auto" w:fill="auto"/>
            <w:vAlign w:val="center"/>
          </w:tcPr>
          <w:p w14:paraId="5B5D7AE1" w14:textId="77777777" w:rsidR="00BB3746" w:rsidRPr="00E92571" w:rsidRDefault="00BB3746" w:rsidP="002462BB">
            <w:pPr>
              <w:rPr>
                <w:rFonts w:cs="Arial"/>
                <w:sz w:val="20"/>
                <w:szCs w:val="20"/>
              </w:rPr>
            </w:pPr>
          </w:p>
        </w:tc>
      </w:tr>
      <w:tr w:rsidR="00BB3746" w:rsidRPr="00E92571" w14:paraId="59AFD355" w14:textId="77777777" w:rsidTr="000F6360">
        <w:trPr>
          <w:trHeight w:val="1108"/>
          <w:jc w:val="center"/>
        </w:trPr>
        <w:tc>
          <w:tcPr>
            <w:tcW w:w="1838" w:type="dxa"/>
            <w:vMerge/>
            <w:shd w:val="clear" w:color="auto" w:fill="auto"/>
            <w:vAlign w:val="center"/>
          </w:tcPr>
          <w:p w14:paraId="292D2066" w14:textId="77777777" w:rsidR="00BB3746" w:rsidRPr="00E92571" w:rsidRDefault="00BB3746" w:rsidP="002462BB">
            <w:pPr>
              <w:rPr>
                <w:rFonts w:cs="Arial"/>
                <w:sz w:val="20"/>
                <w:szCs w:val="20"/>
              </w:rPr>
            </w:pPr>
          </w:p>
        </w:tc>
        <w:tc>
          <w:tcPr>
            <w:tcW w:w="1694" w:type="dxa"/>
            <w:vMerge/>
            <w:shd w:val="clear" w:color="auto" w:fill="auto"/>
            <w:vAlign w:val="center"/>
          </w:tcPr>
          <w:p w14:paraId="4340A67F" w14:textId="77777777" w:rsidR="00BB3746" w:rsidRPr="00E92571" w:rsidRDefault="00BB3746" w:rsidP="002462BB">
            <w:pPr>
              <w:rPr>
                <w:rFonts w:cs="Arial"/>
                <w:sz w:val="20"/>
                <w:szCs w:val="20"/>
              </w:rPr>
            </w:pPr>
          </w:p>
        </w:tc>
        <w:tc>
          <w:tcPr>
            <w:tcW w:w="1798" w:type="dxa"/>
            <w:vMerge/>
            <w:shd w:val="clear" w:color="auto" w:fill="auto"/>
            <w:vAlign w:val="center"/>
          </w:tcPr>
          <w:p w14:paraId="22402DE1" w14:textId="77777777" w:rsidR="00BB3746" w:rsidRPr="00E92571" w:rsidRDefault="00BB3746" w:rsidP="002462BB">
            <w:pPr>
              <w:rPr>
                <w:rFonts w:cs="Arial"/>
                <w:sz w:val="20"/>
                <w:szCs w:val="20"/>
              </w:rPr>
            </w:pPr>
          </w:p>
        </w:tc>
        <w:tc>
          <w:tcPr>
            <w:tcW w:w="2693" w:type="dxa"/>
            <w:vMerge/>
          </w:tcPr>
          <w:p w14:paraId="132CDF1E" w14:textId="77777777" w:rsidR="00BB3746" w:rsidRPr="00E92571" w:rsidRDefault="00BB3746" w:rsidP="002462BB">
            <w:pPr>
              <w:tabs>
                <w:tab w:val="left" w:pos="0"/>
                <w:tab w:val="left" w:pos="26"/>
              </w:tabs>
              <w:rPr>
                <w:rFonts w:cs="Arial"/>
                <w:bCs/>
                <w:sz w:val="20"/>
                <w:szCs w:val="20"/>
              </w:rPr>
            </w:pPr>
          </w:p>
        </w:tc>
        <w:tc>
          <w:tcPr>
            <w:tcW w:w="1843" w:type="dxa"/>
            <w:shd w:val="clear" w:color="auto" w:fill="auto"/>
            <w:vAlign w:val="center"/>
          </w:tcPr>
          <w:p w14:paraId="3B78353A" w14:textId="77777777" w:rsidR="00BB3746" w:rsidRPr="00E92571" w:rsidRDefault="00BB3746" w:rsidP="002462BB">
            <w:pPr>
              <w:tabs>
                <w:tab w:val="left" w:pos="0"/>
                <w:tab w:val="left" w:pos="26"/>
              </w:tabs>
              <w:rPr>
                <w:sz w:val="20"/>
                <w:szCs w:val="20"/>
              </w:rPr>
            </w:pPr>
            <w:r w:rsidRPr="00E92571">
              <w:rPr>
                <w:rFonts w:cs="Arial"/>
                <w:bCs/>
                <w:sz w:val="20"/>
                <w:szCs w:val="20"/>
              </w:rPr>
              <w:t>RTT members more confidently disposed and able to provide peer-based support and training in decision-making at the local level.</w:t>
            </w:r>
          </w:p>
        </w:tc>
        <w:tc>
          <w:tcPr>
            <w:tcW w:w="2178" w:type="dxa"/>
            <w:vMerge/>
            <w:shd w:val="clear" w:color="auto" w:fill="auto"/>
            <w:vAlign w:val="center"/>
          </w:tcPr>
          <w:p w14:paraId="0D9EB5CF" w14:textId="77777777" w:rsidR="00BB3746" w:rsidRPr="00E92571" w:rsidRDefault="00BB3746" w:rsidP="002462BB">
            <w:pPr>
              <w:rPr>
                <w:rFonts w:cs="Arial"/>
                <w:sz w:val="20"/>
                <w:szCs w:val="20"/>
              </w:rPr>
            </w:pPr>
          </w:p>
        </w:tc>
        <w:tc>
          <w:tcPr>
            <w:tcW w:w="1559" w:type="dxa"/>
            <w:vMerge/>
            <w:shd w:val="clear" w:color="auto" w:fill="auto"/>
            <w:vAlign w:val="center"/>
          </w:tcPr>
          <w:p w14:paraId="1CB18178" w14:textId="77777777" w:rsidR="00BB3746" w:rsidRPr="00E92571" w:rsidRDefault="00BB3746" w:rsidP="002462BB">
            <w:pPr>
              <w:rPr>
                <w:rFonts w:cs="Arial"/>
                <w:sz w:val="20"/>
                <w:szCs w:val="20"/>
              </w:rPr>
            </w:pPr>
          </w:p>
        </w:tc>
        <w:tc>
          <w:tcPr>
            <w:tcW w:w="851" w:type="dxa"/>
            <w:vMerge/>
            <w:shd w:val="clear" w:color="auto" w:fill="auto"/>
            <w:vAlign w:val="center"/>
          </w:tcPr>
          <w:p w14:paraId="60C0A611" w14:textId="77777777" w:rsidR="00BB3746" w:rsidRPr="00E92571" w:rsidRDefault="00BB3746" w:rsidP="002462BB">
            <w:pPr>
              <w:rPr>
                <w:rFonts w:cs="Arial"/>
                <w:sz w:val="20"/>
                <w:szCs w:val="20"/>
              </w:rPr>
            </w:pPr>
          </w:p>
        </w:tc>
      </w:tr>
      <w:tr w:rsidR="00D40477" w:rsidRPr="00E92571" w14:paraId="6AA4BE4F" w14:textId="77777777" w:rsidTr="000F6360">
        <w:trPr>
          <w:trHeight w:val="510"/>
          <w:jc w:val="center"/>
        </w:trPr>
        <w:tc>
          <w:tcPr>
            <w:tcW w:w="14454" w:type="dxa"/>
            <w:gridSpan w:val="8"/>
            <w:shd w:val="clear" w:color="auto" w:fill="BFBFBF" w:themeFill="background1" w:themeFillShade="BF"/>
            <w:vAlign w:val="center"/>
          </w:tcPr>
          <w:p w14:paraId="494B5911" w14:textId="77777777" w:rsidR="00D40477" w:rsidRPr="00D40477" w:rsidRDefault="00D40477" w:rsidP="002462BB">
            <w:pPr>
              <w:rPr>
                <w:rFonts w:cs="Arial"/>
                <w:b/>
              </w:rPr>
            </w:pPr>
            <w:r w:rsidRPr="00D40477">
              <w:rPr>
                <w:rFonts w:cs="Arial"/>
                <w:b/>
                <w:sz w:val="22"/>
                <w:szCs w:val="22"/>
              </w:rPr>
              <w:t>5.0 Programme Management</w:t>
            </w:r>
          </w:p>
        </w:tc>
      </w:tr>
      <w:tr w:rsidR="00BB3746" w:rsidRPr="00E92571" w14:paraId="328FB722" w14:textId="77777777" w:rsidTr="000F6360">
        <w:trPr>
          <w:trHeight w:val="510"/>
          <w:jc w:val="center"/>
        </w:trPr>
        <w:tc>
          <w:tcPr>
            <w:tcW w:w="1838" w:type="dxa"/>
            <w:vMerge w:val="restart"/>
            <w:shd w:val="clear" w:color="auto" w:fill="auto"/>
            <w:vAlign w:val="center"/>
          </w:tcPr>
          <w:p w14:paraId="4D25D46F" w14:textId="77777777" w:rsidR="00BB3746" w:rsidRPr="00E92571" w:rsidRDefault="00BB3746" w:rsidP="002462BB">
            <w:pPr>
              <w:rPr>
                <w:rFonts w:cs="Arial"/>
                <w:sz w:val="20"/>
                <w:szCs w:val="20"/>
              </w:rPr>
            </w:pPr>
            <w:r w:rsidRPr="00E92571">
              <w:rPr>
                <w:rFonts w:cs="Arial"/>
                <w:sz w:val="20"/>
                <w:szCs w:val="20"/>
              </w:rPr>
              <w:t>All PJDP activities are delivered and +90% of funds expended</w:t>
            </w:r>
          </w:p>
        </w:tc>
        <w:tc>
          <w:tcPr>
            <w:tcW w:w="1694" w:type="dxa"/>
            <w:vMerge w:val="restart"/>
            <w:shd w:val="clear" w:color="auto" w:fill="auto"/>
            <w:vAlign w:val="center"/>
          </w:tcPr>
          <w:p w14:paraId="3F538A34" w14:textId="77777777" w:rsidR="00BB3746" w:rsidRPr="00E92571" w:rsidRDefault="00BB3746" w:rsidP="002462BB">
            <w:pPr>
              <w:rPr>
                <w:rFonts w:cs="Arial"/>
                <w:sz w:val="20"/>
                <w:szCs w:val="20"/>
              </w:rPr>
            </w:pPr>
            <w:r w:rsidRPr="00E92571">
              <w:rPr>
                <w:rFonts w:cs="Arial"/>
                <w:sz w:val="20"/>
                <w:szCs w:val="20"/>
              </w:rPr>
              <w:t>PJDP provides high quality products and services which are owned by, delivers tangible benefits to PIC courts and which expends 90% of the approved budget.</w:t>
            </w:r>
          </w:p>
        </w:tc>
        <w:tc>
          <w:tcPr>
            <w:tcW w:w="1798" w:type="dxa"/>
            <w:vMerge w:val="restart"/>
            <w:shd w:val="clear" w:color="auto" w:fill="auto"/>
            <w:vAlign w:val="center"/>
          </w:tcPr>
          <w:p w14:paraId="02E9CB9B" w14:textId="77777777" w:rsidR="00BB3746" w:rsidRPr="00E92571" w:rsidRDefault="00BB3746" w:rsidP="002462BB">
            <w:pPr>
              <w:rPr>
                <w:rFonts w:cs="Arial"/>
                <w:sz w:val="20"/>
                <w:szCs w:val="20"/>
              </w:rPr>
            </w:pPr>
            <w:r w:rsidRPr="00E92571">
              <w:rPr>
                <w:rFonts w:cs="Arial"/>
                <w:sz w:val="20"/>
                <w:szCs w:val="20"/>
              </w:rPr>
              <w:t>NA</w:t>
            </w:r>
          </w:p>
        </w:tc>
        <w:tc>
          <w:tcPr>
            <w:tcW w:w="2693" w:type="dxa"/>
            <w:vMerge w:val="restart"/>
            <w:vAlign w:val="center"/>
          </w:tcPr>
          <w:p w14:paraId="5E349D33" w14:textId="77777777" w:rsidR="00BB3746" w:rsidRDefault="00BF76EB" w:rsidP="002462BB">
            <w:pPr>
              <w:rPr>
                <w:rFonts w:cs="Arial"/>
                <w:sz w:val="20"/>
                <w:szCs w:val="20"/>
              </w:rPr>
            </w:pPr>
            <w:r>
              <w:rPr>
                <w:rFonts w:cs="Arial"/>
                <w:sz w:val="20"/>
                <w:szCs w:val="20"/>
              </w:rPr>
              <w:t xml:space="preserve">Based on current projections, a </w:t>
            </w:r>
            <w:r w:rsidR="00BB3746">
              <w:rPr>
                <w:rFonts w:cs="Arial"/>
                <w:sz w:val="20"/>
                <w:szCs w:val="20"/>
              </w:rPr>
              <w:t>small underspend has been identified</w:t>
            </w:r>
            <w:r>
              <w:rPr>
                <w:rFonts w:cs="Arial"/>
                <w:sz w:val="20"/>
                <w:szCs w:val="20"/>
              </w:rPr>
              <w:t xml:space="preserve">.  The MSC will progressively reallocate this and any future underspends to appropriate </w:t>
            </w:r>
            <w:r w:rsidR="00BB3746">
              <w:rPr>
                <w:rFonts w:cs="Arial"/>
                <w:sz w:val="20"/>
                <w:szCs w:val="20"/>
              </w:rPr>
              <w:t>PEC</w:t>
            </w:r>
            <w:r>
              <w:rPr>
                <w:rFonts w:cs="Arial"/>
                <w:sz w:val="20"/>
                <w:szCs w:val="20"/>
              </w:rPr>
              <w:t>-</w:t>
            </w:r>
            <w:r w:rsidR="00BB3746">
              <w:rPr>
                <w:rFonts w:cs="Arial"/>
                <w:sz w:val="20"/>
                <w:szCs w:val="20"/>
              </w:rPr>
              <w:t>approv</w:t>
            </w:r>
            <w:r>
              <w:rPr>
                <w:rFonts w:cs="Arial"/>
                <w:sz w:val="20"/>
                <w:szCs w:val="20"/>
              </w:rPr>
              <w:t>ed ‘additional activities’.</w:t>
            </w:r>
          </w:p>
          <w:p w14:paraId="237F8798" w14:textId="77777777" w:rsidR="00BB3746" w:rsidRDefault="00BB3746" w:rsidP="002462BB">
            <w:pPr>
              <w:rPr>
                <w:rFonts w:cs="Arial"/>
                <w:sz w:val="20"/>
                <w:szCs w:val="20"/>
              </w:rPr>
            </w:pPr>
          </w:p>
          <w:p w14:paraId="6E81A96F" w14:textId="77777777" w:rsidR="00BB3746" w:rsidRPr="00E92571" w:rsidRDefault="00BB3746" w:rsidP="002462BB">
            <w:pPr>
              <w:rPr>
                <w:rFonts w:cs="Arial"/>
                <w:sz w:val="20"/>
                <w:szCs w:val="20"/>
              </w:rPr>
            </w:pPr>
            <w:r>
              <w:rPr>
                <w:rFonts w:cs="Arial"/>
                <w:sz w:val="20"/>
                <w:szCs w:val="20"/>
              </w:rPr>
              <w:t xml:space="preserve">Expenditure projections for the whole contract period indicate that all activities will be delivered with </w:t>
            </w:r>
            <w:r w:rsidR="00BF76EB">
              <w:rPr>
                <w:rFonts w:cs="Arial"/>
                <w:sz w:val="20"/>
                <w:szCs w:val="20"/>
              </w:rPr>
              <w:t xml:space="preserve">over </w:t>
            </w:r>
            <w:r>
              <w:rPr>
                <w:rFonts w:cs="Arial"/>
                <w:sz w:val="20"/>
                <w:szCs w:val="20"/>
              </w:rPr>
              <w:t>90% of funds likely to be expended by June 2015.</w:t>
            </w:r>
          </w:p>
        </w:tc>
        <w:tc>
          <w:tcPr>
            <w:tcW w:w="1843" w:type="dxa"/>
            <w:vMerge w:val="restart"/>
            <w:shd w:val="clear" w:color="auto" w:fill="auto"/>
            <w:vAlign w:val="center"/>
          </w:tcPr>
          <w:p w14:paraId="7F4DF1A5" w14:textId="77777777" w:rsidR="00BB3746" w:rsidRPr="00E92571" w:rsidRDefault="00BB3746" w:rsidP="002462BB">
            <w:pPr>
              <w:rPr>
                <w:rFonts w:cs="Arial"/>
                <w:sz w:val="20"/>
                <w:szCs w:val="20"/>
              </w:rPr>
            </w:pPr>
            <w:r w:rsidRPr="00E92571">
              <w:rPr>
                <w:rFonts w:cs="Arial"/>
                <w:sz w:val="20"/>
                <w:szCs w:val="20"/>
              </w:rPr>
              <w:t>Effective management of all aspects of the PJDP, the promotion of collaborative and responsive programming and implementation, and the transparent administration of PJDP resources.</w:t>
            </w:r>
          </w:p>
        </w:tc>
        <w:tc>
          <w:tcPr>
            <w:tcW w:w="2178" w:type="dxa"/>
            <w:shd w:val="clear" w:color="auto" w:fill="auto"/>
            <w:vAlign w:val="center"/>
          </w:tcPr>
          <w:p w14:paraId="6C3C3D8D" w14:textId="77777777" w:rsidR="00BB3746" w:rsidRPr="00E92571" w:rsidRDefault="00BB3746" w:rsidP="002462BB">
            <w:pPr>
              <w:rPr>
                <w:rFonts w:cs="Arial"/>
                <w:sz w:val="20"/>
                <w:szCs w:val="20"/>
              </w:rPr>
            </w:pPr>
            <w:r w:rsidRPr="00E92571">
              <w:rPr>
                <w:rFonts w:cs="Arial"/>
                <w:sz w:val="20"/>
                <w:szCs w:val="20"/>
              </w:rPr>
              <w:t>PEC/ regional leadership’s perceptions of quality of TA personnel.</w:t>
            </w:r>
          </w:p>
        </w:tc>
        <w:tc>
          <w:tcPr>
            <w:tcW w:w="1559" w:type="dxa"/>
            <w:shd w:val="clear" w:color="auto" w:fill="auto"/>
            <w:vAlign w:val="center"/>
          </w:tcPr>
          <w:p w14:paraId="5E1238BE" w14:textId="77777777" w:rsidR="00BB3746" w:rsidRPr="00E92571" w:rsidRDefault="00BB3746" w:rsidP="002462BB">
            <w:pPr>
              <w:rPr>
                <w:rFonts w:cs="Arial"/>
                <w:sz w:val="20"/>
                <w:szCs w:val="20"/>
              </w:rPr>
            </w:pPr>
            <w:r w:rsidRPr="00E92571">
              <w:rPr>
                <w:rFonts w:cs="Arial"/>
                <w:sz w:val="20"/>
                <w:szCs w:val="20"/>
              </w:rPr>
              <w:t>PEC assessment minuted.</w:t>
            </w:r>
          </w:p>
        </w:tc>
        <w:tc>
          <w:tcPr>
            <w:tcW w:w="851" w:type="dxa"/>
            <w:shd w:val="clear" w:color="auto" w:fill="auto"/>
            <w:vAlign w:val="center"/>
          </w:tcPr>
          <w:p w14:paraId="7C17A7DD" w14:textId="77777777" w:rsidR="00BB3746" w:rsidRPr="00E92571" w:rsidRDefault="00BB3746" w:rsidP="002462BB">
            <w:pPr>
              <w:rPr>
                <w:rFonts w:cs="Arial"/>
                <w:sz w:val="20"/>
                <w:szCs w:val="20"/>
              </w:rPr>
            </w:pPr>
            <w:r w:rsidRPr="00E92571">
              <w:rPr>
                <w:rFonts w:cs="Arial"/>
                <w:sz w:val="20"/>
                <w:szCs w:val="20"/>
              </w:rPr>
              <w:t>MSC</w:t>
            </w:r>
          </w:p>
        </w:tc>
      </w:tr>
      <w:tr w:rsidR="00BB3746" w:rsidRPr="00E92571" w14:paraId="00E00C7C" w14:textId="77777777" w:rsidTr="000F6360">
        <w:trPr>
          <w:trHeight w:val="765"/>
          <w:jc w:val="center"/>
        </w:trPr>
        <w:tc>
          <w:tcPr>
            <w:tcW w:w="1838" w:type="dxa"/>
            <w:vMerge/>
            <w:shd w:val="clear" w:color="auto" w:fill="auto"/>
            <w:vAlign w:val="center"/>
          </w:tcPr>
          <w:p w14:paraId="4E7151EB" w14:textId="77777777" w:rsidR="00BB3746" w:rsidRPr="00E92571" w:rsidRDefault="00BB3746" w:rsidP="002462BB">
            <w:pPr>
              <w:rPr>
                <w:rFonts w:cs="Arial"/>
                <w:sz w:val="20"/>
                <w:szCs w:val="20"/>
              </w:rPr>
            </w:pPr>
          </w:p>
        </w:tc>
        <w:tc>
          <w:tcPr>
            <w:tcW w:w="1694" w:type="dxa"/>
            <w:vMerge/>
            <w:shd w:val="clear" w:color="auto" w:fill="auto"/>
            <w:vAlign w:val="center"/>
          </w:tcPr>
          <w:p w14:paraId="6C60718B" w14:textId="77777777" w:rsidR="00BB3746" w:rsidRPr="00E92571" w:rsidRDefault="00BB3746" w:rsidP="002462BB">
            <w:pPr>
              <w:rPr>
                <w:rFonts w:cs="Arial"/>
                <w:sz w:val="20"/>
                <w:szCs w:val="20"/>
              </w:rPr>
            </w:pPr>
          </w:p>
        </w:tc>
        <w:tc>
          <w:tcPr>
            <w:tcW w:w="1798" w:type="dxa"/>
            <w:vMerge/>
            <w:shd w:val="clear" w:color="auto" w:fill="auto"/>
            <w:vAlign w:val="center"/>
          </w:tcPr>
          <w:p w14:paraId="4AF0E525" w14:textId="77777777" w:rsidR="00BB3746" w:rsidRPr="00E92571" w:rsidRDefault="00BB3746" w:rsidP="002462BB">
            <w:pPr>
              <w:rPr>
                <w:rFonts w:cs="Arial"/>
                <w:sz w:val="20"/>
                <w:szCs w:val="20"/>
              </w:rPr>
            </w:pPr>
          </w:p>
        </w:tc>
        <w:tc>
          <w:tcPr>
            <w:tcW w:w="2693" w:type="dxa"/>
            <w:vMerge/>
          </w:tcPr>
          <w:p w14:paraId="16939BD4" w14:textId="77777777" w:rsidR="00BB3746" w:rsidRPr="00E92571" w:rsidRDefault="00BB3746" w:rsidP="002462BB">
            <w:pPr>
              <w:rPr>
                <w:rFonts w:cs="Arial"/>
                <w:sz w:val="20"/>
                <w:szCs w:val="20"/>
              </w:rPr>
            </w:pPr>
          </w:p>
        </w:tc>
        <w:tc>
          <w:tcPr>
            <w:tcW w:w="1843" w:type="dxa"/>
            <w:vMerge/>
            <w:shd w:val="clear" w:color="auto" w:fill="auto"/>
            <w:vAlign w:val="center"/>
          </w:tcPr>
          <w:p w14:paraId="37CDD042" w14:textId="77777777" w:rsidR="00BB3746" w:rsidRPr="00E92571" w:rsidRDefault="00BB3746" w:rsidP="002462BB">
            <w:pPr>
              <w:rPr>
                <w:rFonts w:cs="Arial"/>
                <w:sz w:val="20"/>
                <w:szCs w:val="20"/>
              </w:rPr>
            </w:pPr>
          </w:p>
        </w:tc>
        <w:tc>
          <w:tcPr>
            <w:tcW w:w="2178" w:type="dxa"/>
            <w:shd w:val="clear" w:color="auto" w:fill="auto"/>
            <w:vAlign w:val="center"/>
          </w:tcPr>
          <w:p w14:paraId="6DBB4F50" w14:textId="77777777" w:rsidR="00BB3746" w:rsidRPr="00E92571" w:rsidRDefault="00BB3746" w:rsidP="002462BB">
            <w:pPr>
              <w:rPr>
                <w:rFonts w:cs="Arial"/>
                <w:sz w:val="20"/>
                <w:szCs w:val="20"/>
              </w:rPr>
            </w:pPr>
            <w:r w:rsidRPr="00E92571">
              <w:rPr>
                <w:rFonts w:cs="Arial"/>
                <w:sz w:val="20"/>
                <w:szCs w:val="20"/>
              </w:rPr>
              <w:t>Quality of logistics and progress reporting to enable activities to be implemented on time and within budget.</w:t>
            </w:r>
          </w:p>
        </w:tc>
        <w:tc>
          <w:tcPr>
            <w:tcW w:w="1559" w:type="dxa"/>
            <w:shd w:val="clear" w:color="auto" w:fill="auto"/>
            <w:vAlign w:val="center"/>
          </w:tcPr>
          <w:p w14:paraId="45DE9A03" w14:textId="77777777" w:rsidR="00BB3746" w:rsidRPr="00E92571" w:rsidRDefault="00BB3746" w:rsidP="002462BB">
            <w:pPr>
              <w:rPr>
                <w:rFonts w:cs="Arial"/>
                <w:sz w:val="20"/>
                <w:szCs w:val="20"/>
              </w:rPr>
            </w:pPr>
            <w:r w:rsidRPr="00E92571">
              <w:rPr>
                <w:rFonts w:cs="Arial"/>
                <w:sz w:val="20"/>
                <w:szCs w:val="20"/>
              </w:rPr>
              <w:t>Progress reports.</w:t>
            </w:r>
          </w:p>
        </w:tc>
        <w:tc>
          <w:tcPr>
            <w:tcW w:w="851" w:type="dxa"/>
            <w:shd w:val="clear" w:color="auto" w:fill="auto"/>
            <w:vAlign w:val="center"/>
          </w:tcPr>
          <w:p w14:paraId="07C738F0" w14:textId="77777777" w:rsidR="00BB3746" w:rsidRPr="00E92571" w:rsidRDefault="00BB3746" w:rsidP="002462BB">
            <w:pPr>
              <w:rPr>
                <w:rFonts w:cs="Arial"/>
                <w:sz w:val="20"/>
                <w:szCs w:val="20"/>
              </w:rPr>
            </w:pPr>
            <w:r w:rsidRPr="00E92571">
              <w:rPr>
                <w:rFonts w:cs="Arial"/>
                <w:sz w:val="20"/>
                <w:szCs w:val="20"/>
              </w:rPr>
              <w:t>MSC</w:t>
            </w:r>
          </w:p>
        </w:tc>
      </w:tr>
      <w:tr w:rsidR="00BB3746" w:rsidRPr="00E92571" w14:paraId="4A6E802F" w14:textId="77777777" w:rsidTr="000F6360">
        <w:trPr>
          <w:trHeight w:val="765"/>
          <w:jc w:val="center"/>
        </w:trPr>
        <w:tc>
          <w:tcPr>
            <w:tcW w:w="1838" w:type="dxa"/>
            <w:vMerge/>
            <w:shd w:val="clear" w:color="auto" w:fill="auto"/>
            <w:vAlign w:val="center"/>
          </w:tcPr>
          <w:p w14:paraId="2E4B947D" w14:textId="77777777" w:rsidR="00BB3746" w:rsidRPr="00E92571" w:rsidRDefault="00BB3746" w:rsidP="002462BB">
            <w:pPr>
              <w:rPr>
                <w:rFonts w:cs="Arial"/>
                <w:sz w:val="20"/>
                <w:szCs w:val="20"/>
              </w:rPr>
            </w:pPr>
          </w:p>
        </w:tc>
        <w:tc>
          <w:tcPr>
            <w:tcW w:w="1694" w:type="dxa"/>
            <w:vMerge/>
            <w:shd w:val="clear" w:color="auto" w:fill="auto"/>
            <w:vAlign w:val="center"/>
          </w:tcPr>
          <w:p w14:paraId="248C5608" w14:textId="77777777" w:rsidR="00BB3746" w:rsidRPr="00E92571" w:rsidRDefault="00BB3746" w:rsidP="002462BB">
            <w:pPr>
              <w:rPr>
                <w:rFonts w:cs="Arial"/>
                <w:sz w:val="20"/>
                <w:szCs w:val="20"/>
              </w:rPr>
            </w:pPr>
          </w:p>
        </w:tc>
        <w:tc>
          <w:tcPr>
            <w:tcW w:w="1798" w:type="dxa"/>
            <w:vMerge/>
            <w:shd w:val="clear" w:color="auto" w:fill="auto"/>
            <w:vAlign w:val="center"/>
          </w:tcPr>
          <w:p w14:paraId="36CD2EFC" w14:textId="77777777" w:rsidR="00BB3746" w:rsidRPr="00E92571" w:rsidRDefault="00BB3746" w:rsidP="002462BB">
            <w:pPr>
              <w:rPr>
                <w:rFonts w:cs="Arial"/>
                <w:sz w:val="20"/>
                <w:szCs w:val="20"/>
              </w:rPr>
            </w:pPr>
          </w:p>
        </w:tc>
        <w:tc>
          <w:tcPr>
            <w:tcW w:w="2693" w:type="dxa"/>
            <w:vMerge/>
          </w:tcPr>
          <w:p w14:paraId="789052F8" w14:textId="77777777" w:rsidR="00BB3746" w:rsidRPr="00E92571" w:rsidRDefault="00BB3746" w:rsidP="002462BB">
            <w:pPr>
              <w:rPr>
                <w:rFonts w:cs="Arial"/>
                <w:sz w:val="20"/>
                <w:szCs w:val="20"/>
              </w:rPr>
            </w:pPr>
          </w:p>
        </w:tc>
        <w:tc>
          <w:tcPr>
            <w:tcW w:w="1843" w:type="dxa"/>
            <w:vMerge/>
            <w:shd w:val="clear" w:color="auto" w:fill="auto"/>
            <w:vAlign w:val="center"/>
          </w:tcPr>
          <w:p w14:paraId="53CBFF4F" w14:textId="77777777" w:rsidR="00BB3746" w:rsidRPr="00E92571" w:rsidRDefault="00BB3746" w:rsidP="002462BB">
            <w:pPr>
              <w:rPr>
                <w:rFonts w:cs="Arial"/>
                <w:sz w:val="20"/>
                <w:szCs w:val="20"/>
              </w:rPr>
            </w:pPr>
          </w:p>
        </w:tc>
        <w:tc>
          <w:tcPr>
            <w:tcW w:w="2178" w:type="dxa"/>
            <w:vMerge w:val="restart"/>
            <w:shd w:val="clear" w:color="auto" w:fill="auto"/>
            <w:vAlign w:val="center"/>
          </w:tcPr>
          <w:p w14:paraId="540E666B" w14:textId="77777777" w:rsidR="00BB3746" w:rsidRPr="00E92571" w:rsidRDefault="00BB3746" w:rsidP="002462BB">
            <w:pPr>
              <w:rPr>
                <w:rFonts w:cs="Arial"/>
                <w:sz w:val="20"/>
                <w:szCs w:val="20"/>
              </w:rPr>
            </w:pPr>
            <w:r w:rsidRPr="00E92571">
              <w:rPr>
                <w:rFonts w:cs="Arial"/>
                <w:sz w:val="20"/>
                <w:szCs w:val="20"/>
              </w:rPr>
              <w:t>Quality of incorporation of cross-cutting issues (gender, human rights, sustainability) into appropriate activities.</w:t>
            </w:r>
          </w:p>
          <w:p w14:paraId="477C0637" w14:textId="77777777" w:rsidR="00BB3746" w:rsidRPr="00E92571" w:rsidRDefault="00BB3746" w:rsidP="002462BB">
            <w:pPr>
              <w:rPr>
                <w:rFonts w:cs="Arial"/>
                <w:sz w:val="8"/>
                <w:szCs w:val="20"/>
              </w:rPr>
            </w:pPr>
          </w:p>
          <w:p w14:paraId="7C0742AB" w14:textId="77777777" w:rsidR="00BB3746" w:rsidRPr="00E92571" w:rsidRDefault="00BB3746" w:rsidP="002462BB">
            <w:pPr>
              <w:rPr>
                <w:rFonts w:cs="Arial"/>
                <w:sz w:val="20"/>
                <w:szCs w:val="20"/>
              </w:rPr>
            </w:pPr>
            <w:r w:rsidRPr="00E92571">
              <w:rPr>
                <w:rFonts w:cs="Arial"/>
                <w:sz w:val="20"/>
                <w:szCs w:val="20"/>
              </w:rPr>
              <w:t>Comprehensive and accurate, evidence-based reporting (narrative and financial reporting) completed and submitted by MSC to MFAT on time.</w:t>
            </w:r>
          </w:p>
        </w:tc>
        <w:tc>
          <w:tcPr>
            <w:tcW w:w="1559" w:type="dxa"/>
            <w:shd w:val="clear" w:color="auto" w:fill="auto"/>
            <w:vAlign w:val="center"/>
          </w:tcPr>
          <w:p w14:paraId="3D95A065" w14:textId="77777777" w:rsidR="00BB3746" w:rsidRPr="00E92571" w:rsidRDefault="00BB3746" w:rsidP="002462BB">
            <w:pPr>
              <w:rPr>
                <w:rFonts w:cs="Arial"/>
                <w:sz w:val="20"/>
                <w:szCs w:val="20"/>
              </w:rPr>
            </w:pPr>
            <w:r w:rsidRPr="00E92571">
              <w:rPr>
                <w:rFonts w:cs="Arial"/>
                <w:sz w:val="20"/>
                <w:szCs w:val="20"/>
              </w:rPr>
              <w:t>Strategies to incorporate cross-cutting issues.</w:t>
            </w:r>
          </w:p>
        </w:tc>
        <w:tc>
          <w:tcPr>
            <w:tcW w:w="851" w:type="dxa"/>
            <w:shd w:val="clear" w:color="auto" w:fill="auto"/>
            <w:vAlign w:val="center"/>
          </w:tcPr>
          <w:p w14:paraId="3037095A" w14:textId="77777777" w:rsidR="00BB3746" w:rsidRPr="00E92571" w:rsidRDefault="00BB3746" w:rsidP="002462BB">
            <w:pPr>
              <w:rPr>
                <w:rFonts w:cs="Arial"/>
                <w:sz w:val="20"/>
                <w:szCs w:val="20"/>
              </w:rPr>
            </w:pPr>
            <w:r w:rsidRPr="00E92571">
              <w:rPr>
                <w:rFonts w:cs="Arial"/>
                <w:sz w:val="20"/>
                <w:szCs w:val="20"/>
              </w:rPr>
              <w:t>MSC</w:t>
            </w:r>
          </w:p>
        </w:tc>
      </w:tr>
      <w:tr w:rsidR="00BB3746" w:rsidRPr="00E92571" w14:paraId="195489A0" w14:textId="77777777" w:rsidTr="000F6360">
        <w:trPr>
          <w:trHeight w:val="510"/>
          <w:jc w:val="center"/>
        </w:trPr>
        <w:tc>
          <w:tcPr>
            <w:tcW w:w="1838" w:type="dxa"/>
            <w:vMerge/>
            <w:shd w:val="clear" w:color="auto" w:fill="auto"/>
            <w:vAlign w:val="center"/>
          </w:tcPr>
          <w:p w14:paraId="0C3877A6" w14:textId="77777777" w:rsidR="00BB3746" w:rsidRPr="00E92571" w:rsidRDefault="00BB3746" w:rsidP="002462BB">
            <w:pPr>
              <w:rPr>
                <w:rFonts w:cs="Arial"/>
                <w:sz w:val="20"/>
                <w:szCs w:val="20"/>
              </w:rPr>
            </w:pPr>
          </w:p>
        </w:tc>
        <w:tc>
          <w:tcPr>
            <w:tcW w:w="1694" w:type="dxa"/>
            <w:vMerge/>
            <w:shd w:val="clear" w:color="auto" w:fill="auto"/>
            <w:vAlign w:val="center"/>
          </w:tcPr>
          <w:p w14:paraId="6D52D659" w14:textId="77777777" w:rsidR="00BB3746" w:rsidRPr="00E92571" w:rsidRDefault="00BB3746" w:rsidP="002462BB">
            <w:pPr>
              <w:rPr>
                <w:rFonts w:cs="Arial"/>
                <w:sz w:val="20"/>
                <w:szCs w:val="20"/>
              </w:rPr>
            </w:pPr>
          </w:p>
        </w:tc>
        <w:tc>
          <w:tcPr>
            <w:tcW w:w="1798" w:type="dxa"/>
            <w:vMerge/>
            <w:shd w:val="clear" w:color="auto" w:fill="auto"/>
            <w:vAlign w:val="center"/>
          </w:tcPr>
          <w:p w14:paraId="1DF5F345" w14:textId="77777777" w:rsidR="00BB3746" w:rsidRPr="00E92571" w:rsidRDefault="00BB3746" w:rsidP="002462BB">
            <w:pPr>
              <w:rPr>
                <w:rFonts w:cs="Arial"/>
                <w:sz w:val="20"/>
                <w:szCs w:val="20"/>
              </w:rPr>
            </w:pPr>
          </w:p>
        </w:tc>
        <w:tc>
          <w:tcPr>
            <w:tcW w:w="2693" w:type="dxa"/>
            <w:vMerge/>
          </w:tcPr>
          <w:p w14:paraId="7F8256EF" w14:textId="77777777" w:rsidR="00BB3746" w:rsidRPr="00E92571" w:rsidRDefault="00BB3746" w:rsidP="002462BB">
            <w:pPr>
              <w:rPr>
                <w:rFonts w:cs="Arial"/>
                <w:sz w:val="20"/>
                <w:szCs w:val="20"/>
              </w:rPr>
            </w:pPr>
          </w:p>
        </w:tc>
        <w:tc>
          <w:tcPr>
            <w:tcW w:w="1843" w:type="dxa"/>
            <w:vMerge/>
            <w:shd w:val="clear" w:color="auto" w:fill="auto"/>
            <w:vAlign w:val="center"/>
          </w:tcPr>
          <w:p w14:paraId="464E09DB" w14:textId="77777777" w:rsidR="00BB3746" w:rsidRPr="00E92571" w:rsidRDefault="00BB3746" w:rsidP="002462BB">
            <w:pPr>
              <w:rPr>
                <w:rFonts w:cs="Arial"/>
                <w:sz w:val="20"/>
                <w:szCs w:val="20"/>
              </w:rPr>
            </w:pPr>
          </w:p>
        </w:tc>
        <w:tc>
          <w:tcPr>
            <w:tcW w:w="2178" w:type="dxa"/>
            <w:vMerge/>
            <w:shd w:val="clear" w:color="auto" w:fill="auto"/>
            <w:vAlign w:val="center"/>
          </w:tcPr>
          <w:p w14:paraId="3ADCFA4A" w14:textId="77777777" w:rsidR="00BB3746" w:rsidRPr="00E92571" w:rsidRDefault="00BB3746" w:rsidP="002462BB">
            <w:pPr>
              <w:rPr>
                <w:rFonts w:cs="Arial"/>
                <w:sz w:val="20"/>
                <w:szCs w:val="20"/>
              </w:rPr>
            </w:pPr>
          </w:p>
        </w:tc>
        <w:tc>
          <w:tcPr>
            <w:tcW w:w="1559" w:type="dxa"/>
            <w:shd w:val="clear" w:color="auto" w:fill="auto"/>
            <w:vAlign w:val="center"/>
          </w:tcPr>
          <w:p w14:paraId="4A7AB9A8" w14:textId="77777777" w:rsidR="00BB3746" w:rsidRPr="00E92571" w:rsidRDefault="00BB3746" w:rsidP="002462BB">
            <w:pPr>
              <w:rPr>
                <w:rFonts w:cs="Arial"/>
                <w:sz w:val="20"/>
                <w:szCs w:val="20"/>
              </w:rPr>
            </w:pPr>
            <w:r w:rsidRPr="00E92571">
              <w:rPr>
                <w:rFonts w:cs="Arial"/>
                <w:sz w:val="20"/>
                <w:szCs w:val="20"/>
              </w:rPr>
              <w:t>TA progress and completion reports.</w:t>
            </w:r>
          </w:p>
          <w:p w14:paraId="61313487" w14:textId="77777777" w:rsidR="00BB3746" w:rsidRPr="00E92571" w:rsidRDefault="00BB3746" w:rsidP="002462BB">
            <w:pPr>
              <w:rPr>
                <w:rFonts w:cs="Arial"/>
                <w:sz w:val="8"/>
                <w:szCs w:val="20"/>
              </w:rPr>
            </w:pPr>
          </w:p>
          <w:p w14:paraId="37B8F85C" w14:textId="77777777" w:rsidR="00BB3746" w:rsidRPr="00E92571" w:rsidRDefault="00BB3746" w:rsidP="002462BB">
            <w:pPr>
              <w:rPr>
                <w:rFonts w:cs="Arial"/>
                <w:sz w:val="20"/>
                <w:szCs w:val="20"/>
              </w:rPr>
            </w:pPr>
            <w:r w:rsidRPr="00E92571">
              <w:rPr>
                <w:rFonts w:cs="Arial"/>
                <w:sz w:val="20"/>
                <w:szCs w:val="20"/>
              </w:rPr>
              <w:t>MSC Reports (narrative and financial)</w:t>
            </w:r>
          </w:p>
        </w:tc>
        <w:tc>
          <w:tcPr>
            <w:tcW w:w="851" w:type="dxa"/>
            <w:shd w:val="clear" w:color="auto" w:fill="auto"/>
            <w:vAlign w:val="center"/>
          </w:tcPr>
          <w:p w14:paraId="4E1CA8AE" w14:textId="77777777" w:rsidR="00BB3746" w:rsidRPr="00E92571" w:rsidRDefault="00BB3746" w:rsidP="002462BB">
            <w:pPr>
              <w:rPr>
                <w:rFonts w:cs="Arial"/>
                <w:sz w:val="20"/>
                <w:szCs w:val="20"/>
              </w:rPr>
            </w:pPr>
            <w:r w:rsidRPr="00E92571">
              <w:rPr>
                <w:rFonts w:cs="Arial"/>
                <w:sz w:val="20"/>
                <w:szCs w:val="20"/>
              </w:rPr>
              <w:t>All TAs</w:t>
            </w:r>
          </w:p>
          <w:p w14:paraId="3C7FEB16" w14:textId="77777777" w:rsidR="00BB3746" w:rsidRPr="00E92571" w:rsidRDefault="00BB3746" w:rsidP="002462BB">
            <w:pPr>
              <w:rPr>
                <w:rFonts w:cs="Arial"/>
                <w:sz w:val="8"/>
                <w:szCs w:val="20"/>
              </w:rPr>
            </w:pPr>
          </w:p>
          <w:p w14:paraId="126A7699" w14:textId="77777777" w:rsidR="00BB3746" w:rsidRPr="00E92571" w:rsidRDefault="00BB3746" w:rsidP="002462BB">
            <w:pPr>
              <w:rPr>
                <w:rFonts w:cs="Arial"/>
                <w:sz w:val="20"/>
                <w:szCs w:val="20"/>
              </w:rPr>
            </w:pPr>
            <w:r w:rsidRPr="00E92571">
              <w:rPr>
                <w:rFonts w:cs="Arial"/>
                <w:sz w:val="20"/>
                <w:szCs w:val="20"/>
              </w:rPr>
              <w:t>MSC</w:t>
            </w:r>
          </w:p>
        </w:tc>
      </w:tr>
    </w:tbl>
    <w:p w14:paraId="5B3081E3" w14:textId="77777777" w:rsidR="0039412B" w:rsidRPr="007B3ED4" w:rsidRDefault="0039412B" w:rsidP="00027BD2">
      <w:pPr>
        <w:rPr>
          <w:b/>
          <w:smallCaps/>
        </w:rPr>
        <w:sectPr w:rsidR="0039412B" w:rsidRPr="007B3ED4" w:rsidSect="007B3ED4">
          <w:headerReference w:type="default" r:id="rId18"/>
          <w:footerReference w:type="default" r:id="rId19"/>
          <w:pgSz w:w="16839" w:h="11907" w:orient="landscape" w:code="9"/>
          <w:pgMar w:top="1361" w:right="1304" w:bottom="1418" w:left="1531" w:header="397" w:footer="680" w:gutter="0"/>
          <w:pgNumType w:start="1"/>
          <w:cols w:space="708"/>
          <w:docGrid w:linePitch="360"/>
        </w:sectPr>
      </w:pPr>
    </w:p>
    <w:p w14:paraId="6EF3B53B" w14:textId="77777777" w:rsidR="0039412B" w:rsidRPr="007942C1" w:rsidRDefault="0039412B" w:rsidP="00734B53">
      <w:pPr>
        <w:pStyle w:val="Heading1"/>
        <w:rPr>
          <w:lang w:val="en-AU"/>
        </w:rPr>
      </w:pPr>
      <w:bookmarkStart w:id="59" w:name="_Toc391469742"/>
      <w:r w:rsidRPr="007942C1">
        <w:rPr>
          <w:lang w:val="en-AU"/>
        </w:rPr>
        <w:lastRenderedPageBreak/>
        <w:t xml:space="preserve">Annex </w:t>
      </w:r>
      <w:r>
        <w:rPr>
          <w:lang w:val="en-AU"/>
        </w:rPr>
        <w:t>Two</w:t>
      </w:r>
      <w:r w:rsidRPr="007942C1">
        <w:rPr>
          <w:lang w:val="en-AU"/>
        </w:rPr>
        <w:t xml:space="preserve"> - Milestone Reports and Submission Dates</w:t>
      </w:r>
      <w:bookmarkEnd w:id="59"/>
      <w:r w:rsidRPr="007942C1">
        <w:rPr>
          <w:lang w:val="en-AU"/>
        </w:rPr>
        <w:t xml:space="preserve"> </w:t>
      </w:r>
    </w:p>
    <w:p w14:paraId="167C9B7C" w14:textId="77777777" w:rsidR="0039412B" w:rsidRPr="007942C1" w:rsidRDefault="0039412B" w:rsidP="00734B53">
      <w:pPr>
        <w:rPr>
          <w:sz w:val="16"/>
          <w:szCs w:val="23"/>
        </w:rPr>
      </w:pPr>
    </w:p>
    <w:p w14:paraId="4565B20C" w14:textId="77777777" w:rsidR="0039412B" w:rsidRPr="007942C1" w:rsidRDefault="0039412B" w:rsidP="00734B53">
      <w:pPr>
        <w:rPr>
          <w:sz w:val="16"/>
          <w:szCs w:val="23"/>
        </w:rPr>
      </w:pPr>
    </w:p>
    <w:tbl>
      <w:tblPr>
        <w:tblW w:w="7904" w:type="dxa"/>
        <w:jc w:val="center"/>
        <w:tblLook w:val="00A0" w:firstRow="1" w:lastRow="0" w:firstColumn="1" w:lastColumn="0" w:noHBand="0" w:noVBand="0"/>
      </w:tblPr>
      <w:tblGrid>
        <w:gridCol w:w="5069"/>
        <w:gridCol w:w="1418"/>
        <w:gridCol w:w="1417"/>
      </w:tblGrid>
      <w:tr w:rsidR="0039412B" w:rsidRPr="0012129F" w14:paraId="1665BDE0" w14:textId="77777777" w:rsidTr="0012129F">
        <w:trPr>
          <w:jc w:val="center"/>
        </w:trPr>
        <w:tc>
          <w:tcPr>
            <w:tcW w:w="5069" w:type="dxa"/>
            <w:tcBorders>
              <w:top w:val="single" w:sz="4" w:space="0" w:color="auto"/>
              <w:bottom w:val="single" w:sz="4" w:space="0" w:color="auto"/>
              <w:right w:val="single" w:sz="4" w:space="0" w:color="auto"/>
            </w:tcBorders>
            <w:shd w:val="clear" w:color="auto" w:fill="BFBFBF" w:themeFill="background1" w:themeFillShade="BF"/>
          </w:tcPr>
          <w:p w14:paraId="696C5391" w14:textId="77777777" w:rsidR="0039412B" w:rsidRPr="0012129F" w:rsidRDefault="0039412B" w:rsidP="0012129F">
            <w:pPr>
              <w:spacing w:before="80" w:after="80"/>
              <w:jc w:val="center"/>
              <w:rPr>
                <w:rFonts w:cs="Arial"/>
                <w:b/>
                <w:sz w:val="23"/>
                <w:szCs w:val="23"/>
              </w:rPr>
            </w:pPr>
            <w:r w:rsidRPr="0012129F">
              <w:rPr>
                <w:rFonts w:cs="Arial"/>
                <w:b/>
                <w:sz w:val="23"/>
                <w:szCs w:val="23"/>
              </w:rPr>
              <w:t>Milestone and Report</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CEE060" w14:textId="77777777" w:rsidR="0039412B" w:rsidRPr="0012129F" w:rsidRDefault="0039412B" w:rsidP="0012129F">
            <w:pPr>
              <w:spacing w:before="80" w:after="80"/>
              <w:jc w:val="center"/>
              <w:rPr>
                <w:rFonts w:cs="Arial"/>
                <w:b/>
                <w:sz w:val="23"/>
                <w:szCs w:val="23"/>
              </w:rPr>
            </w:pPr>
            <w:r w:rsidRPr="0012129F">
              <w:rPr>
                <w:rFonts w:cs="Arial"/>
                <w:b/>
                <w:sz w:val="23"/>
                <w:szCs w:val="23"/>
              </w:rPr>
              <w:t>Due</w:t>
            </w:r>
          </w:p>
        </w:tc>
        <w:tc>
          <w:tcPr>
            <w:tcW w:w="1417" w:type="dxa"/>
            <w:tcBorders>
              <w:top w:val="single" w:sz="4" w:space="0" w:color="auto"/>
              <w:left w:val="single" w:sz="4" w:space="0" w:color="auto"/>
              <w:bottom w:val="single" w:sz="4" w:space="0" w:color="auto"/>
            </w:tcBorders>
            <w:shd w:val="clear" w:color="auto" w:fill="BFBFBF" w:themeFill="background1" w:themeFillShade="BF"/>
          </w:tcPr>
          <w:p w14:paraId="4A82C8FF" w14:textId="77777777" w:rsidR="0039412B" w:rsidRPr="0012129F" w:rsidRDefault="0039412B" w:rsidP="0012129F">
            <w:pPr>
              <w:spacing w:before="80" w:after="80"/>
              <w:jc w:val="center"/>
              <w:rPr>
                <w:rFonts w:cs="Arial"/>
                <w:b/>
                <w:sz w:val="23"/>
                <w:szCs w:val="23"/>
              </w:rPr>
            </w:pPr>
            <w:r w:rsidRPr="0012129F">
              <w:rPr>
                <w:rFonts w:cs="Arial"/>
                <w:b/>
                <w:sz w:val="23"/>
                <w:szCs w:val="23"/>
              </w:rPr>
              <w:t>Submitted</w:t>
            </w:r>
          </w:p>
        </w:tc>
      </w:tr>
      <w:tr w:rsidR="0039412B" w:rsidRPr="0012129F" w14:paraId="701592DD" w14:textId="77777777" w:rsidTr="0012129F">
        <w:trPr>
          <w:jc w:val="center"/>
        </w:trPr>
        <w:tc>
          <w:tcPr>
            <w:tcW w:w="5069" w:type="dxa"/>
            <w:tcBorders>
              <w:top w:val="single" w:sz="4" w:space="0" w:color="auto"/>
              <w:bottom w:val="dotted" w:sz="4" w:space="0" w:color="auto"/>
              <w:right w:val="dotted" w:sz="4" w:space="0" w:color="auto"/>
            </w:tcBorders>
          </w:tcPr>
          <w:p w14:paraId="5831E8AE" w14:textId="77777777" w:rsidR="0039412B" w:rsidRPr="0012129F" w:rsidRDefault="00044012" w:rsidP="00DC625E">
            <w:pPr>
              <w:spacing w:before="80" w:after="80"/>
              <w:rPr>
                <w:rFonts w:eastAsia="SimSun" w:cs="Arial"/>
                <w:lang w:eastAsia="zh-CN"/>
              </w:rPr>
            </w:pPr>
            <w:r w:rsidRPr="0012129F">
              <w:rPr>
                <w:rFonts w:eastAsia="SimSun" w:cs="Arial"/>
                <w:sz w:val="22"/>
                <w:szCs w:val="22"/>
                <w:lang w:eastAsia="zh-CN"/>
              </w:rPr>
              <w:t>M37: Annual Progress Report</w:t>
            </w:r>
          </w:p>
        </w:tc>
        <w:tc>
          <w:tcPr>
            <w:tcW w:w="1418" w:type="dxa"/>
            <w:tcBorders>
              <w:top w:val="single" w:sz="4" w:space="0" w:color="auto"/>
              <w:left w:val="dotted" w:sz="4" w:space="0" w:color="auto"/>
              <w:bottom w:val="dotted" w:sz="4" w:space="0" w:color="auto"/>
              <w:right w:val="dotted" w:sz="4" w:space="0" w:color="auto"/>
            </w:tcBorders>
            <w:vAlign w:val="center"/>
          </w:tcPr>
          <w:p w14:paraId="0DB83ECB" w14:textId="77777777" w:rsidR="0039412B" w:rsidRPr="0012129F" w:rsidRDefault="00044012" w:rsidP="0012129F">
            <w:pPr>
              <w:spacing w:before="40" w:after="40"/>
              <w:jc w:val="center"/>
              <w:rPr>
                <w:rFonts w:eastAsia="SimSun" w:cs="Arial"/>
                <w:lang w:eastAsia="zh-CN"/>
              </w:rPr>
            </w:pPr>
            <w:r w:rsidRPr="0012129F">
              <w:rPr>
                <w:rFonts w:eastAsia="SimSun" w:cs="Arial"/>
                <w:sz w:val="22"/>
                <w:szCs w:val="22"/>
                <w:lang w:eastAsia="zh-CN"/>
              </w:rPr>
              <w:t>31/01/2014</w:t>
            </w:r>
          </w:p>
        </w:tc>
        <w:tc>
          <w:tcPr>
            <w:tcW w:w="1417" w:type="dxa"/>
            <w:tcBorders>
              <w:top w:val="single" w:sz="4" w:space="0" w:color="auto"/>
              <w:left w:val="dotted" w:sz="4" w:space="0" w:color="auto"/>
              <w:bottom w:val="dotted" w:sz="4" w:space="0" w:color="auto"/>
            </w:tcBorders>
            <w:vAlign w:val="center"/>
          </w:tcPr>
          <w:p w14:paraId="704DB494" w14:textId="77777777" w:rsidR="0039412B" w:rsidRPr="0012129F" w:rsidRDefault="00D33D69" w:rsidP="0012129F">
            <w:pPr>
              <w:spacing w:before="40" w:after="40"/>
              <w:jc w:val="center"/>
              <w:rPr>
                <w:rFonts w:eastAsia="SimSun" w:cs="Arial"/>
                <w:lang w:eastAsia="zh-CN"/>
              </w:rPr>
            </w:pPr>
            <w:r w:rsidRPr="0012129F">
              <w:rPr>
                <w:rFonts w:eastAsia="SimSun" w:cs="Arial"/>
                <w:sz w:val="22"/>
                <w:szCs w:val="22"/>
                <w:lang w:eastAsia="zh-CN"/>
              </w:rPr>
              <w:t>29/01/2014</w:t>
            </w:r>
          </w:p>
        </w:tc>
      </w:tr>
      <w:tr w:rsidR="0039412B" w:rsidRPr="0012129F" w14:paraId="0BC814B1" w14:textId="77777777" w:rsidTr="0012129F">
        <w:trPr>
          <w:jc w:val="center"/>
        </w:trPr>
        <w:tc>
          <w:tcPr>
            <w:tcW w:w="5069" w:type="dxa"/>
            <w:tcBorders>
              <w:top w:val="dotted" w:sz="4" w:space="0" w:color="auto"/>
              <w:bottom w:val="dotted" w:sz="4" w:space="0" w:color="auto"/>
              <w:right w:val="dotted" w:sz="4" w:space="0" w:color="auto"/>
            </w:tcBorders>
          </w:tcPr>
          <w:p w14:paraId="06B0274B" w14:textId="77777777" w:rsidR="0039412B" w:rsidRPr="0012129F" w:rsidRDefault="00044012" w:rsidP="00DC625E">
            <w:pPr>
              <w:spacing w:before="80" w:after="80"/>
              <w:rPr>
                <w:rFonts w:eastAsia="SimSun" w:cs="Arial"/>
                <w:lang w:eastAsia="zh-CN"/>
              </w:rPr>
            </w:pPr>
            <w:r w:rsidRPr="0012129F">
              <w:rPr>
                <w:rFonts w:eastAsia="SimSun" w:cs="Arial"/>
                <w:sz w:val="22"/>
                <w:szCs w:val="22"/>
                <w:lang w:eastAsia="zh-CN"/>
              </w:rPr>
              <w:t>M38:</w:t>
            </w:r>
            <w:r w:rsidR="00D33D69" w:rsidRPr="0012129F">
              <w:rPr>
                <w:rFonts w:eastAsia="SimSun" w:cs="Arial"/>
                <w:sz w:val="22"/>
                <w:szCs w:val="22"/>
                <w:lang w:eastAsia="zh-CN"/>
              </w:rPr>
              <w:t xml:space="preserve"> </w:t>
            </w:r>
            <w:r w:rsidRPr="0012129F">
              <w:rPr>
                <w:rFonts w:eastAsia="SimSun" w:cs="Arial"/>
                <w:sz w:val="22"/>
                <w:szCs w:val="22"/>
                <w:lang w:eastAsia="zh-CN"/>
              </w:rPr>
              <w:t>Lay and Law-trained Judicial Officers Decision-Making Regional Workshop Agenda</w:t>
            </w:r>
          </w:p>
        </w:tc>
        <w:tc>
          <w:tcPr>
            <w:tcW w:w="1418" w:type="dxa"/>
            <w:tcBorders>
              <w:top w:val="dotted" w:sz="4" w:space="0" w:color="auto"/>
              <w:left w:val="dotted" w:sz="4" w:space="0" w:color="auto"/>
              <w:bottom w:val="dotted" w:sz="4" w:space="0" w:color="auto"/>
              <w:right w:val="dotted" w:sz="4" w:space="0" w:color="auto"/>
            </w:tcBorders>
            <w:vAlign w:val="center"/>
          </w:tcPr>
          <w:p w14:paraId="2EE0173A" w14:textId="77777777" w:rsidR="0039412B" w:rsidRPr="0012129F" w:rsidRDefault="00044012" w:rsidP="0012129F">
            <w:pPr>
              <w:spacing w:before="40" w:after="40"/>
              <w:jc w:val="center"/>
              <w:rPr>
                <w:rFonts w:eastAsia="SimSun" w:cs="Arial"/>
                <w:lang w:eastAsia="zh-CN"/>
              </w:rPr>
            </w:pPr>
            <w:r w:rsidRPr="0012129F">
              <w:rPr>
                <w:rFonts w:eastAsia="SimSun" w:cs="Arial"/>
                <w:sz w:val="22"/>
                <w:szCs w:val="22"/>
                <w:lang w:eastAsia="zh-CN"/>
              </w:rPr>
              <w:t>28/02/2014</w:t>
            </w:r>
          </w:p>
        </w:tc>
        <w:tc>
          <w:tcPr>
            <w:tcW w:w="1417" w:type="dxa"/>
            <w:tcBorders>
              <w:top w:val="dotted" w:sz="4" w:space="0" w:color="auto"/>
              <w:left w:val="dotted" w:sz="4" w:space="0" w:color="auto"/>
              <w:bottom w:val="dotted" w:sz="4" w:space="0" w:color="auto"/>
            </w:tcBorders>
            <w:vAlign w:val="center"/>
          </w:tcPr>
          <w:p w14:paraId="65E7E1A3" w14:textId="77777777" w:rsidR="0039412B" w:rsidRPr="0012129F" w:rsidRDefault="00044012" w:rsidP="0012129F">
            <w:pPr>
              <w:spacing w:before="40" w:after="40"/>
              <w:jc w:val="center"/>
              <w:rPr>
                <w:rFonts w:eastAsia="SimSun" w:cs="Arial"/>
                <w:lang w:eastAsia="zh-CN"/>
              </w:rPr>
            </w:pPr>
            <w:r w:rsidRPr="0012129F">
              <w:rPr>
                <w:rFonts w:eastAsia="SimSun" w:cs="Arial"/>
                <w:sz w:val="22"/>
                <w:szCs w:val="22"/>
                <w:lang w:eastAsia="zh-CN"/>
              </w:rPr>
              <w:t>14/02/2014</w:t>
            </w:r>
          </w:p>
        </w:tc>
      </w:tr>
      <w:tr w:rsidR="0039412B" w:rsidRPr="0012129F" w14:paraId="507C040B" w14:textId="77777777" w:rsidTr="0012129F">
        <w:trPr>
          <w:jc w:val="center"/>
        </w:trPr>
        <w:tc>
          <w:tcPr>
            <w:tcW w:w="5069" w:type="dxa"/>
            <w:tcBorders>
              <w:top w:val="dotted" w:sz="4" w:space="0" w:color="auto"/>
              <w:bottom w:val="dotted" w:sz="4" w:space="0" w:color="auto"/>
              <w:right w:val="dotted" w:sz="4" w:space="0" w:color="auto"/>
            </w:tcBorders>
          </w:tcPr>
          <w:p w14:paraId="15CE820D" w14:textId="77777777" w:rsidR="0039412B" w:rsidRPr="0012129F" w:rsidRDefault="00044012" w:rsidP="00DC625E">
            <w:pPr>
              <w:spacing w:before="80" w:after="80"/>
              <w:rPr>
                <w:rFonts w:eastAsia="SimSun" w:cs="Arial"/>
                <w:lang w:eastAsia="zh-CN"/>
              </w:rPr>
            </w:pPr>
            <w:r w:rsidRPr="0012129F">
              <w:rPr>
                <w:rFonts w:eastAsia="SimSun" w:cs="Arial"/>
                <w:sz w:val="22"/>
                <w:szCs w:val="22"/>
                <w:lang w:eastAsia="zh-CN"/>
              </w:rPr>
              <w:t>M39: Eig</w:t>
            </w:r>
            <w:r w:rsidR="00D33D69" w:rsidRPr="0012129F">
              <w:rPr>
                <w:rFonts w:eastAsia="SimSun" w:cs="Arial"/>
                <w:sz w:val="22"/>
                <w:szCs w:val="22"/>
                <w:lang w:eastAsia="zh-CN"/>
              </w:rPr>
              <w:t>h</w:t>
            </w:r>
            <w:r w:rsidRPr="0012129F">
              <w:rPr>
                <w:rFonts w:eastAsia="SimSun" w:cs="Arial"/>
                <w:sz w:val="22"/>
                <w:szCs w:val="22"/>
                <w:lang w:eastAsia="zh-CN"/>
              </w:rPr>
              <w:t>th Quarterly Progress Report</w:t>
            </w:r>
          </w:p>
        </w:tc>
        <w:tc>
          <w:tcPr>
            <w:tcW w:w="1418" w:type="dxa"/>
            <w:tcBorders>
              <w:top w:val="dotted" w:sz="4" w:space="0" w:color="auto"/>
              <w:left w:val="dotted" w:sz="4" w:space="0" w:color="auto"/>
              <w:bottom w:val="dotted" w:sz="4" w:space="0" w:color="auto"/>
              <w:right w:val="dotted" w:sz="4" w:space="0" w:color="auto"/>
            </w:tcBorders>
            <w:vAlign w:val="center"/>
          </w:tcPr>
          <w:p w14:paraId="2E5FE598" w14:textId="77777777" w:rsidR="0039412B" w:rsidRPr="0012129F" w:rsidRDefault="00D33D69" w:rsidP="0012129F">
            <w:pPr>
              <w:spacing w:before="40" w:after="40"/>
              <w:jc w:val="center"/>
              <w:rPr>
                <w:rFonts w:eastAsia="SimSun" w:cs="Arial"/>
                <w:lang w:eastAsia="zh-CN"/>
              </w:rPr>
            </w:pPr>
            <w:r w:rsidRPr="0012129F">
              <w:rPr>
                <w:rFonts w:eastAsia="SimSun" w:cs="Arial"/>
                <w:sz w:val="22"/>
                <w:szCs w:val="22"/>
                <w:lang w:eastAsia="zh-CN"/>
              </w:rPr>
              <w:t>31/03/2014</w:t>
            </w:r>
          </w:p>
        </w:tc>
        <w:tc>
          <w:tcPr>
            <w:tcW w:w="1417" w:type="dxa"/>
            <w:tcBorders>
              <w:top w:val="dotted" w:sz="4" w:space="0" w:color="auto"/>
              <w:left w:val="dotted" w:sz="4" w:space="0" w:color="auto"/>
              <w:bottom w:val="dotted" w:sz="4" w:space="0" w:color="auto"/>
            </w:tcBorders>
            <w:vAlign w:val="center"/>
          </w:tcPr>
          <w:p w14:paraId="2FF7CCE4" w14:textId="77777777" w:rsidR="0039412B" w:rsidRPr="0012129F" w:rsidRDefault="00D33D69" w:rsidP="0012129F">
            <w:pPr>
              <w:spacing w:before="40" w:after="40"/>
              <w:jc w:val="center"/>
              <w:rPr>
                <w:rFonts w:eastAsia="SimSun" w:cs="Arial"/>
                <w:lang w:eastAsia="zh-CN"/>
              </w:rPr>
            </w:pPr>
            <w:r w:rsidRPr="0012129F">
              <w:rPr>
                <w:rFonts w:eastAsia="SimSun" w:cs="Arial"/>
                <w:sz w:val="22"/>
                <w:szCs w:val="22"/>
                <w:lang w:eastAsia="zh-CN"/>
              </w:rPr>
              <w:t>31/03/2014</w:t>
            </w:r>
          </w:p>
        </w:tc>
      </w:tr>
      <w:tr w:rsidR="0039412B" w:rsidRPr="0012129F" w14:paraId="55AE6859" w14:textId="77777777" w:rsidTr="0012129F">
        <w:trPr>
          <w:jc w:val="center"/>
        </w:trPr>
        <w:tc>
          <w:tcPr>
            <w:tcW w:w="5069" w:type="dxa"/>
            <w:tcBorders>
              <w:top w:val="dotted" w:sz="4" w:space="0" w:color="auto"/>
              <w:bottom w:val="dotted" w:sz="4" w:space="0" w:color="auto"/>
              <w:right w:val="dotted" w:sz="4" w:space="0" w:color="auto"/>
            </w:tcBorders>
          </w:tcPr>
          <w:p w14:paraId="40B40332" w14:textId="77777777" w:rsidR="0039412B" w:rsidRPr="0012129F" w:rsidRDefault="00D33D69" w:rsidP="00D33D69">
            <w:pPr>
              <w:spacing w:before="80" w:after="80"/>
              <w:rPr>
                <w:rFonts w:eastAsia="SimSun" w:cs="Arial"/>
                <w:lang w:eastAsia="zh-CN"/>
              </w:rPr>
            </w:pPr>
            <w:r w:rsidRPr="0012129F">
              <w:rPr>
                <w:rFonts w:eastAsia="SimSun" w:cs="Arial"/>
                <w:sz w:val="22"/>
                <w:szCs w:val="22"/>
                <w:lang w:eastAsia="zh-CN"/>
              </w:rPr>
              <w:t>M40: Chief Justices’ Leadership Workshop Agenda</w:t>
            </w:r>
          </w:p>
        </w:tc>
        <w:tc>
          <w:tcPr>
            <w:tcW w:w="1418" w:type="dxa"/>
            <w:tcBorders>
              <w:top w:val="dotted" w:sz="4" w:space="0" w:color="auto"/>
              <w:left w:val="dotted" w:sz="4" w:space="0" w:color="auto"/>
              <w:bottom w:val="dotted" w:sz="4" w:space="0" w:color="auto"/>
              <w:right w:val="dotted" w:sz="4" w:space="0" w:color="auto"/>
            </w:tcBorders>
            <w:vAlign w:val="center"/>
          </w:tcPr>
          <w:p w14:paraId="54EB6FE7" w14:textId="77777777" w:rsidR="0039412B" w:rsidRPr="0012129F" w:rsidRDefault="00D33D69" w:rsidP="0012129F">
            <w:pPr>
              <w:spacing w:before="40" w:after="40"/>
              <w:jc w:val="center"/>
              <w:rPr>
                <w:rFonts w:eastAsia="SimSun" w:cs="Arial"/>
                <w:lang w:eastAsia="zh-CN"/>
              </w:rPr>
            </w:pPr>
            <w:r w:rsidRPr="0012129F">
              <w:rPr>
                <w:rFonts w:eastAsia="SimSun" w:cs="Arial"/>
                <w:sz w:val="22"/>
                <w:szCs w:val="22"/>
                <w:lang w:eastAsia="zh-CN"/>
              </w:rPr>
              <w:t>30/04/2014</w:t>
            </w:r>
          </w:p>
        </w:tc>
        <w:tc>
          <w:tcPr>
            <w:tcW w:w="1417" w:type="dxa"/>
            <w:tcBorders>
              <w:top w:val="dotted" w:sz="4" w:space="0" w:color="auto"/>
              <w:left w:val="dotted" w:sz="4" w:space="0" w:color="auto"/>
              <w:bottom w:val="dotted" w:sz="4" w:space="0" w:color="auto"/>
            </w:tcBorders>
            <w:vAlign w:val="center"/>
          </w:tcPr>
          <w:p w14:paraId="6730C97B" w14:textId="77777777" w:rsidR="0039412B" w:rsidRPr="0012129F" w:rsidRDefault="00D33D69" w:rsidP="0012129F">
            <w:pPr>
              <w:spacing w:before="40" w:after="40"/>
              <w:jc w:val="center"/>
              <w:rPr>
                <w:rFonts w:eastAsia="SimSun" w:cs="Arial"/>
                <w:lang w:eastAsia="zh-CN"/>
              </w:rPr>
            </w:pPr>
            <w:r w:rsidRPr="0012129F">
              <w:rPr>
                <w:rFonts w:eastAsia="SimSun" w:cs="Arial"/>
                <w:sz w:val="22"/>
                <w:szCs w:val="22"/>
                <w:lang w:eastAsia="zh-CN"/>
              </w:rPr>
              <w:t>29/04/2014</w:t>
            </w:r>
          </w:p>
        </w:tc>
      </w:tr>
      <w:tr w:rsidR="0039412B" w:rsidRPr="0012129F" w14:paraId="7D7FB158" w14:textId="77777777" w:rsidTr="0012129F">
        <w:trPr>
          <w:jc w:val="center"/>
        </w:trPr>
        <w:tc>
          <w:tcPr>
            <w:tcW w:w="5069" w:type="dxa"/>
            <w:tcBorders>
              <w:top w:val="dotted" w:sz="4" w:space="0" w:color="auto"/>
              <w:bottom w:val="dotted" w:sz="4" w:space="0" w:color="auto"/>
              <w:right w:val="dotted" w:sz="4" w:space="0" w:color="auto"/>
            </w:tcBorders>
          </w:tcPr>
          <w:p w14:paraId="1EE5F10E" w14:textId="77777777" w:rsidR="0039412B" w:rsidRPr="0012129F" w:rsidRDefault="00D33D69" w:rsidP="00DC625E">
            <w:pPr>
              <w:spacing w:before="80" w:after="80"/>
              <w:rPr>
                <w:rFonts w:eastAsia="SimSun" w:cs="Arial"/>
                <w:lang w:eastAsia="zh-CN"/>
              </w:rPr>
            </w:pPr>
            <w:r w:rsidRPr="0012129F">
              <w:rPr>
                <w:rFonts w:eastAsia="SimSun" w:cs="Arial"/>
                <w:sz w:val="22"/>
                <w:szCs w:val="22"/>
                <w:lang w:eastAsia="zh-CN"/>
              </w:rPr>
              <w:t>M41: Samoa Family Violence and Youth Justice Workshop Activity Completion Report</w:t>
            </w:r>
          </w:p>
        </w:tc>
        <w:tc>
          <w:tcPr>
            <w:tcW w:w="1418" w:type="dxa"/>
            <w:tcBorders>
              <w:top w:val="dotted" w:sz="4" w:space="0" w:color="auto"/>
              <w:left w:val="dotted" w:sz="4" w:space="0" w:color="auto"/>
              <w:bottom w:val="dotted" w:sz="4" w:space="0" w:color="auto"/>
              <w:right w:val="dotted" w:sz="4" w:space="0" w:color="auto"/>
            </w:tcBorders>
            <w:vAlign w:val="center"/>
          </w:tcPr>
          <w:p w14:paraId="765D6DF0" w14:textId="77777777" w:rsidR="0039412B" w:rsidRPr="0012129F" w:rsidRDefault="00D33D69" w:rsidP="0012129F">
            <w:pPr>
              <w:spacing w:before="40" w:after="40"/>
              <w:jc w:val="center"/>
              <w:rPr>
                <w:rFonts w:eastAsia="SimSun" w:cs="Arial"/>
                <w:lang w:eastAsia="zh-CN"/>
              </w:rPr>
            </w:pPr>
            <w:r w:rsidRPr="0012129F">
              <w:rPr>
                <w:rFonts w:eastAsia="SimSun" w:cs="Arial"/>
                <w:sz w:val="22"/>
                <w:szCs w:val="22"/>
                <w:lang w:eastAsia="zh-CN"/>
              </w:rPr>
              <w:t>30/05/2014</w:t>
            </w:r>
          </w:p>
        </w:tc>
        <w:tc>
          <w:tcPr>
            <w:tcW w:w="1417" w:type="dxa"/>
            <w:tcBorders>
              <w:top w:val="dotted" w:sz="4" w:space="0" w:color="auto"/>
              <w:left w:val="dotted" w:sz="4" w:space="0" w:color="auto"/>
              <w:bottom w:val="dotted" w:sz="4" w:space="0" w:color="auto"/>
            </w:tcBorders>
            <w:vAlign w:val="center"/>
          </w:tcPr>
          <w:p w14:paraId="794F97CE" w14:textId="77777777" w:rsidR="0039412B" w:rsidRPr="0012129F" w:rsidRDefault="00D33D69" w:rsidP="0012129F">
            <w:pPr>
              <w:spacing w:before="40" w:after="40"/>
              <w:jc w:val="center"/>
              <w:rPr>
                <w:rFonts w:eastAsia="SimSun" w:cs="Arial"/>
                <w:lang w:eastAsia="zh-CN"/>
              </w:rPr>
            </w:pPr>
            <w:r w:rsidRPr="0012129F">
              <w:rPr>
                <w:rFonts w:eastAsia="SimSun" w:cs="Arial"/>
                <w:sz w:val="22"/>
                <w:szCs w:val="22"/>
                <w:lang w:eastAsia="zh-CN"/>
              </w:rPr>
              <w:t>27/05/2014</w:t>
            </w:r>
          </w:p>
        </w:tc>
      </w:tr>
      <w:tr w:rsidR="00143EC1" w:rsidRPr="0012129F" w14:paraId="20665A27" w14:textId="77777777" w:rsidTr="0012129F">
        <w:trPr>
          <w:jc w:val="center"/>
        </w:trPr>
        <w:tc>
          <w:tcPr>
            <w:tcW w:w="5069" w:type="dxa"/>
            <w:tcBorders>
              <w:top w:val="dotted" w:sz="4" w:space="0" w:color="auto"/>
              <w:bottom w:val="single" w:sz="4" w:space="0" w:color="auto"/>
              <w:right w:val="dotted" w:sz="4" w:space="0" w:color="auto"/>
            </w:tcBorders>
          </w:tcPr>
          <w:p w14:paraId="26C37262" w14:textId="77777777" w:rsidR="00143EC1" w:rsidRPr="0012129F" w:rsidRDefault="00143EC1" w:rsidP="00143EC1">
            <w:pPr>
              <w:spacing w:before="80" w:after="80"/>
              <w:rPr>
                <w:rFonts w:eastAsia="SimSun" w:cs="Arial"/>
                <w:lang w:eastAsia="zh-CN"/>
              </w:rPr>
            </w:pPr>
            <w:r w:rsidRPr="0012129F">
              <w:rPr>
                <w:rFonts w:eastAsia="SimSun" w:cs="Arial"/>
                <w:sz w:val="22"/>
                <w:szCs w:val="22"/>
                <w:lang w:eastAsia="zh-CN"/>
              </w:rPr>
              <w:t>M42: Fourth Six-Monthly Progress Report</w:t>
            </w:r>
          </w:p>
        </w:tc>
        <w:tc>
          <w:tcPr>
            <w:tcW w:w="1418" w:type="dxa"/>
            <w:tcBorders>
              <w:top w:val="dotted" w:sz="4" w:space="0" w:color="auto"/>
              <w:left w:val="dotted" w:sz="4" w:space="0" w:color="auto"/>
              <w:bottom w:val="single" w:sz="4" w:space="0" w:color="auto"/>
              <w:right w:val="dotted" w:sz="4" w:space="0" w:color="auto"/>
            </w:tcBorders>
            <w:vAlign w:val="center"/>
          </w:tcPr>
          <w:p w14:paraId="3307E55B" w14:textId="77777777" w:rsidR="00143EC1" w:rsidRPr="0012129F" w:rsidRDefault="00143EC1" w:rsidP="0012129F">
            <w:pPr>
              <w:spacing w:before="40" w:after="40"/>
              <w:jc w:val="center"/>
              <w:rPr>
                <w:rFonts w:eastAsia="SimSun" w:cs="Arial"/>
                <w:lang w:eastAsia="zh-CN"/>
              </w:rPr>
            </w:pPr>
            <w:r w:rsidRPr="0012129F">
              <w:rPr>
                <w:rFonts w:eastAsia="SimSun" w:cs="Arial"/>
                <w:sz w:val="22"/>
                <w:szCs w:val="22"/>
                <w:lang w:eastAsia="zh-CN"/>
              </w:rPr>
              <w:t>30/06/2014</w:t>
            </w:r>
          </w:p>
        </w:tc>
        <w:tc>
          <w:tcPr>
            <w:tcW w:w="1417" w:type="dxa"/>
            <w:tcBorders>
              <w:top w:val="dotted" w:sz="4" w:space="0" w:color="auto"/>
              <w:left w:val="dotted" w:sz="4" w:space="0" w:color="auto"/>
              <w:bottom w:val="single" w:sz="4" w:space="0" w:color="auto"/>
            </w:tcBorders>
            <w:vAlign w:val="center"/>
          </w:tcPr>
          <w:p w14:paraId="50F6A009" w14:textId="77777777" w:rsidR="00143EC1" w:rsidRPr="0012129F" w:rsidRDefault="00143EC1" w:rsidP="0012129F">
            <w:pPr>
              <w:spacing w:before="40" w:after="40"/>
              <w:jc w:val="center"/>
              <w:rPr>
                <w:rFonts w:eastAsia="SimSun" w:cs="Arial"/>
                <w:lang w:eastAsia="zh-CN"/>
              </w:rPr>
            </w:pPr>
            <w:r w:rsidRPr="0012129F">
              <w:rPr>
                <w:rFonts w:eastAsia="SimSun" w:cs="Arial"/>
                <w:sz w:val="22"/>
                <w:szCs w:val="22"/>
                <w:lang w:eastAsia="zh-CN"/>
              </w:rPr>
              <w:t>30/06/2014</w:t>
            </w:r>
          </w:p>
        </w:tc>
      </w:tr>
    </w:tbl>
    <w:p w14:paraId="119D5EB1" w14:textId="77777777" w:rsidR="0039412B" w:rsidRPr="007942C1" w:rsidRDefault="0039412B" w:rsidP="00734B53">
      <w:pPr>
        <w:rPr>
          <w:sz w:val="16"/>
          <w:szCs w:val="23"/>
        </w:rPr>
      </w:pPr>
    </w:p>
    <w:p w14:paraId="5D465B94" w14:textId="77777777" w:rsidR="0039412B" w:rsidRDefault="0039412B" w:rsidP="00734B53">
      <w:pPr>
        <w:rPr>
          <w:b/>
          <w:lang w:eastAsia="en-US"/>
        </w:rPr>
      </w:pPr>
    </w:p>
    <w:p w14:paraId="6F342E34" w14:textId="77777777" w:rsidR="0039412B" w:rsidRDefault="0039412B" w:rsidP="00734B53">
      <w:pPr>
        <w:rPr>
          <w:b/>
          <w:lang w:eastAsia="en-US"/>
        </w:rPr>
        <w:sectPr w:rsidR="0039412B" w:rsidSect="007B3ED4">
          <w:headerReference w:type="default" r:id="rId20"/>
          <w:footerReference w:type="default" r:id="rId21"/>
          <w:pgSz w:w="11907" w:h="16839" w:code="9"/>
          <w:pgMar w:top="1531" w:right="1361" w:bottom="1304" w:left="1418" w:header="397" w:footer="680" w:gutter="0"/>
          <w:pgNumType w:start="1"/>
          <w:cols w:space="708"/>
          <w:docGrid w:linePitch="360"/>
        </w:sectPr>
      </w:pPr>
    </w:p>
    <w:p w14:paraId="3FDD813E" w14:textId="77777777" w:rsidR="0039412B" w:rsidRDefault="0039412B" w:rsidP="00B72CA2">
      <w:pPr>
        <w:keepNext/>
        <w:outlineLvl w:val="0"/>
        <w:rPr>
          <w:rFonts w:ascii="Arial Narrow Bold" w:hAnsi="Arial Narrow Bold"/>
          <w:b/>
          <w:smallCaps/>
          <w:sz w:val="26"/>
          <w:szCs w:val="26"/>
        </w:rPr>
      </w:pPr>
      <w:bookmarkStart w:id="60" w:name="_Toc391469743"/>
      <w:r w:rsidRPr="007A4D38">
        <w:rPr>
          <w:rFonts w:cs="Arial"/>
          <w:b/>
          <w:bCs/>
          <w:smallCaps/>
          <w:kern w:val="32"/>
          <w:sz w:val="26"/>
          <w:szCs w:val="27"/>
          <w:lang w:eastAsia="en-US"/>
        </w:rPr>
        <w:lastRenderedPageBreak/>
        <w:t>Annex</w:t>
      </w:r>
      <w:r w:rsidRPr="007A4D38">
        <w:rPr>
          <w:rFonts w:cs="Arial"/>
          <w:b/>
          <w:bCs/>
          <w:smallCaps/>
          <w:kern w:val="32"/>
          <w:sz w:val="26"/>
          <w:szCs w:val="26"/>
          <w:lang w:eastAsia="en-US"/>
        </w:rPr>
        <w:t xml:space="preserve"> </w:t>
      </w:r>
      <w:r>
        <w:rPr>
          <w:rFonts w:cs="Arial"/>
          <w:b/>
          <w:bCs/>
          <w:smallCaps/>
          <w:kern w:val="32"/>
          <w:sz w:val="26"/>
          <w:szCs w:val="26"/>
          <w:lang w:eastAsia="en-US"/>
        </w:rPr>
        <w:t>Three</w:t>
      </w:r>
      <w:r w:rsidRPr="007A4D38">
        <w:rPr>
          <w:rFonts w:cs="Arial"/>
          <w:b/>
          <w:bCs/>
          <w:smallCaps/>
          <w:kern w:val="32"/>
          <w:sz w:val="26"/>
          <w:szCs w:val="26"/>
          <w:lang w:eastAsia="en-US"/>
        </w:rPr>
        <w:t xml:space="preserve"> -</w:t>
      </w:r>
      <w:r w:rsidRPr="007A4D38">
        <w:rPr>
          <w:rFonts w:ascii="Arial Narrow Bold" w:hAnsi="Arial Narrow Bold" w:cs="Arial"/>
          <w:b/>
          <w:bCs/>
          <w:smallCaps/>
          <w:kern w:val="32"/>
          <w:sz w:val="26"/>
          <w:szCs w:val="26"/>
          <w:lang w:eastAsia="en-US"/>
        </w:rPr>
        <w:t xml:space="preserve"> </w:t>
      </w:r>
      <w:r w:rsidRPr="007A4D38">
        <w:rPr>
          <w:rFonts w:ascii="Arial Narrow Bold" w:hAnsi="Arial Narrow Bold"/>
          <w:b/>
          <w:smallCaps/>
          <w:sz w:val="26"/>
          <w:szCs w:val="26"/>
        </w:rPr>
        <w:t>Financial Summary as at 31 May, 201</w:t>
      </w:r>
      <w:r w:rsidR="00212E64">
        <w:rPr>
          <w:rFonts w:ascii="Arial Narrow Bold" w:hAnsi="Arial Narrow Bold"/>
          <w:b/>
          <w:smallCaps/>
          <w:sz w:val="26"/>
          <w:szCs w:val="26"/>
        </w:rPr>
        <w:t>4</w:t>
      </w:r>
      <w:bookmarkEnd w:id="60"/>
    </w:p>
    <w:p w14:paraId="2FB40735" w14:textId="77777777" w:rsidR="009E55DB" w:rsidRPr="009E55DB" w:rsidRDefault="009E55DB" w:rsidP="00B72CA2">
      <w:pPr>
        <w:keepNext/>
        <w:outlineLvl w:val="0"/>
        <w:rPr>
          <w:rFonts w:ascii="Arial Narrow Bold" w:hAnsi="Arial Narrow Bold"/>
          <w:b/>
          <w:smallCaps/>
          <w:sz w:val="16"/>
          <w:szCs w:val="26"/>
        </w:rPr>
      </w:pPr>
    </w:p>
    <w:p w14:paraId="2885545F" w14:textId="77777777" w:rsidR="0039412B" w:rsidRPr="009E55DB" w:rsidRDefault="0039412B" w:rsidP="00510707">
      <w:pPr>
        <w:rPr>
          <w:sz w:val="2"/>
          <w:szCs w:val="2"/>
          <w:highlight w:val="yellow"/>
        </w:rPr>
      </w:pPr>
    </w:p>
    <w:p w14:paraId="79C3A282" w14:textId="77777777" w:rsidR="007E751A" w:rsidRDefault="007E751A"/>
    <w:p w14:paraId="5715F9D4" w14:textId="767CAB31" w:rsidR="00011391" w:rsidRDefault="007E751A" w:rsidP="007E751A">
      <w:pPr>
        <w:jc w:val="center"/>
      </w:pPr>
      <w:r>
        <w:t>(Submitted to MFAT separately)</w:t>
      </w:r>
      <w:r w:rsidR="00011391">
        <w:br w:type="page"/>
      </w:r>
    </w:p>
    <w:p w14:paraId="1EF26881" w14:textId="77777777" w:rsidR="00912465" w:rsidRDefault="00912465" w:rsidP="00510707">
      <w:pPr>
        <w:rPr>
          <w:highlight w:val="yellow"/>
        </w:rPr>
        <w:sectPr w:rsidR="00912465" w:rsidSect="007B3ED4">
          <w:headerReference w:type="default" r:id="rId22"/>
          <w:footerReference w:type="default" r:id="rId23"/>
          <w:pgSz w:w="16839" w:h="11907" w:orient="landscape" w:code="9"/>
          <w:pgMar w:top="1361" w:right="1304" w:bottom="1418" w:left="1531" w:header="397" w:footer="680" w:gutter="0"/>
          <w:pgNumType w:start="1"/>
          <w:cols w:space="708"/>
          <w:docGrid w:linePitch="360"/>
        </w:sectPr>
      </w:pPr>
    </w:p>
    <w:p w14:paraId="549FED8F" w14:textId="77777777" w:rsidR="0039412B" w:rsidRDefault="00317C48" w:rsidP="00A313B5">
      <w:pPr>
        <w:pStyle w:val="Heading1"/>
      </w:pPr>
      <w:bookmarkStart w:id="61" w:name="_Toc391469744"/>
      <w:r w:rsidRPr="00317C48">
        <w:lastRenderedPageBreak/>
        <w:t>Annex Four -</w:t>
      </w:r>
      <w:r w:rsidR="00A313B5" w:rsidRPr="00A313B5">
        <w:t xml:space="preserve"> </w:t>
      </w:r>
      <w:r w:rsidR="00A313B5" w:rsidRPr="00317C48">
        <w:t>Summary of Additional, Un-costed, and Pro Bono Support Mobilised by the FCA for PJDP (1 January-30 June 2014</w:t>
      </w:r>
      <w:r w:rsidR="00A313B5">
        <w:t>)</w:t>
      </w:r>
      <w:bookmarkEnd w:id="61"/>
      <w:r w:rsidR="00A313B5">
        <w:t xml:space="preserve"> </w:t>
      </w:r>
    </w:p>
    <w:p w14:paraId="166978D8" w14:textId="77777777" w:rsidR="00A313B5" w:rsidRPr="00A313B5" w:rsidRDefault="00A313B5" w:rsidP="00A313B5">
      <w:pPr>
        <w:rPr>
          <w:lang w:val="en-US" w:eastAsia="en-US"/>
        </w:rPr>
      </w:pPr>
    </w:p>
    <w:tbl>
      <w:tblPr>
        <w:tblW w:w="15048" w:type="dxa"/>
        <w:jc w:val="center"/>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580"/>
        <w:gridCol w:w="1871"/>
        <w:gridCol w:w="1846"/>
        <w:gridCol w:w="2140"/>
        <w:gridCol w:w="4898"/>
        <w:gridCol w:w="1159"/>
        <w:gridCol w:w="1039"/>
        <w:gridCol w:w="1515"/>
      </w:tblGrid>
      <w:tr w:rsidR="0039412B" w:rsidRPr="007942C1" w14:paraId="61D3EBEA" w14:textId="77777777" w:rsidTr="00794CC9">
        <w:trPr>
          <w:jc w:val="center"/>
        </w:trPr>
        <w:tc>
          <w:tcPr>
            <w:tcW w:w="580" w:type="dxa"/>
            <w:shd w:val="clear" w:color="auto" w:fill="CCCCCC"/>
            <w:vAlign w:val="center"/>
          </w:tcPr>
          <w:p w14:paraId="674DAD8A" w14:textId="77777777" w:rsidR="0039412B" w:rsidRPr="007942C1" w:rsidRDefault="0039412B" w:rsidP="00794CC9">
            <w:pPr>
              <w:jc w:val="center"/>
              <w:rPr>
                <w:b/>
                <w:sz w:val="23"/>
                <w:szCs w:val="23"/>
                <w:lang w:eastAsia="en-US"/>
              </w:rPr>
            </w:pPr>
            <w:r w:rsidRPr="007942C1">
              <w:rPr>
                <w:b/>
                <w:sz w:val="23"/>
                <w:szCs w:val="23"/>
                <w:lang w:eastAsia="en-US"/>
              </w:rPr>
              <w:t>Ref. No.</w:t>
            </w:r>
          </w:p>
        </w:tc>
        <w:tc>
          <w:tcPr>
            <w:tcW w:w="1871" w:type="dxa"/>
            <w:shd w:val="clear" w:color="auto" w:fill="CCCCCC"/>
            <w:vAlign w:val="center"/>
          </w:tcPr>
          <w:p w14:paraId="2A077461" w14:textId="77777777" w:rsidR="0039412B" w:rsidRPr="007942C1" w:rsidRDefault="0039412B" w:rsidP="00794CC9">
            <w:pPr>
              <w:jc w:val="center"/>
              <w:rPr>
                <w:b/>
                <w:sz w:val="23"/>
                <w:szCs w:val="23"/>
              </w:rPr>
            </w:pPr>
            <w:r w:rsidRPr="007942C1">
              <w:rPr>
                <w:b/>
                <w:sz w:val="23"/>
                <w:szCs w:val="23"/>
              </w:rPr>
              <w:t>Date</w:t>
            </w:r>
          </w:p>
        </w:tc>
        <w:tc>
          <w:tcPr>
            <w:tcW w:w="1846" w:type="dxa"/>
            <w:shd w:val="clear" w:color="auto" w:fill="CCCCCC"/>
          </w:tcPr>
          <w:p w14:paraId="7B0880A1" w14:textId="77777777" w:rsidR="0039412B" w:rsidRPr="007942C1" w:rsidRDefault="0039412B" w:rsidP="00794CC9">
            <w:pPr>
              <w:jc w:val="center"/>
              <w:rPr>
                <w:b/>
                <w:sz w:val="23"/>
                <w:szCs w:val="23"/>
              </w:rPr>
            </w:pPr>
            <w:r w:rsidRPr="007942C1">
              <w:rPr>
                <w:b/>
                <w:sz w:val="23"/>
                <w:szCs w:val="23"/>
              </w:rPr>
              <w:t>Individual Providing Support</w:t>
            </w:r>
          </w:p>
        </w:tc>
        <w:tc>
          <w:tcPr>
            <w:tcW w:w="2140" w:type="dxa"/>
            <w:shd w:val="clear" w:color="auto" w:fill="CCCCCC"/>
          </w:tcPr>
          <w:p w14:paraId="103BA710" w14:textId="77777777" w:rsidR="0039412B" w:rsidRPr="007942C1" w:rsidRDefault="0039412B" w:rsidP="00794CC9">
            <w:pPr>
              <w:jc w:val="center"/>
              <w:rPr>
                <w:b/>
                <w:sz w:val="23"/>
                <w:szCs w:val="23"/>
              </w:rPr>
            </w:pPr>
            <w:r w:rsidRPr="007942C1">
              <w:rPr>
                <w:b/>
                <w:sz w:val="23"/>
                <w:szCs w:val="23"/>
              </w:rPr>
              <w:t>Organisation Providing Support</w:t>
            </w:r>
          </w:p>
        </w:tc>
        <w:tc>
          <w:tcPr>
            <w:tcW w:w="4898" w:type="dxa"/>
            <w:shd w:val="clear" w:color="auto" w:fill="CCCCCC"/>
            <w:vAlign w:val="center"/>
          </w:tcPr>
          <w:p w14:paraId="5B84CCFB" w14:textId="77777777" w:rsidR="0039412B" w:rsidRPr="007942C1" w:rsidRDefault="0039412B" w:rsidP="00794CC9">
            <w:pPr>
              <w:jc w:val="center"/>
              <w:rPr>
                <w:b/>
                <w:sz w:val="23"/>
                <w:szCs w:val="23"/>
              </w:rPr>
            </w:pPr>
            <w:r w:rsidRPr="007942C1">
              <w:rPr>
                <w:b/>
                <w:sz w:val="23"/>
                <w:szCs w:val="23"/>
              </w:rPr>
              <w:t>Nature of Support Mobilised</w:t>
            </w:r>
          </w:p>
        </w:tc>
        <w:tc>
          <w:tcPr>
            <w:tcW w:w="1159" w:type="dxa"/>
            <w:shd w:val="clear" w:color="auto" w:fill="CCCCCC"/>
            <w:vAlign w:val="center"/>
          </w:tcPr>
          <w:p w14:paraId="10B88D8E" w14:textId="77777777" w:rsidR="0039412B" w:rsidRPr="007942C1" w:rsidRDefault="0039412B" w:rsidP="00794CC9">
            <w:pPr>
              <w:ind w:left="-57" w:right="-57"/>
              <w:jc w:val="center"/>
              <w:rPr>
                <w:b/>
                <w:sz w:val="23"/>
                <w:szCs w:val="23"/>
              </w:rPr>
            </w:pPr>
            <w:r w:rsidRPr="007942C1">
              <w:rPr>
                <w:b/>
                <w:sz w:val="23"/>
                <w:szCs w:val="23"/>
              </w:rPr>
              <w:t>Phase</w:t>
            </w:r>
          </w:p>
        </w:tc>
        <w:tc>
          <w:tcPr>
            <w:tcW w:w="1039" w:type="dxa"/>
            <w:shd w:val="clear" w:color="auto" w:fill="CCCCCC"/>
            <w:vAlign w:val="center"/>
          </w:tcPr>
          <w:p w14:paraId="131B484C" w14:textId="77777777" w:rsidR="0039412B" w:rsidRPr="007942C1" w:rsidRDefault="0039412B" w:rsidP="00794CC9">
            <w:pPr>
              <w:ind w:left="-57" w:right="-57"/>
              <w:jc w:val="center"/>
              <w:rPr>
                <w:b/>
                <w:sz w:val="23"/>
                <w:szCs w:val="23"/>
              </w:rPr>
            </w:pPr>
            <w:r w:rsidRPr="007942C1">
              <w:rPr>
                <w:b/>
                <w:sz w:val="23"/>
                <w:szCs w:val="23"/>
              </w:rPr>
              <w:t>Comp.</w:t>
            </w:r>
          </w:p>
        </w:tc>
        <w:tc>
          <w:tcPr>
            <w:tcW w:w="1515" w:type="dxa"/>
            <w:tcBorders>
              <w:right w:val="nil"/>
            </w:tcBorders>
            <w:shd w:val="clear" w:color="auto" w:fill="CCCCCC"/>
            <w:vAlign w:val="center"/>
          </w:tcPr>
          <w:p w14:paraId="18B13892" w14:textId="77777777" w:rsidR="0039412B" w:rsidRPr="007942C1" w:rsidRDefault="0039412B" w:rsidP="00794CC9">
            <w:pPr>
              <w:jc w:val="center"/>
              <w:rPr>
                <w:b/>
                <w:sz w:val="23"/>
                <w:szCs w:val="23"/>
              </w:rPr>
            </w:pPr>
            <w:r w:rsidRPr="007942C1">
              <w:rPr>
                <w:b/>
                <w:sz w:val="23"/>
                <w:szCs w:val="23"/>
              </w:rPr>
              <w:t>Recipient</w:t>
            </w:r>
          </w:p>
        </w:tc>
      </w:tr>
      <w:tr w:rsidR="000B596B" w:rsidRPr="007942C1" w14:paraId="18D4CD54" w14:textId="77777777" w:rsidTr="00794CC9">
        <w:trPr>
          <w:jc w:val="center"/>
        </w:trPr>
        <w:tc>
          <w:tcPr>
            <w:tcW w:w="580" w:type="dxa"/>
            <w:tcBorders>
              <w:bottom w:val="dotted" w:sz="4" w:space="0" w:color="auto"/>
              <w:right w:val="nil"/>
            </w:tcBorders>
          </w:tcPr>
          <w:p w14:paraId="1A0E56AA" w14:textId="77777777" w:rsidR="000B596B" w:rsidRPr="007942C1" w:rsidRDefault="000B596B" w:rsidP="00BA4968">
            <w:pPr>
              <w:numPr>
                <w:ilvl w:val="0"/>
                <w:numId w:val="21"/>
              </w:numPr>
              <w:ind w:left="170" w:firstLine="0"/>
              <w:rPr>
                <w:lang w:eastAsia="en-US"/>
              </w:rPr>
            </w:pPr>
          </w:p>
        </w:tc>
        <w:tc>
          <w:tcPr>
            <w:tcW w:w="1871" w:type="dxa"/>
            <w:tcBorders>
              <w:left w:val="nil"/>
              <w:bottom w:val="dotted" w:sz="4" w:space="0" w:color="auto"/>
              <w:right w:val="dotted" w:sz="4" w:space="0" w:color="auto"/>
            </w:tcBorders>
          </w:tcPr>
          <w:p w14:paraId="331F6564" w14:textId="77777777" w:rsidR="000B596B" w:rsidRDefault="000B596B" w:rsidP="00D13EBA">
            <w:r>
              <w:rPr>
                <w:sz w:val="22"/>
                <w:szCs w:val="22"/>
              </w:rPr>
              <w:t>10-13 February 2014</w:t>
            </w:r>
          </w:p>
        </w:tc>
        <w:tc>
          <w:tcPr>
            <w:tcW w:w="1846" w:type="dxa"/>
            <w:tcBorders>
              <w:left w:val="dotted" w:sz="4" w:space="0" w:color="auto"/>
              <w:bottom w:val="dotted" w:sz="4" w:space="0" w:color="auto"/>
              <w:right w:val="dotted" w:sz="4" w:space="0" w:color="auto"/>
            </w:tcBorders>
          </w:tcPr>
          <w:p w14:paraId="5681788E" w14:textId="77777777" w:rsidR="000B596B" w:rsidRPr="00E60B67" w:rsidRDefault="000B596B" w:rsidP="00D13EBA">
            <w:r>
              <w:rPr>
                <w:sz w:val="22"/>
              </w:rPr>
              <w:t>Cam Ronald</w:t>
            </w:r>
          </w:p>
        </w:tc>
        <w:tc>
          <w:tcPr>
            <w:tcW w:w="2140" w:type="dxa"/>
            <w:tcBorders>
              <w:left w:val="dotted" w:sz="4" w:space="0" w:color="auto"/>
              <w:bottom w:val="dotted" w:sz="4" w:space="0" w:color="auto"/>
              <w:right w:val="dotted" w:sz="4" w:space="0" w:color="auto"/>
            </w:tcBorders>
          </w:tcPr>
          <w:p w14:paraId="3FFAC783" w14:textId="77777777" w:rsidR="000B596B" w:rsidRPr="00E60B67" w:rsidRDefault="000B596B" w:rsidP="00D13EBA">
            <w:pPr>
              <w:rPr>
                <w:rFonts w:cs="Arial"/>
                <w:lang w:eastAsia="en-US"/>
              </w:rPr>
            </w:pPr>
            <w:r w:rsidRPr="00E60B67">
              <w:rPr>
                <w:rFonts w:cs="Arial"/>
                <w:sz w:val="22"/>
                <w:szCs w:val="22"/>
                <w:lang w:eastAsia="en-US"/>
              </w:rPr>
              <w:t>New Zealand Police and PPDVP</w:t>
            </w:r>
          </w:p>
        </w:tc>
        <w:tc>
          <w:tcPr>
            <w:tcW w:w="4898" w:type="dxa"/>
            <w:tcBorders>
              <w:left w:val="dotted" w:sz="4" w:space="0" w:color="auto"/>
              <w:bottom w:val="dotted" w:sz="4" w:space="0" w:color="auto"/>
              <w:right w:val="dotted" w:sz="4" w:space="0" w:color="auto"/>
            </w:tcBorders>
          </w:tcPr>
          <w:p w14:paraId="12C4C3F6" w14:textId="77777777" w:rsidR="000B596B" w:rsidRPr="00E60B67" w:rsidRDefault="000B596B" w:rsidP="00D13EBA">
            <w:r w:rsidRPr="00E60B67">
              <w:rPr>
                <w:sz w:val="22"/>
                <w:szCs w:val="22"/>
              </w:rPr>
              <w:t xml:space="preserve">Pro bono support to the </w:t>
            </w:r>
            <w:r>
              <w:rPr>
                <w:b/>
                <w:i/>
                <w:sz w:val="22"/>
                <w:szCs w:val="22"/>
              </w:rPr>
              <w:t>Family Violence / Youth Justice Workshop.</w:t>
            </w:r>
          </w:p>
        </w:tc>
        <w:tc>
          <w:tcPr>
            <w:tcW w:w="1159" w:type="dxa"/>
            <w:tcBorders>
              <w:left w:val="dotted" w:sz="4" w:space="0" w:color="auto"/>
              <w:bottom w:val="dotted" w:sz="4" w:space="0" w:color="auto"/>
              <w:right w:val="dotted" w:sz="4" w:space="0" w:color="auto"/>
            </w:tcBorders>
            <w:vAlign w:val="center"/>
          </w:tcPr>
          <w:p w14:paraId="219E5FE7" w14:textId="77777777" w:rsidR="000B596B" w:rsidRDefault="000B596B" w:rsidP="00D13EBA">
            <w:pPr>
              <w:ind w:left="-57" w:right="-57"/>
              <w:jc w:val="center"/>
              <w:rPr>
                <w:lang w:eastAsia="en-US"/>
              </w:rPr>
            </w:pPr>
            <w:r>
              <w:rPr>
                <w:sz w:val="22"/>
                <w:szCs w:val="22"/>
                <w:lang w:eastAsia="en-US"/>
              </w:rPr>
              <w:t>24-mth</w:t>
            </w:r>
          </w:p>
        </w:tc>
        <w:tc>
          <w:tcPr>
            <w:tcW w:w="1039" w:type="dxa"/>
            <w:tcBorders>
              <w:left w:val="dotted" w:sz="4" w:space="0" w:color="auto"/>
              <w:bottom w:val="dotted" w:sz="4" w:space="0" w:color="auto"/>
              <w:right w:val="dotted" w:sz="4" w:space="0" w:color="auto"/>
            </w:tcBorders>
            <w:vAlign w:val="center"/>
          </w:tcPr>
          <w:p w14:paraId="53D1E8D9" w14:textId="77777777" w:rsidR="000B596B" w:rsidRPr="00E60B67" w:rsidRDefault="000B596B" w:rsidP="00D13EBA">
            <w:pPr>
              <w:jc w:val="center"/>
            </w:pPr>
            <w:r>
              <w:rPr>
                <w:sz w:val="22"/>
              </w:rPr>
              <w:t>1.2</w:t>
            </w:r>
          </w:p>
        </w:tc>
        <w:tc>
          <w:tcPr>
            <w:tcW w:w="1515" w:type="dxa"/>
            <w:tcBorders>
              <w:left w:val="dotted" w:sz="4" w:space="0" w:color="auto"/>
              <w:bottom w:val="dotted" w:sz="4" w:space="0" w:color="auto"/>
              <w:right w:val="nil"/>
            </w:tcBorders>
            <w:vAlign w:val="center"/>
          </w:tcPr>
          <w:p w14:paraId="36DEB50F" w14:textId="77777777" w:rsidR="000B596B" w:rsidRPr="00E60B67" w:rsidRDefault="000B596B" w:rsidP="00D13EBA">
            <w:pPr>
              <w:jc w:val="center"/>
            </w:pPr>
            <w:r>
              <w:rPr>
                <w:sz w:val="22"/>
              </w:rPr>
              <w:t>Cook Islands</w:t>
            </w:r>
          </w:p>
        </w:tc>
      </w:tr>
      <w:tr w:rsidR="000B596B" w:rsidRPr="007942C1" w14:paraId="0A19FCC5" w14:textId="77777777" w:rsidTr="00794CC9">
        <w:trPr>
          <w:jc w:val="center"/>
        </w:trPr>
        <w:tc>
          <w:tcPr>
            <w:tcW w:w="580" w:type="dxa"/>
            <w:tcBorders>
              <w:top w:val="dotted" w:sz="4" w:space="0" w:color="auto"/>
              <w:bottom w:val="dotted" w:sz="4" w:space="0" w:color="auto"/>
              <w:right w:val="nil"/>
            </w:tcBorders>
          </w:tcPr>
          <w:p w14:paraId="36D5D0EE" w14:textId="77777777" w:rsidR="000B596B" w:rsidRPr="007942C1" w:rsidRDefault="000B596B" w:rsidP="00BA4968">
            <w:pPr>
              <w:numPr>
                <w:ilvl w:val="0"/>
                <w:numId w:val="21"/>
              </w:numPr>
              <w:ind w:left="170" w:firstLine="0"/>
              <w:rPr>
                <w:lang w:eastAsia="en-US"/>
              </w:rPr>
            </w:pPr>
          </w:p>
        </w:tc>
        <w:tc>
          <w:tcPr>
            <w:tcW w:w="1871" w:type="dxa"/>
            <w:tcBorders>
              <w:top w:val="dotted" w:sz="4" w:space="0" w:color="auto"/>
              <w:left w:val="nil"/>
              <w:bottom w:val="dotted" w:sz="4" w:space="0" w:color="auto"/>
              <w:right w:val="dotted" w:sz="4" w:space="0" w:color="auto"/>
            </w:tcBorders>
          </w:tcPr>
          <w:p w14:paraId="43BD03E4" w14:textId="77777777" w:rsidR="000B596B" w:rsidRDefault="000B596B" w:rsidP="00D13EBA">
            <w:r>
              <w:rPr>
                <w:sz w:val="22"/>
                <w:szCs w:val="22"/>
              </w:rPr>
              <w:t>10-13 February 2014</w:t>
            </w:r>
          </w:p>
        </w:tc>
        <w:tc>
          <w:tcPr>
            <w:tcW w:w="1846" w:type="dxa"/>
            <w:tcBorders>
              <w:top w:val="dotted" w:sz="4" w:space="0" w:color="auto"/>
              <w:left w:val="dotted" w:sz="4" w:space="0" w:color="auto"/>
              <w:bottom w:val="dotted" w:sz="4" w:space="0" w:color="auto"/>
              <w:right w:val="dotted" w:sz="4" w:space="0" w:color="auto"/>
            </w:tcBorders>
          </w:tcPr>
          <w:p w14:paraId="454B1BF8" w14:textId="77777777" w:rsidR="000B596B" w:rsidRPr="00E60B67" w:rsidRDefault="000B596B" w:rsidP="00D13EBA">
            <w:r>
              <w:rPr>
                <w:sz w:val="22"/>
              </w:rPr>
              <w:t>Kevin Kneebone</w:t>
            </w:r>
          </w:p>
        </w:tc>
        <w:tc>
          <w:tcPr>
            <w:tcW w:w="2140" w:type="dxa"/>
            <w:tcBorders>
              <w:top w:val="dotted" w:sz="4" w:space="0" w:color="auto"/>
              <w:left w:val="dotted" w:sz="4" w:space="0" w:color="auto"/>
              <w:bottom w:val="dotted" w:sz="4" w:space="0" w:color="auto"/>
              <w:right w:val="dotted" w:sz="4" w:space="0" w:color="auto"/>
            </w:tcBorders>
          </w:tcPr>
          <w:p w14:paraId="6D7CC046" w14:textId="77777777" w:rsidR="000B596B" w:rsidRPr="00E60B67" w:rsidRDefault="000B596B" w:rsidP="00D13EBA">
            <w:pPr>
              <w:rPr>
                <w:rFonts w:cs="Arial"/>
                <w:lang w:eastAsia="en-US"/>
              </w:rPr>
            </w:pPr>
            <w:r w:rsidRPr="00E60B67">
              <w:rPr>
                <w:rFonts w:cs="Arial"/>
                <w:sz w:val="22"/>
                <w:szCs w:val="22"/>
                <w:lang w:eastAsia="en-US"/>
              </w:rPr>
              <w:t>New Zealand Police and PPDVP</w:t>
            </w:r>
          </w:p>
        </w:tc>
        <w:tc>
          <w:tcPr>
            <w:tcW w:w="4898" w:type="dxa"/>
            <w:tcBorders>
              <w:top w:val="dotted" w:sz="4" w:space="0" w:color="auto"/>
              <w:left w:val="dotted" w:sz="4" w:space="0" w:color="auto"/>
              <w:bottom w:val="dotted" w:sz="4" w:space="0" w:color="auto"/>
              <w:right w:val="dotted" w:sz="4" w:space="0" w:color="auto"/>
            </w:tcBorders>
          </w:tcPr>
          <w:p w14:paraId="65E92CB2" w14:textId="77777777" w:rsidR="000B596B" w:rsidRPr="00E60B67" w:rsidRDefault="000B596B" w:rsidP="00D13EBA">
            <w:r w:rsidRPr="00E60B67">
              <w:rPr>
                <w:sz w:val="22"/>
                <w:szCs w:val="22"/>
              </w:rPr>
              <w:t xml:space="preserve">Pro bono support to the </w:t>
            </w:r>
            <w:r>
              <w:rPr>
                <w:b/>
                <w:i/>
                <w:sz w:val="22"/>
                <w:szCs w:val="22"/>
              </w:rPr>
              <w:t>Family Violence / Youth Justice Workshop.</w:t>
            </w:r>
          </w:p>
        </w:tc>
        <w:tc>
          <w:tcPr>
            <w:tcW w:w="1159" w:type="dxa"/>
            <w:tcBorders>
              <w:top w:val="dotted" w:sz="4" w:space="0" w:color="auto"/>
              <w:left w:val="dotted" w:sz="4" w:space="0" w:color="auto"/>
              <w:bottom w:val="dotted" w:sz="4" w:space="0" w:color="auto"/>
              <w:right w:val="dotted" w:sz="4" w:space="0" w:color="auto"/>
            </w:tcBorders>
            <w:vAlign w:val="center"/>
          </w:tcPr>
          <w:p w14:paraId="3D649ED4" w14:textId="77777777" w:rsidR="000B596B" w:rsidRDefault="000B596B" w:rsidP="00D13EBA">
            <w:pPr>
              <w:ind w:left="-57" w:right="-57"/>
              <w:jc w:val="center"/>
              <w:rPr>
                <w:lang w:eastAsia="en-US"/>
              </w:rPr>
            </w:pPr>
            <w:r>
              <w:rPr>
                <w:sz w:val="22"/>
                <w:szCs w:val="22"/>
                <w:lang w:eastAsia="en-US"/>
              </w:rPr>
              <w:t>24-mth</w:t>
            </w:r>
          </w:p>
        </w:tc>
        <w:tc>
          <w:tcPr>
            <w:tcW w:w="1039" w:type="dxa"/>
            <w:tcBorders>
              <w:top w:val="dotted" w:sz="4" w:space="0" w:color="auto"/>
              <w:left w:val="dotted" w:sz="4" w:space="0" w:color="auto"/>
              <w:bottom w:val="dotted" w:sz="4" w:space="0" w:color="auto"/>
              <w:right w:val="dotted" w:sz="4" w:space="0" w:color="auto"/>
            </w:tcBorders>
            <w:vAlign w:val="center"/>
          </w:tcPr>
          <w:p w14:paraId="582DEFA6" w14:textId="77777777" w:rsidR="000B596B" w:rsidRPr="00E60B67" w:rsidRDefault="000B596B" w:rsidP="00D13EBA">
            <w:pPr>
              <w:jc w:val="center"/>
            </w:pPr>
            <w:r>
              <w:rPr>
                <w:sz w:val="22"/>
              </w:rPr>
              <w:t>1.2</w:t>
            </w:r>
          </w:p>
        </w:tc>
        <w:tc>
          <w:tcPr>
            <w:tcW w:w="1515" w:type="dxa"/>
            <w:tcBorders>
              <w:top w:val="dotted" w:sz="4" w:space="0" w:color="auto"/>
              <w:left w:val="dotted" w:sz="4" w:space="0" w:color="auto"/>
              <w:bottom w:val="dotted" w:sz="4" w:space="0" w:color="auto"/>
              <w:right w:val="nil"/>
            </w:tcBorders>
            <w:vAlign w:val="center"/>
          </w:tcPr>
          <w:p w14:paraId="754F9BD4" w14:textId="77777777" w:rsidR="000B596B" w:rsidRPr="00E60B67" w:rsidRDefault="000B596B" w:rsidP="00D13EBA">
            <w:pPr>
              <w:jc w:val="center"/>
            </w:pPr>
            <w:r>
              <w:rPr>
                <w:sz w:val="22"/>
              </w:rPr>
              <w:t>Cook Islands</w:t>
            </w:r>
          </w:p>
        </w:tc>
      </w:tr>
      <w:tr w:rsidR="000B596B" w:rsidRPr="007942C1" w14:paraId="72403ECF" w14:textId="77777777" w:rsidTr="00794CC9">
        <w:trPr>
          <w:jc w:val="center"/>
        </w:trPr>
        <w:tc>
          <w:tcPr>
            <w:tcW w:w="580" w:type="dxa"/>
            <w:tcBorders>
              <w:top w:val="dotted" w:sz="4" w:space="0" w:color="auto"/>
              <w:bottom w:val="dotted" w:sz="4" w:space="0" w:color="auto"/>
              <w:right w:val="nil"/>
            </w:tcBorders>
          </w:tcPr>
          <w:p w14:paraId="2202C2A6" w14:textId="77777777" w:rsidR="000B596B" w:rsidRPr="007942C1" w:rsidRDefault="000B596B" w:rsidP="00BA4968">
            <w:pPr>
              <w:numPr>
                <w:ilvl w:val="0"/>
                <w:numId w:val="21"/>
              </w:numPr>
              <w:ind w:left="170" w:firstLine="0"/>
              <w:rPr>
                <w:lang w:eastAsia="en-US"/>
              </w:rPr>
            </w:pPr>
          </w:p>
        </w:tc>
        <w:tc>
          <w:tcPr>
            <w:tcW w:w="1871" w:type="dxa"/>
            <w:tcBorders>
              <w:top w:val="dotted" w:sz="4" w:space="0" w:color="auto"/>
              <w:left w:val="nil"/>
              <w:bottom w:val="dotted" w:sz="4" w:space="0" w:color="auto"/>
              <w:right w:val="dotted" w:sz="4" w:space="0" w:color="auto"/>
            </w:tcBorders>
          </w:tcPr>
          <w:p w14:paraId="5EF20CCE" w14:textId="77777777" w:rsidR="000B596B" w:rsidRDefault="000B596B" w:rsidP="00D13EBA">
            <w:r>
              <w:rPr>
                <w:sz w:val="22"/>
                <w:szCs w:val="22"/>
              </w:rPr>
              <w:t>10-13 February 2014</w:t>
            </w:r>
          </w:p>
        </w:tc>
        <w:tc>
          <w:tcPr>
            <w:tcW w:w="1846" w:type="dxa"/>
            <w:tcBorders>
              <w:top w:val="dotted" w:sz="4" w:space="0" w:color="auto"/>
              <w:left w:val="dotted" w:sz="4" w:space="0" w:color="auto"/>
              <w:bottom w:val="dotted" w:sz="4" w:space="0" w:color="auto"/>
              <w:right w:val="dotted" w:sz="4" w:space="0" w:color="auto"/>
            </w:tcBorders>
          </w:tcPr>
          <w:p w14:paraId="06E22503" w14:textId="77777777" w:rsidR="000B596B" w:rsidRPr="00014675" w:rsidRDefault="000B596B" w:rsidP="00D13EBA">
            <w:r w:rsidRPr="00014675">
              <w:rPr>
                <w:sz w:val="22"/>
                <w:szCs w:val="22"/>
              </w:rPr>
              <w:t>Regional Training Team and / or National Trainers</w:t>
            </w:r>
          </w:p>
        </w:tc>
        <w:tc>
          <w:tcPr>
            <w:tcW w:w="2140" w:type="dxa"/>
            <w:tcBorders>
              <w:top w:val="dotted" w:sz="4" w:space="0" w:color="auto"/>
              <w:left w:val="dotted" w:sz="4" w:space="0" w:color="auto"/>
              <w:bottom w:val="dotted" w:sz="4" w:space="0" w:color="auto"/>
              <w:right w:val="dotted" w:sz="4" w:space="0" w:color="auto"/>
            </w:tcBorders>
          </w:tcPr>
          <w:p w14:paraId="2CB2A654" w14:textId="77777777" w:rsidR="000B596B" w:rsidRPr="00014675" w:rsidRDefault="000B596B" w:rsidP="00D13EBA">
            <w:r>
              <w:rPr>
                <w:sz w:val="22"/>
                <w:szCs w:val="22"/>
              </w:rPr>
              <w:t>High Court of the Cook Islands</w:t>
            </w:r>
            <w:r w:rsidRPr="00014675">
              <w:rPr>
                <w:sz w:val="22"/>
                <w:szCs w:val="22"/>
              </w:rPr>
              <w:t xml:space="preserve"> </w:t>
            </w:r>
          </w:p>
        </w:tc>
        <w:tc>
          <w:tcPr>
            <w:tcW w:w="4898" w:type="dxa"/>
            <w:tcBorders>
              <w:top w:val="dotted" w:sz="4" w:space="0" w:color="auto"/>
              <w:left w:val="dotted" w:sz="4" w:space="0" w:color="auto"/>
              <w:bottom w:val="dotted" w:sz="4" w:space="0" w:color="auto"/>
              <w:right w:val="dotted" w:sz="4" w:space="0" w:color="auto"/>
            </w:tcBorders>
          </w:tcPr>
          <w:p w14:paraId="5CA3ADDE" w14:textId="77777777" w:rsidR="000B596B" w:rsidRPr="00014675" w:rsidRDefault="000B596B" w:rsidP="00D13EBA">
            <w:r w:rsidRPr="00014675">
              <w:rPr>
                <w:sz w:val="22"/>
                <w:szCs w:val="22"/>
              </w:rPr>
              <w:t>Co-facilitation at the</w:t>
            </w:r>
            <w:r w:rsidRPr="00014675">
              <w:rPr>
                <w:b/>
                <w:i/>
                <w:sz w:val="22"/>
                <w:szCs w:val="22"/>
              </w:rPr>
              <w:t xml:space="preserve"> </w:t>
            </w:r>
            <w:r>
              <w:rPr>
                <w:b/>
                <w:i/>
                <w:sz w:val="22"/>
                <w:szCs w:val="22"/>
              </w:rPr>
              <w:t>Family Violence / Youth Justice Workshop</w:t>
            </w:r>
            <w:r w:rsidRPr="00014675">
              <w:rPr>
                <w:b/>
                <w:i/>
                <w:sz w:val="22"/>
                <w:szCs w:val="22"/>
              </w:rPr>
              <w:t xml:space="preserve">:  </w:t>
            </w:r>
            <w:r>
              <w:rPr>
                <w:sz w:val="22"/>
                <w:szCs w:val="22"/>
              </w:rPr>
              <w:t xml:space="preserve">Tangi Taoro and John Kenning </w:t>
            </w:r>
          </w:p>
        </w:tc>
        <w:tc>
          <w:tcPr>
            <w:tcW w:w="1159" w:type="dxa"/>
            <w:tcBorders>
              <w:top w:val="dotted" w:sz="4" w:space="0" w:color="auto"/>
              <w:left w:val="dotted" w:sz="4" w:space="0" w:color="auto"/>
              <w:bottom w:val="dotted" w:sz="4" w:space="0" w:color="auto"/>
              <w:right w:val="dotted" w:sz="4" w:space="0" w:color="auto"/>
            </w:tcBorders>
            <w:vAlign w:val="center"/>
          </w:tcPr>
          <w:p w14:paraId="0E52172F" w14:textId="77777777" w:rsidR="000B596B" w:rsidRDefault="000B596B" w:rsidP="00D13EBA">
            <w:pPr>
              <w:ind w:left="-57" w:right="-57"/>
              <w:jc w:val="center"/>
              <w:rPr>
                <w:lang w:eastAsia="en-US"/>
              </w:rPr>
            </w:pPr>
            <w:r>
              <w:rPr>
                <w:sz w:val="22"/>
                <w:szCs w:val="22"/>
                <w:lang w:eastAsia="en-US"/>
              </w:rPr>
              <w:t>24-mth</w:t>
            </w:r>
          </w:p>
        </w:tc>
        <w:tc>
          <w:tcPr>
            <w:tcW w:w="1039" w:type="dxa"/>
            <w:tcBorders>
              <w:top w:val="dotted" w:sz="4" w:space="0" w:color="auto"/>
              <w:left w:val="dotted" w:sz="4" w:space="0" w:color="auto"/>
              <w:bottom w:val="dotted" w:sz="4" w:space="0" w:color="auto"/>
              <w:right w:val="dotted" w:sz="4" w:space="0" w:color="auto"/>
            </w:tcBorders>
            <w:vAlign w:val="center"/>
          </w:tcPr>
          <w:p w14:paraId="7E503160" w14:textId="77777777" w:rsidR="000B596B" w:rsidRPr="00E60B67" w:rsidRDefault="000B596B" w:rsidP="00D13EBA">
            <w:pPr>
              <w:jc w:val="center"/>
            </w:pPr>
            <w:r>
              <w:rPr>
                <w:sz w:val="22"/>
              </w:rPr>
              <w:t>1.2</w:t>
            </w:r>
          </w:p>
        </w:tc>
        <w:tc>
          <w:tcPr>
            <w:tcW w:w="1515" w:type="dxa"/>
            <w:tcBorders>
              <w:top w:val="dotted" w:sz="4" w:space="0" w:color="auto"/>
              <w:left w:val="dotted" w:sz="4" w:space="0" w:color="auto"/>
              <w:bottom w:val="dotted" w:sz="4" w:space="0" w:color="auto"/>
              <w:right w:val="nil"/>
            </w:tcBorders>
            <w:vAlign w:val="center"/>
          </w:tcPr>
          <w:p w14:paraId="65831EC4" w14:textId="77777777" w:rsidR="000B596B" w:rsidRPr="00E60B67" w:rsidRDefault="000B596B" w:rsidP="00D13EBA">
            <w:pPr>
              <w:jc w:val="center"/>
            </w:pPr>
            <w:r>
              <w:rPr>
                <w:sz w:val="22"/>
              </w:rPr>
              <w:t>Cook Islands</w:t>
            </w:r>
          </w:p>
        </w:tc>
      </w:tr>
      <w:tr w:rsidR="000B596B" w:rsidRPr="007942C1" w14:paraId="7FB4AD8B" w14:textId="77777777" w:rsidTr="00794CC9">
        <w:trPr>
          <w:jc w:val="center"/>
        </w:trPr>
        <w:tc>
          <w:tcPr>
            <w:tcW w:w="580" w:type="dxa"/>
            <w:tcBorders>
              <w:top w:val="dotted" w:sz="4" w:space="0" w:color="auto"/>
              <w:bottom w:val="dotted" w:sz="4" w:space="0" w:color="auto"/>
              <w:right w:val="nil"/>
            </w:tcBorders>
          </w:tcPr>
          <w:p w14:paraId="25B683D6" w14:textId="77777777" w:rsidR="000B596B" w:rsidRPr="007942C1" w:rsidRDefault="000B596B" w:rsidP="00BA4968">
            <w:pPr>
              <w:numPr>
                <w:ilvl w:val="0"/>
                <w:numId w:val="21"/>
              </w:numPr>
              <w:ind w:left="170" w:firstLine="0"/>
              <w:rPr>
                <w:lang w:eastAsia="en-US"/>
              </w:rPr>
            </w:pPr>
          </w:p>
        </w:tc>
        <w:tc>
          <w:tcPr>
            <w:tcW w:w="1871" w:type="dxa"/>
            <w:tcBorders>
              <w:top w:val="dotted" w:sz="4" w:space="0" w:color="auto"/>
              <w:left w:val="nil"/>
              <w:bottom w:val="dotted" w:sz="4" w:space="0" w:color="auto"/>
              <w:right w:val="dotted" w:sz="4" w:space="0" w:color="auto"/>
            </w:tcBorders>
          </w:tcPr>
          <w:p w14:paraId="65EC6D4D" w14:textId="77777777" w:rsidR="000B596B" w:rsidRDefault="000B596B" w:rsidP="00D13EBA">
            <w:r>
              <w:rPr>
                <w:sz w:val="22"/>
                <w:szCs w:val="22"/>
              </w:rPr>
              <w:t>3-12 February 2014</w:t>
            </w:r>
          </w:p>
        </w:tc>
        <w:tc>
          <w:tcPr>
            <w:tcW w:w="1846" w:type="dxa"/>
            <w:tcBorders>
              <w:top w:val="dotted" w:sz="4" w:space="0" w:color="auto"/>
              <w:left w:val="dotted" w:sz="4" w:space="0" w:color="auto"/>
              <w:bottom w:val="dotted" w:sz="4" w:space="0" w:color="auto"/>
              <w:right w:val="dotted" w:sz="4" w:space="0" w:color="auto"/>
            </w:tcBorders>
          </w:tcPr>
          <w:p w14:paraId="3A2A0488" w14:textId="77777777" w:rsidR="000B596B" w:rsidRPr="00E60B67" w:rsidRDefault="000B596B" w:rsidP="00D13EBA">
            <w:r>
              <w:rPr>
                <w:sz w:val="22"/>
              </w:rPr>
              <w:t>Justice Michael Barker/Regional Training Team</w:t>
            </w:r>
          </w:p>
        </w:tc>
        <w:tc>
          <w:tcPr>
            <w:tcW w:w="2140" w:type="dxa"/>
            <w:tcBorders>
              <w:top w:val="dotted" w:sz="4" w:space="0" w:color="auto"/>
              <w:left w:val="dotted" w:sz="4" w:space="0" w:color="auto"/>
              <w:bottom w:val="dotted" w:sz="4" w:space="0" w:color="auto"/>
              <w:right w:val="dotted" w:sz="4" w:space="0" w:color="auto"/>
            </w:tcBorders>
          </w:tcPr>
          <w:p w14:paraId="78FC9BE9" w14:textId="77777777" w:rsidR="000B596B" w:rsidRPr="00E60B67" w:rsidRDefault="000B596B" w:rsidP="00D13EBA">
            <w:r>
              <w:rPr>
                <w:sz w:val="22"/>
              </w:rPr>
              <w:t>Federal Court of Australia</w:t>
            </w:r>
          </w:p>
        </w:tc>
        <w:tc>
          <w:tcPr>
            <w:tcW w:w="4898" w:type="dxa"/>
            <w:tcBorders>
              <w:top w:val="dotted" w:sz="4" w:space="0" w:color="auto"/>
              <w:left w:val="dotted" w:sz="4" w:space="0" w:color="auto"/>
              <w:bottom w:val="dotted" w:sz="4" w:space="0" w:color="auto"/>
              <w:right w:val="dotted" w:sz="4" w:space="0" w:color="auto"/>
            </w:tcBorders>
          </w:tcPr>
          <w:p w14:paraId="0DF636EE" w14:textId="77777777" w:rsidR="000B596B" w:rsidRDefault="000B596B" w:rsidP="00D13EBA">
            <w:pPr>
              <w:rPr>
                <w:rFonts w:cs="Arial"/>
                <w:lang w:eastAsia="en-US"/>
              </w:rPr>
            </w:pPr>
            <w:r w:rsidRPr="00E60B67">
              <w:rPr>
                <w:sz w:val="22"/>
                <w:szCs w:val="22"/>
              </w:rPr>
              <w:t xml:space="preserve">Pro bono support to the </w:t>
            </w:r>
            <w:r w:rsidRPr="00E60B67">
              <w:rPr>
                <w:b/>
                <w:i/>
                <w:sz w:val="22"/>
                <w:szCs w:val="22"/>
              </w:rPr>
              <w:t>Lay and Law-trained Judicial and Court Officer</w:t>
            </w:r>
            <w:r w:rsidRPr="00E60B67">
              <w:rPr>
                <w:b/>
                <w:sz w:val="22"/>
                <w:szCs w:val="22"/>
              </w:rPr>
              <w:t xml:space="preserve"> </w:t>
            </w:r>
            <w:r>
              <w:rPr>
                <w:b/>
                <w:i/>
                <w:sz w:val="22"/>
                <w:szCs w:val="22"/>
              </w:rPr>
              <w:t>Decision Making</w:t>
            </w:r>
            <w:r w:rsidRPr="00E60B67">
              <w:rPr>
                <w:b/>
                <w:i/>
                <w:sz w:val="22"/>
                <w:szCs w:val="22"/>
              </w:rPr>
              <w:t xml:space="preserve"> Training</w:t>
            </w:r>
            <w:r w:rsidRPr="00E60B67">
              <w:rPr>
                <w:rFonts w:cs="Arial"/>
                <w:sz w:val="22"/>
                <w:szCs w:val="22"/>
                <w:lang w:eastAsia="en-US"/>
              </w:rPr>
              <w:t>.</w:t>
            </w:r>
          </w:p>
          <w:p w14:paraId="39A5F08C" w14:textId="77777777" w:rsidR="000B596B" w:rsidRPr="00E60B67" w:rsidRDefault="000B596B" w:rsidP="00D13EBA">
            <w:r>
              <w:rPr>
                <w:rFonts w:cs="Arial"/>
                <w:sz w:val="22"/>
                <w:szCs w:val="22"/>
                <w:lang w:eastAsia="en-US"/>
              </w:rPr>
              <w:t>John Alilee, Stephen Felix, Edwin Amblus, Grace Leban, Leonard Maina.</w:t>
            </w:r>
          </w:p>
        </w:tc>
        <w:tc>
          <w:tcPr>
            <w:tcW w:w="1159" w:type="dxa"/>
            <w:tcBorders>
              <w:top w:val="dotted" w:sz="4" w:space="0" w:color="auto"/>
              <w:left w:val="dotted" w:sz="4" w:space="0" w:color="auto"/>
              <w:bottom w:val="dotted" w:sz="4" w:space="0" w:color="auto"/>
              <w:right w:val="dotted" w:sz="4" w:space="0" w:color="auto"/>
            </w:tcBorders>
            <w:vAlign w:val="center"/>
          </w:tcPr>
          <w:p w14:paraId="2E0A0B85" w14:textId="77777777" w:rsidR="000B596B" w:rsidRDefault="000B596B" w:rsidP="00D13EBA">
            <w:pPr>
              <w:ind w:left="-57" w:right="-57"/>
              <w:jc w:val="center"/>
              <w:rPr>
                <w:lang w:eastAsia="en-US"/>
              </w:rPr>
            </w:pPr>
            <w:r>
              <w:rPr>
                <w:sz w:val="22"/>
                <w:szCs w:val="22"/>
                <w:lang w:eastAsia="en-US"/>
              </w:rPr>
              <w:t>24-mth</w:t>
            </w:r>
          </w:p>
        </w:tc>
        <w:tc>
          <w:tcPr>
            <w:tcW w:w="1039" w:type="dxa"/>
            <w:tcBorders>
              <w:top w:val="dotted" w:sz="4" w:space="0" w:color="auto"/>
              <w:left w:val="dotted" w:sz="4" w:space="0" w:color="auto"/>
              <w:bottom w:val="dotted" w:sz="4" w:space="0" w:color="auto"/>
              <w:right w:val="dotted" w:sz="4" w:space="0" w:color="auto"/>
            </w:tcBorders>
            <w:vAlign w:val="center"/>
          </w:tcPr>
          <w:p w14:paraId="5268ACEE" w14:textId="77777777" w:rsidR="000B596B" w:rsidRPr="00E60B67" w:rsidRDefault="000B596B" w:rsidP="00D13EBA">
            <w:pPr>
              <w:jc w:val="center"/>
            </w:pPr>
            <w:r>
              <w:rPr>
                <w:sz w:val="22"/>
              </w:rPr>
              <w:t>4.2c</w:t>
            </w:r>
          </w:p>
        </w:tc>
        <w:tc>
          <w:tcPr>
            <w:tcW w:w="1515" w:type="dxa"/>
            <w:tcBorders>
              <w:top w:val="dotted" w:sz="4" w:space="0" w:color="auto"/>
              <w:left w:val="dotted" w:sz="4" w:space="0" w:color="auto"/>
              <w:bottom w:val="dotted" w:sz="4" w:space="0" w:color="auto"/>
              <w:right w:val="nil"/>
            </w:tcBorders>
            <w:vAlign w:val="center"/>
          </w:tcPr>
          <w:p w14:paraId="14BF0878" w14:textId="77777777" w:rsidR="000B596B" w:rsidRPr="00E60B67" w:rsidRDefault="000B596B" w:rsidP="00D13EBA">
            <w:pPr>
              <w:jc w:val="center"/>
            </w:pPr>
            <w:r>
              <w:rPr>
                <w:sz w:val="22"/>
              </w:rPr>
              <w:t>Vanuatu</w:t>
            </w:r>
          </w:p>
        </w:tc>
      </w:tr>
      <w:tr w:rsidR="000B596B" w:rsidRPr="007942C1" w14:paraId="373E4FE7" w14:textId="77777777" w:rsidTr="000B596B">
        <w:trPr>
          <w:jc w:val="center"/>
        </w:trPr>
        <w:tc>
          <w:tcPr>
            <w:tcW w:w="580" w:type="dxa"/>
            <w:tcBorders>
              <w:top w:val="dotted" w:sz="4" w:space="0" w:color="auto"/>
              <w:bottom w:val="dotted" w:sz="4" w:space="0" w:color="auto"/>
              <w:right w:val="nil"/>
            </w:tcBorders>
          </w:tcPr>
          <w:p w14:paraId="5172B86A" w14:textId="77777777" w:rsidR="000B596B" w:rsidRPr="007942C1" w:rsidRDefault="000B596B" w:rsidP="00BA4968">
            <w:pPr>
              <w:numPr>
                <w:ilvl w:val="0"/>
                <w:numId w:val="21"/>
              </w:numPr>
              <w:ind w:left="170" w:firstLine="0"/>
              <w:rPr>
                <w:lang w:eastAsia="en-US"/>
              </w:rPr>
            </w:pPr>
          </w:p>
        </w:tc>
        <w:tc>
          <w:tcPr>
            <w:tcW w:w="1871" w:type="dxa"/>
            <w:tcBorders>
              <w:top w:val="dotted" w:sz="4" w:space="0" w:color="auto"/>
              <w:left w:val="nil"/>
              <w:bottom w:val="dotted" w:sz="4" w:space="0" w:color="auto"/>
              <w:right w:val="dotted" w:sz="4" w:space="0" w:color="auto"/>
            </w:tcBorders>
          </w:tcPr>
          <w:p w14:paraId="39198B5B" w14:textId="77777777" w:rsidR="000B596B" w:rsidRPr="00C45280" w:rsidRDefault="00744BDD" w:rsidP="00D13EBA">
            <w:r>
              <w:rPr>
                <w:sz w:val="22"/>
              </w:rPr>
              <w:t>31 March-</w:t>
            </w:r>
            <w:r w:rsidR="000B596B" w:rsidRPr="00C45280">
              <w:rPr>
                <w:sz w:val="22"/>
              </w:rPr>
              <w:t>4 April 2014</w:t>
            </w:r>
          </w:p>
        </w:tc>
        <w:tc>
          <w:tcPr>
            <w:tcW w:w="1846" w:type="dxa"/>
            <w:tcBorders>
              <w:top w:val="dotted" w:sz="4" w:space="0" w:color="auto"/>
              <w:left w:val="dotted" w:sz="4" w:space="0" w:color="auto"/>
              <w:bottom w:val="dotted" w:sz="4" w:space="0" w:color="auto"/>
              <w:right w:val="dotted" w:sz="4" w:space="0" w:color="auto"/>
            </w:tcBorders>
          </w:tcPr>
          <w:p w14:paraId="2403FB86" w14:textId="77777777" w:rsidR="000B596B" w:rsidRPr="00C45280" w:rsidRDefault="000B596B" w:rsidP="00D13EBA">
            <w:r w:rsidRPr="00C45280">
              <w:rPr>
                <w:sz w:val="22"/>
              </w:rPr>
              <w:t xml:space="preserve">Judge Ema Aitken and </w:t>
            </w:r>
            <w:r>
              <w:rPr>
                <w:sz w:val="22"/>
              </w:rPr>
              <w:t xml:space="preserve">Dr </w:t>
            </w:r>
            <w:r w:rsidR="00067849">
              <w:rPr>
                <w:sz w:val="22"/>
              </w:rPr>
              <w:t xml:space="preserve">David </w:t>
            </w:r>
            <w:r>
              <w:rPr>
                <w:sz w:val="22"/>
              </w:rPr>
              <w:t>Galler</w:t>
            </w:r>
          </w:p>
          <w:p w14:paraId="47D518DF" w14:textId="77777777" w:rsidR="000B596B" w:rsidRPr="00E60B67" w:rsidRDefault="000B596B" w:rsidP="00D13EBA"/>
        </w:tc>
        <w:tc>
          <w:tcPr>
            <w:tcW w:w="2140" w:type="dxa"/>
            <w:tcBorders>
              <w:top w:val="dotted" w:sz="4" w:space="0" w:color="auto"/>
              <w:left w:val="dotted" w:sz="4" w:space="0" w:color="auto"/>
              <w:bottom w:val="dotted" w:sz="4" w:space="0" w:color="auto"/>
              <w:right w:val="dotted" w:sz="4" w:space="0" w:color="auto"/>
            </w:tcBorders>
          </w:tcPr>
          <w:p w14:paraId="55281101" w14:textId="77777777" w:rsidR="000B596B" w:rsidRPr="00E60B67" w:rsidRDefault="004F0258" w:rsidP="00D13EBA">
            <w:r>
              <w:rPr>
                <w:sz w:val="22"/>
              </w:rPr>
              <w:t>Auckland District Court</w:t>
            </w:r>
            <w:r w:rsidR="00067849">
              <w:rPr>
                <w:sz w:val="22"/>
              </w:rPr>
              <w:t>, New Zealand</w:t>
            </w:r>
          </w:p>
        </w:tc>
        <w:tc>
          <w:tcPr>
            <w:tcW w:w="4898" w:type="dxa"/>
            <w:tcBorders>
              <w:top w:val="dotted" w:sz="4" w:space="0" w:color="auto"/>
              <w:left w:val="dotted" w:sz="4" w:space="0" w:color="auto"/>
              <w:bottom w:val="dotted" w:sz="4" w:space="0" w:color="auto"/>
              <w:right w:val="dotted" w:sz="4" w:space="0" w:color="auto"/>
            </w:tcBorders>
          </w:tcPr>
          <w:p w14:paraId="7D214613" w14:textId="77777777" w:rsidR="000B596B" w:rsidRPr="00736615" w:rsidRDefault="000B596B" w:rsidP="00D13EBA">
            <w:r>
              <w:rPr>
                <w:sz w:val="22"/>
              </w:rPr>
              <w:t xml:space="preserve">Pro bono support to the </w:t>
            </w:r>
            <w:r>
              <w:rPr>
                <w:b/>
                <w:i/>
                <w:sz w:val="22"/>
              </w:rPr>
              <w:t>Drug and Alcohol Court Workshop</w:t>
            </w:r>
            <w:r>
              <w:rPr>
                <w:sz w:val="22"/>
              </w:rPr>
              <w:t xml:space="preserve"> under the Responsive Fund.</w:t>
            </w:r>
          </w:p>
        </w:tc>
        <w:tc>
          <w:tcPr>
            <w:tcW w:w="1159" w:type="dxa"/>
            <w:tcBorders>
              <w:top w:val="dotted" w:sz="4" w:space="0" w:color="auto"/>
              <w:left w:val="dotted" w:sz="4" w:space="0" w:color="auto"/>
              <w:bottom w:val="dotted" w:sz="4" w:space="0" w:color="auto"/>
              <w:right w:val="dotted" w:sz="4" w:space="0" w:color="auto"/>
            </w:tcBorders>
            <w:vAlign w:val="center"/>
          </w:tcPr>
          <w:p w14:paraId="008A4AA1" w14:textId="77777777" w:rsidR="000B596B" w:rsidRDefault="000B596B" w:rsidP="00D13EBA">
            <w:pPr>
              <w:ind w:left="-57" w:right="-57"/>
              <w:jc w:val="center"/>
              <w:rPr>
                <w:lang w:eastAsia="en-US"/>
              </w:rPr>
            </w:pPr>
            <w:r>
              <w:rPr>
                <w:sz w:val="22"/>
                <w:szCs w:val="22"/>
                <w:lang w:eastAsia="en-US"/>
              </w:rPr>
              <w:t>24-mth</w:t>
            </w:r>
          </w:p>
        </w:tc>
        <w:tc>
          <w:tcPr>
            <w:tcW w:w="1039" w:type="dxa"/>
            <w:tcBorders>
              <w:top w:val="dotted" w:sz="4" w:space="0" w:color="auto"/>
              <w:left w:val="dotted" w:sz="4" w:space="0" w:color="auto"/>
              <w:bottom w:val="dotted" w:sz="4" w:space="0" w:color="auto"/>
              <w:right w:val="dotted" w:sz="4" w:space="0" w:color="auto"/>
            </w:tcBorders>
            <w:vAlign w:val="center"/>
          </w:tcPr>
          <w:p w14:paraId="545DC28D" w14:textId="77777777" w:rsidR="000B596B" w:rsidRPr="00E60B67" w:rsidRDefault="000B596B" w:rsidP="00D13EBA">
            <w:pPr>
              <w:jc w:val="center"/>
            </w:pPr>
            <w:r>
              <w:rPr>
                <w:sz w:val="22"/>
              </w:rPr>
              <w:t>2.3</w:t>
            </w:r>
          </w:p>
        </w:tc>
        <w:tc>
          <w:tcPr>
            <w:tcW w:w="1515" w:type="dxa"/>
            <w:tcBorders>
              <w:top w:val="dotted" w:sz="4" w:space="0" w:color="auto"/>
              <w:left w:val="dotted" w:sz="4" w:space="0" w:color="auto"/>
              <w:bottom w:val="dotted" w:sz="4" w:space="0" w:color="auto"/>
              <w:right w:val="nil"/>
            </w:tcBorders>
            <w:vAlign w:val="center"/>
          </w:tcPr>
          <w:p w14:paraId="2BFD80AE" w14:textId="77777777" w:rsidR="000B596B" w:rsidRPr="00E60B67" w:rsidRDefault="000B596B" w:rsidP="00D13EBA">
            <w:pPr>
              <w:jc w:val="center"/>
            </w:pPr>
            <w:r>
              <w:rPr>
                <w:sz w:val="22"/>
              </w:rPr>
              <w:t>Samoa</w:t>
            </w:r>
          </w:p>
        </w:tc>
      </w:tr>
      <w:tr w:rsidR="000B596B" w:rsidRPr="007942C1" w14:paraId="40731CC8" w14:textId="77777777" w:rsidTr="000B596B">
        <w:trPr>
          <w:jc w:val="center"/>
        </w:trPr>
        <w:tc>
          <w:tcPr>
            <w:tcW w:w="580" w:type="dxa"/>
            <w:tcBorders>
              <w:top w:val="dotted" w:sz="4" w:space="0" w:color="auto"/>
              <w:bottom w:val="dotted" w:sz="4" w:space="0" w:color="auto"/>
              <w:right w:val="nil"/>
            </w:tcBorders>
          </w:tcPr>
          <w:p w14:paraId="6C8C2FB3" w14:textId="77777777" w:rsidR="000B596B" w:rsidRPr="007942C1" w:rsidRDefault="000B596B" w:rsidP="00BA4968">
            <w:pPr>
              <w:numPr>
                <w:ilvl w:val="0"/>
                <w:numId w:val="21"/>
              </w:numPr>
              <w:ind w:left="170" w:firstLine="0"/>
              <w:rPr>
                <w:lang w:eastAsia="en-US"/>
              </w:rPr>
            </w:pPr>
          </w:p>
        </w:tc>
        <w:tc>
          <w:tcPr>
            <w:tcW w:w="1871" w:type="dxa"/>
            <w:tcBorders>
              <w:top w:val="dotted" w:sz="4" w:space="0" w:color="auto"/>
              <w:left w:val="nil"/>
              <w:bottom w:val="dotted" w:sz="4" w:space="0" w:color="auto"/>
              <w:right w:val="dotted" w:sz="4" w:space="0" w:color="auto"/>
            </w:tcBorders>
          </w:tcPr>
          <w:p w14:paraId="590EDD9D" w14:textId="77777777" w:rsidR="000B596B" w:rsidRDefault="000B596B" w:rsidP="00D13EBA">
            <w:r>
              <w:rPr>
                <w:sz w:val="22"/>
              </w:rPr>
              <w:t>3-7 March; 31 March-4 April; 28 April-9 May 2014</w:t>
            </w:r>
          </w:p>
        </w:tc>
        <w:tc>
          <w:tcPr>
            <w:tcW w:w="1846" w:type="dxa"/>
            <w:tcBorders>
              <w:top w:val="dotted" w:sz="4" w:space="0" w:color="auto"/>
              <w:left w:val="dotted" w:sz="4" w:space="0" w:color="auto"/>
              <w:bottom w:val="dotted" w:sz="4" w:space="0" w:color="auto"/>
              <w:right w:val="dotted" w:sz="4" w:space="0" w:color="auto"/>
            </w:tcBorders>
          </w:tcPr>
          <w:p w14:paraId="2A58A5FB" w14:textId="77777777" w:rsidR="000B596B" w:rsidRPr="00AA714B" w:rsidRDefault="000B596B" w:rsidP="00D13EBA">
            <w:pPr>
              <w:rPr>
                <w:rFonts w:cs="Arial"/>
                <w:lang w:eastAsia="en-US"/>
              </w:rPr>
            </w:pPr>
            <w:r w:rsidRPr="00AA714B">
              <w:rPr>
                <w:rFonts w:cs="Arial"/>
                <w:bCs/>
                <w:color w:val="000000"/>
                <w:sz w:val="22"/>
                <w:szCs w:val="22"/>
              </w:rPr>
              <w:t>-</w:t>
            </w:r>
          </w:p>
        </w:tc>
        <w:tc>
          <w:tcPr>
            <w:tcW w:w="2140" w:type="dxa"/>
            <w:tcBorders>
              <w:top w:val="dotted" w:sz="4" w:space="0" w:color="auto"/>
              <w:left w:val="dotted" w:sz="4" w:space="0" w:color="auto"/>
              <w:bottom w:val="dotted" w:sz="4" w:space="0" w:color="auto"/>
              <w:right w:val="dotted" w:sz="4" w:space="0" w:color="auto"/>
            </w:tcBorders>
          </w:tcPr>
          <w:p w14:paraId="25E44EC6" w14:textId="77777777" w:rsidR="000B596B" w:rsidRPr="00AA714B" w:rsidRDefault="000B596B" w:rsidP="00D13EBA">
            <w:pPr>
              <w:rPr>
                <w:rFonts w:cs="Arial"/>
                <w:lang w:eastAsia="en-US"/>
              </w:rPr>
            </w:pPr>
            <w:r w:rsidRPr="00AA714B">
              <w:rPr>
                <w:rFonts w:cs="Arial"/>
                <w:color w:val="000000"/>
                <w:spacing w:val="1"/>
                <w:sz w:val="22"/>
                <w:szCs w:val="22"/>
              </w:rPr>
              <w:t>Manukau District Courts, Auckland</w:t>
            </w:r>
            <w:r w:rsidRPr="00AA714B">
              <w:rPr>
                <w:rFonts w:cs="Arial"/>
                <w:sz w:val="22"/>
                <w:szCs w:val="22"/>
                <w:lang w:eastAsia="en-US"/>
              </w:rPr>
              <w:t>, New Zealand</w:t>
            </w:r>
          </w:p>
          <w:p w14:paraId="42AECB6F" w14:textId="77777777" w:rsidR="000B596B" w:rsidRPr="00AA714B" w:rsidRDefault="000B596B" w:rsidP="00D13EBA">
            <w:pPr>
              <w:rPr>
                <w:rFonts w:cs="Arial"/>
                <w:lang w:eastAsia="en-US"/>
              </w:rPr>
            </w:pPr>
          </w:p>
        </w:tc>
        <w:tc>
          <w:tcPr>
            <w:tcW w:w="4898" w:type="dxa"/>
            <w:tcBorders>
              <w:top w:val="dotted" w:sz="4" w:space="0" w:color="auto"/>
              <w:left w:val="dotted" w:sz="4" w:space="0" w:color="auto"/>
              <w:bottom w:val="dotted" w:sz="4" w:space="0" w:color="auto"/>
              <w:right w:val="dotted" w:sz="4" w:space="0" w:color="auto"/>
            </w:tcBorders>
          </w:tcPr>
          <w:p w14:paraId="46BF426E" w14:textId="77777777" w:rsidR="000B596B" w:rsidRDefault="000B596B" w:rsidP="00D13EBA">
            <w:r>
              <w:rPr>
                <w:sz w:val="22"/>
              </w:rPr>
              <w:t xml:space="preserve">Pro bono support to the </w:t>
            </w:r>
            <w:r w:rsidRPr="00121A62">
              <w:rPr>
                <w:b/>
                <w:i/>
                <w:sz w:val="22"/>
              </w:rPr>
              <w:t>Mentoring Activity for Justices of the Peace, Deputy Registrar and Court Officers</w:t>
            </w:r>
            <w:r>
              <w:rPr>
                <w:sz w:val="22"/>
              </w:rPr>
              <w:t xml:space="preserve"> under the Responsive Fund.</w:t>
            </w:r>
          </w:p>
        </w:tc>
        <w:tc>
          <w:tcPr>
            <w:tcW w:w="1159" w:type="dxa"/>
            <w:tcBorders>
              <w:top w:val="dotted" w:sz="4" w:space="0" w:color="auto"/>
              <w:left w:val="dotted" w:sz="4" w:space="0" w:color="auto"/>
              <w:bottom w:val="dotted" w:sz="4" w:space="0" w:color="auto"/>
              <w:right w:val="dotted" w:sz="4" w:space="0" w:color="auto"/>
            </w:tcBorders>
            <w:vAlign w:val="center"/>
          </w:tcPr>
          <w:p w14:paraId="32645F63" w14:textId="77777777" w:rsidR="000B596B" w:rsidRDefault="000B596B" w:rsidP="00D13EBA">
            <w:pPr>
              <w:ind w:left="-57" w:right="-57"/>
              <w:jc w:val="center"/>
              <w:rPr>
                <w:lang w:eastAsia="en-US"/>
              </w:rPr>
            </w:pPr>
            <w:r>
              <w:rPr>
                <w:sz w:val="22"/>
                <w:szCs w:val="22"/>
                <w:lang w:eastAsia="en-US"/>
              </w:rPr>
              <w:t>24-mth</w:t>
            </w:r>
          </w:p>
        </w:tc>
        <w:tc>
          <w:tcPr>
            <w:tcW w:w="1039" w:type="dxa"/>
            <w:tcBorders>
              <w:top w:val="dotted" w:sz="4" w:space="0" w:color="auto"/>
              <w:left w:val="dotted" w:sz="4" w:space="0" w:color="auto"/>
              <w:bottom w:val="dotted" w:sz="4" w:space="0" w:color="auto"/>
              <w:right w:val="dotted" w:sz="4" w:space="0" w:color="auto"/>
            </w:tcBorders>
            <w:vAlign w:val="center"/>
          </w:tcPr>
          <w:p w14:paraId="4FAC223E" w14:textId="77777777" w:rsidR="000B596B" w:rsidRDefault="000B596B" w:rsidP="00D13EBA">
            <w:pPr>
              <w:jc w:val="center"/>
            </w:pPr>
            <w:r>
              <w:rPr>
                <w:sz w:val="22"/>
              </w:rPr>
              <w:t>2.3</w:t>
            </w:r>
          </w:p>
        </w:tc>
        <w:tc>
          <w:tcPr>
            <w:tcW w:w="1515" w:type="dxa"/>
            <w:tcBorders>
              <w:top w:val="dotted" w:sz="4" w:space="0" w:color="auto"/>
              <w:left w:val="dotted" w:sz="4" w:space="0" w:color="auto"/>
              <w:bottom w:val="dotted" w:sz="4" w:space="0" w:color="auto"/>
              <w:right w:val="nil"/>
            </w:tcBorders>
            <w:vAlign w:val="center"/>
          </w:tcPr>
          <w:p w14:paraId="19AA9717" w14:textId="77777777" w:rsidR="000B596B" w:rsidRDefault="000B596B" w:rsidP="00D13EBA">
            <w:pPr>
              <w:jc w:val="center"/>
            </w:pPr>
            <w:r>
              <w:rPr>
                <w:sz w:val="22"/>
              </w:rPr>
              <w:t>Cook Islands</w:t>
            </w:r>
          </w:p>
        </w:tc>
      </w:tr>
      <w:tr w:rsidR="000B596B" w:rsidRPr="007942C1" w14:paraId="43EC2202" w14:textId="77777777" w:rsidTr="000B596B">
        <w:trPr>
          <w:jc w:val="center"/>
        </w:trPr>
        <w:tc>
          <w:tcPr>
            <w:tcW w:w="580" w:type="dxa"/>
            <w:tcBorders>
              <w:top w:val="dotted" w:sz="4" w:space="0" w:color="auto"/>
              <w:bottom w:val="dotted" w:sz="4" w:space="0" w:color="auto"/>
              <w:right w:val="nil"/>
            </w:tcBorders>
          </w:tcPr>
          <w:p w14:paraId="1B23ECD1" w14:textId="77777777" w:rsidR="000B596B" w:rsidRPr="007942C1" w:rsidRDefault="000B596B" w:rsidP="00BA4968">
            <w:pPr>
              <w:numPr>
                <w:ilvl w:val="0"/>
                <w:numId w:val="21"/>
              </w:numPr>
              <w:ind w:left="170" w:firstLine="0"/>
              <w:rPr>
                <w:lang w:eastAsia="en-US"/>
              </w:rPr>
            </w:pPr>
          </w:p>
        </w:tc>
        <w:tc>
          <w:tcPr>
            <w:tcW w:w="1871" w:type="dxa"/>
            <w:tcBorders>
              <w:top w:val="dotted" w:sz="4" w:space="0" w:color="auto"/>
              <w:left w:val="nil"/>
              <w:bottom w:val="single" w:sz="4" w:space="0" w:color="auto"/>
              <w:right w:val="dotted" w:sz="4" w:space="0" w:color="auto"/>
            </w:tcBorders>
          </w:tcPr>
          <w:p w14:paraId="4C40BE54" w14:textId="77777777" w:rsidR="000B596B" w:rsidRPr="00C45280" w:rsidRDefault="00744BDD" w:rsidP="00744BDD">
            <w:r>
              <w:rPr>
                <w:sz w:val="22"/>
              </w:rPr>
              <w:t xml:space="preserve">3 June </w:t>
            </w:r>
            <w:r w:rsidR="000B596B">
              <w:rPr>
                <w:sz w:val="22"/>
              </w:rPr>
              <w:t>2014</w:t>
            </w:r>
            <w:r>
              <w:rPr>
                <w:sz w:val="22"/>
              </w:rPr>
              <w:t>-</w:t>
            </w:r>
            <w:r w:rsidR="000B596B">
              <w:rPr>
                <w:sz w:val="22"/>
              </w:rPr>
              <w:t>30 June 2015</w:t>
            </w:r>
          </w:p>
        </w:tc>
        <w:tc>
          <w:tcPr>
            <w:tcW w:w="1846" w:type="dxa"/>
            <w:tcBorders>
              <w:top w:val="dotted" w:sz="4" w:space="0" w:color="auto"/>
              <w:left w:val="dotted" w:sz="4" w:space="0" w:color="auto"/>
              <w:bottom w:val="single" w:sz="4" w:space="0" w:color="auto"/>
              <w:right w:val="dotted" w:sz="4" w:space="0" w:color="auto"/>
            </w:tcBorders>
          </w:tcPr>
          <w:p w14:paraId="6AD28364" w14:textId="77777777" w:rsidR="000B596B" w:rsidRPr="00C45280" w:rsidRDefault="004D5839" w:rsidP="00D13EBA">
            <w:r>
              <w:rPr>
                <w:sz w:val="22"/>
              </w:rPr>
              <w:t>IT Department</w:t>
            </w:r>
          </w:p>
        </w:tc>
        <w:tc>
          <w:tcPr>
            <w:tcW w:w="2140" w:type="dxa"/>
            <w:tcBorders>
              <w:top w:val="dotted" w:sz="4" w:space="0" w:color="auto"/>
              <w:left w:val="dotted" w:sz="4" w:space="0" w:color="auto"/>
              <w:bottom w:val="single" w:sz="4" w:space="0" w:color="auto"/>
              <w:right w:val="dotted" w:sz="4" w:space="0" w:color="auto"/>
            </w:tcBorders>
          </w:tcPr>
          <w:p w14:paraId="29077C3B" w14:textId="77777777" w:rsidR="000B596B" w:rsidRDefault="000B596B" w:rsidP="00D13EBA">
            <w:r>
              <w:rPr>
                <w:sz w:val="22"/>
              </w:rPr>
              <w:t>Federal Court of Australia</w:t>
            </w:r>
          </w:p>
        </w:tc>
        <w:tc>
          <w:tcPr>
            <w:tcW w:w="4898" w:type="dxa"/>
            <w:tcBorders>
              <w:top w:val="dotted" w:sz="4" w:space="0" w:color="auto"/>
              <w:left w:val="dotted" w:sz="4" w:space="0" w:color="auto"/>
              <w:bottom w:val="single" w:sz="4" w:space="0" w:color="auto"/>
              <w:right w:val="dotted" w:sz="4" w:space="0" w:color="auto"/>
            </w:tcBorders>
          </w:tcPr>
          <w:p w14:paraId="1F35A24D" w14:textId="77777777" w:rsidR="000B596B" w:rsidRDefault="000B596B" w:rsidP="00D13EBA">
            <w:r>
              <w:rPr>
                <w:sz w:val="22"/>
              </w:rPr>
              <w:t xml:space="preserve">Pro bono support to the </w:t>
            </w:r>
            <w:r w:rsidRPr="00E52F0B">
              <w:rPr>
                <w:b/>
                <w:i/>
                <w:sz w:val="22"/>
              </w:rPr>
              <w:t>Information Technology Online Forum.</w:t>
            </w:r>
          </w:p>
        </w:tc>
        <w:tc>
          <w:tcPr>
            <w:tcW w:w="1159" w:type="dxa"/>
            <w:tcBorders>
              <w:top w:val="dotted" w:sz="4" w:space="0" w:color="auto"/>
              <w:left w:val="dotted" w:sz="4" w:space="0" w:color="auto"/>
              <w:bottom w:val="single" w:sz="4" w:space="0" w:color="auto"/>
              <w:right w:val="dotted" w:sz="4" w:space="0" w:color="auto"/>
            </w:tcBorders>
            <w:vAlign w:val="center"/>
          </w:tcPr>
          <w:p w14:paraId="67A026A8" w14:textId="77777777" w:rsidR="000B596B" w:rsidRDefault="000B596B" w:rsidP="00D13EBA">
            <w:pPr>
              <w:ind w:left="-57" w:right="-57"/>
              <w:jc w:val="center"/>
              <w:rPr>
                <w:lang w:eastAsia="en-US"/>
              </w:rPr>
            </w:pPr>
            <w:r>
              <w:rPr>
                <w:sz w:val="22"/>
                <w:szCs w:val="22"/>
                <w:lang w:eastAsia="en-US"/>
              </w:rPr>
              <w:t>24-mth</w:t>
            </w:r>
          </w:p>
        </w:tc>
        <w:tc>
          <w:tcPr>
            <w:tcW w:w="1039" w:type="dxa"/>
            <w:tcBorders>
              <w:top w:val="dotted" w:sz="4" w:space="0" w:color="auto"/>
              <w:left w:val="dotted" w:sz="4" w:space="0" w:color="auto"/>
              <w:bottom w:val="single" w:sz="4" w:space="0" w:color="auto"/>
              <w:right w:val="dotted" w:sz="4" w:space="0" w:color="auto"/>
            </w:tcBorders>
            <w:vAlign w:val="center"/>
          </w:tcPr>
          <w:p w14:paraId="05F7EE33" w14:textId="77777777" w:rsidR="000B596B" w:rsidRDefault="000B596B" w:rsidP="00D13EBA">
            <w:pPr>
              <w:jc w:val="center"/>
            </w:pPr>
            <w:r>
              <w:rPr>
                <w:sz w:val="22"/>
              </w:rPr>
              <w:t>3.1c</w:t>
            </w:r>
          </w:p>
        </w:tc>
        <w:tc>
          <w:tcPr>
            <w:tcW w:w="1515" w:type="dxa"/>
            <w:tcBorders>
              <w:top w:val="dotted" w:sz="4" w:space="0" w:color="auto"/>
              <w:left w:val="dotted" w:sz="4" w:space="0" w:color="auto"/>
              <w:bottom w:val="single" w:sz="4" w:space="0" w:color="auto"/>
              <w:right w:val="nil"/>
            </w:tcBorders>
            <w:vAlign w:val="center"/>
          </w:tcPr>
          <w:p w14:paraId="1379D4F9" w14:textId="77777777" w:rsidR="000B596B" w:rsidRDefault="000B596B" w:rsidP="00D13EBA">
            <w:pPr>
              <w:jc w:val="center"/>
            </w:pPr>
            <w:r>
              <w:rPr>
                <w:sz w:val="22"/>
              </w:rPr>
              <w:t>All PICs</w:t>
            </w:r>
          </w:p>
        </w:tc>
      </w:tr>
    </w:tbl>
    <w:p w14:paraId="54E1807D" w14:textId="77777777" w:rsidR="0039412B" w:rsidRPr="007942C1" w:rsidRDefault="0039412B" w:rsidP="00702C3A">
      <w:pPr>
        <w:rPr>
          <w:lang w:eastAsia="en-US"/>
        </w:rPr>
      </w:pPr>
    </w:p>
    <w:p w14:paraId="6A0B2C7A" w14:textId="77777777" w:rsidR="0039412B" w:rsidRDefault="0039412B" w:rsidP="00510707">
      <w:pPr>
        <w:rPr>
          <w:highlight w:val="yellow"/>
        </w:rPr>
        <w:sectPr w:rsidR="0039412B" w:rsidSect="007B3ED4">
          <w:headerReference w:type="default" r:id="rId24"/>
          <w:footerReference w:type="default" r:id="rId25"/>
          <w:pgSz w:w="16839" w:h="11907" w:orient="landscape" w:code="9"/>
          <w:pgMar w:top="1361" w:right="1304" w:bottom="1418" w:left="1531" w:header="397" w:footer="680" w:gutter="0"/>
          <w:pgNumType w:start="1"/>
          <w:cols w:space="708"/>
          <w:docGrid w:linePitch="360"/>
        </w:sectPr>
      </w:pPr>
    </w:p>
    <w:p w14:paraId="49B621D5" w14:textId="77777777" w:rsidR="0039412B" w:rsidRPr="007942C1" w:rsidRDefault="0039412B" w:rsidP="00510707">
      <w:pPr>
        <w:rPr>
          <w:highlight w:val="yellow"/>
        </w:rPr>
      </w:pPr>
    </w:p>
    <w:p w14:paraId="6B3CB63A" w14:textId="77777777" w:rsidR="0039412B" w:rsidRPr="007942C1" w:rsidRDefault="0039412B" w:rsidP="0067701D">
      <w:pPr>
        <w:pStyle w:val="Heading1"/>
        <w:spacing w:before="120"/>
        <w:rPr>
          <w:lang w:val="en-AU"/>
        </w:rPr>
      </w:pPr>
      <w:bookmarkStart w:id="62" w:name="_Toc391469745"/>
      <w:r w:rsidRPr="007476EF">
        <w:rPr>
          <w:lang w:val="en-AU"/>
        </w:rPr>
        <w:t xml:space="preserve">Annex </w:t>
      </w:r>
      <w:r>
        <w:rPr>
          <w:lang w:val="en-AU"/>
        </w:rPr>
        <w:t>Five</w:t>
      </w:r>
      <w:r w:rsidRPr="007476EF">
        <w:rPr>
          <w:lang w:val="en-AU"/>
        </w:rPr>
        <w:t xml:space="preserve"> - </w:t>
      </w:r>
      <w:r w:rsidRPr="007476EF">
        <w:rPr>
          <w:iCs/>
          <w:lang w:val="en-AU"/>
        </w:rPr>
        <w:t>Self-assessment</w:t>
      </w:r>
      <w:r w:rsidRPr="007476EF">
        <w:rPr>
          <w:lang w:val="en-AU"/>
        </w:rPr>
        <w:t xml:space="preserve"> Against the Quality Indicators in the Contract</w:t>
      </w:r>
      <w:bookmarkEnd w:id="62"/>
    </w:p>
    <w:p w14:paraId="1327C4B6" w14:textId="77777777" w:rsidR="0039412B" w:rsidRPr="007942C1" w:rsidRDefault="0039412B" w:rsidP="004C4C6C">
      <w:pPr>
        <w:rPr>
          <w:lang w:eastAsia="en-US"/>
        </w:rPr>
      </w:pPr>
    </w:p>
    <w:p w14:paraId="77B2347C" w14:textId="77777777" w:rsidR="0039412B" w:rsidRPr="007942C1" w:rsidRDefault="0039412B" w:rsidP="004C4C6C">
      <w:pPr>
        <w:rPr>
          <w:rFonts w:cs="Arial"/>
          <w:b/>
        </w:rPr>
      </w:pPr>
      <w:r w:rsidRPr="007942C1">
        <w:rPr>
          <w:rFonts w:cs="Arial"/>
          <w:b/>
        </w:rPr>
        <w:t>Outcome</w:t>
      </w:r>
      <w:r w:rsidRPr="007942C1">
        <w:rPr>
          <w:b/>
        </w:rPr>
        <w:t>:</w:t>
      </w:r>
      <w:r w:rsidRPr="007942C1">
        <w:t xml:space="preserve">  Effective management of the Programme and MSC contract.</w:t>
      </w:r>
    </w:p>
    <w:p w14:paraId="0A9465FF" w14:textId="77777777" w:rsidR="0039412B" w:rsidRDefault="0039412B" w:rsidP="004C4C6C">
      <w:pPr>
        <w:rPr>
          <w:rFonts w:cs="Arial"/>
          <w:b/>
          <w:sz w:val="20"/>
        </w:rPr>
      </w:pPr>
    </w:p>
    <w:tbl>
      <w:tblPr>
        <w:tblW w:w="14460" w:type="dxa"/>
        <w:tblInd w:w="-176"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3119"/>
        <w:gridCol w:w="8222"/>
      </w:tblGrid>
      <w:tr w:rsidR="0039412B" w:rsidRPr="007942C1" w14:paraId="277A3644" w14:textId="77777777" w:rsidTr="0067701D">
        <w:trPr>
          <w:tblHeader/>
        </w:trPr>
        <w:tc>
          <w:tcPr>
            <w:tcW w:w="3119" w:type="dxa"/>
            <w:shd w:val="pct20" w:color="auto" w:fill="auto"/>
          </w:tcPr>
          <w:p w14:paraId="7A199F4E" w14:textId="77777777" w:rsidR="0039412B" w:rsidRPr="007942C1" w:rsidRDefault="0039412B" w:rsidP="00794CC9">
            <w:pPr>
              <w:spacing w:before="60" w:after="60"/>
              <w:rPr>
                <w:rFonts w:cs="Arial"/>
                <w:b/>
                <w:i/>
                <w:sz w:val="23"/>
                <w:szCs w:val="23"/>
              </w:rPr>
            </w:pPr>
            <w:r w:rsidRPr="007942C1">
              <w:rPr>
                <w:rFonts w:cs="Arial"/>
                <w:b/>
                <w:sz w:val="23"/>
                <w:szCs w:val="23"/>
              </w:rPr>
              <w:t>Indicator</w:t>
            </w:r>
          </w:p>
        </w:tc>
        <w:tc>
          <w:tcPr>
            <w:tcW w:w="3119" w:type="dxa"/>
            <w:shd w:val="pct20" w:color="auto" w:fill="auto"/>
          </w:tcPr>
          <w:p w14:paraId="440171F7" w14:textId="77777777" w:rsidR="0039412B" w:rsidRPr="007942C1" w:rsidRDefault="0039412B" w:rsidP="00794CC9">
            <w:pPr>
              <w:spacing w:before="60" w:after="60"/>
              <w:jc w:val="center"/>
              <w:rPr>
                <w:rFonts w:cs="Arial"/>
                <w:b/>
                <w:sz w:val="23"/>
                <w:szCs w:val="23"/>
              </w:rPr>
            </w:pPr>
            <w:r w:rsidRPr="007942C1">
              <w:rPr>
                <w:rFonts w:cs="Arial"/>
                <w:b/>
                <w:sz w:val="23"/>
                <w:szCs w:val="23"/>
              </w:rPr>
              <w:t>Measure</w:t>
            </w:r>
          </w:p>
        </w:tc>
        <w:tc>
          <w:tcPr>
            <w:tcW w:w="8222" w:type="dxa"/>
            <w:shd w:val="pct20" w:color="auto" w:fill="auto"/>
          </w:tcPr>
          <w:p w14:paraId="067DE9AD" w14:textId="77777777" w:rsidR="0039412B" w:rsidRPr="007942C1" w:rsidRDefault="0039412B" w:rsidP="00794CC9">
            <w:pPr>
              <w:spacing w:before="60" w:after="60"/>
              <w:jc w:val="center"/>
              <w:rPr>
                <w:rFonts w:cs="Arial"/>
                <w:b/>
                <w:sz w:val="23"/>
                <w:szCs w:val="23"/>
              </w:rPr>
            </w:pPr>
            <w:r w:rsidRPr="007942C1">
              <w:rPr>
                <w:rFonts w:cs="Arial"/>
                <w:b/>
                <w:sz w:val="23"/>
                <w:szCs w:val="23"/>
              </w:rPr>
              <w:t>Self-assessment</w:t>
            </w:r>
          </w:p>
        </w:tc>
      </w:tr>
      <w:tr w:rsidR="0039412B" w:rsidRPr="007942C1" w14:paraId="74A2334A" w14:textId="77777777" w:rsidTr="0067701D">
        <w:trPr>
          <w:trHeight w:val="55"/>
        </w:trPr>
        <w:tc>
          <w:tcPr>
            <w:tcW w:w="3119" w:type="dxa"/>
            <w:tcBorders>
              <w:left w:val="nil"/>
              <w:bottom w:val="nil"/>
              <w:right w:val="dotted" w:sz="4" w:space="0" w:color="auto"/>
            </w:tcBorders>
          </w:tcPr>
          <w:p w14:paraId="16808CD2" w14:textId="77777777" w:rsidR="0039412B" w:rsidRPr="007942C1" w:rsidRDefault="0039412B" w:rsidP="00FF2C4A">
            <w:pPr>
              <w:numPr>
                <w:ilvl w:val="0"/>
                <w:numId w:val="7"/>
              </w:numPr>
              <w:spacing w:before="120"/>
              <w:ind w:left="227" w:hanging="227"/>
              <w:rPr>
                <w:b/>
                <w:i/>
              </w:rPr>
            </w:pPr>
            <w:r w:rsidRPr="007942C1">
              <w:rPr>
                <w:b/>
                <w:i/>
                <w:sz w:val="22"/>
                <w:szCs w:val="22"/>
              </w:rPr>
              <w:t>Appropriately skilled staff and adequate resources.</w:t>
            </w:r>
          </w:p>
        </w:tc>
        <w:tc>
          <w:tcPr>
            <w:tcW w:w="3119" w:type="dxa"/>
            <w:tcBorders>
              <w:left w:val="dotted" w:sz="4" w:space="0" w:color="auto"/>
              <w:bottom w:val="dotted" w:sz="4" w:space="0" w:color="auto"/>
              <w:right w:val="dotted" w:sz="4" w:space="0" w:color="auto"/>
            </w:tcBorders>
          </w:tcPr>
          <w:p w14:paraId="5CA71E04" w14:textId="77777777" w:rsidR="0039412B" w:rsidRPr="007942C1" w:rsidRDefault="0039412B" w:rsidP="00FF2C4A">
            <w:pPr>
              <w:numPr>
                <w:ilvl w:val="0"/>
                <w:numId w:val="6"/>
              </w:numPr>
              <w:overflowPunct w:val="0"/>
              <w:autoSpaceDE w:val="0"/>
              <w:autoSpaceDN w:val="0"/>
              <w:adjustRightInd w:val="0"/>
              <w:spacing w:before="120"/>
              <w:ind w:left="216" w:hanging="216"/>
              <w:textAlignment w:val="baseline"/>
              <w:rPr>
                <w:lang w:eastAsia="en-US" w:bidi="ar-DZ"/>
              </w:rPr>
            </w:pPr>
            <w:r w:rsidRPr="007942C1">
              <w:rPr>
                <w:sz w:val="22"/>
                <w:szCs w:val="22"/>
                <w:lang w:eastAsia="en-US" w:bidi="ar-DZ"/>
              </w:rPr>
              <w:t>Adequate number of staff with sufficient capacity and capability to carry out the services to meet the standards required</w:t>
            </w:r>
          </w:p>
        </w:tc>
        <w:tc>
          <w:tcPr>
            <w:tcW w:w="8222" w:type="dxa"/>
            <w:tcBorders>
              <w:left w:val="dotted" w:sz="4" w:space="0" w:color="auto"/>
              <w:bottom w:val="dotted" w:sz="4" w:space="0" w:color="auto"/>
            </w:tcBorders>
          </w:tcPr>
          <w:p w14:paraId="12377578" w14:textId="77777777" w:rsidR="0039412B" w:rsidRPr="007942C1" w:rsidRDefault="0039412B" w:rsidP="007029F3">
            <w:pPr>
              <w:numPr>
                <w:ilvl w:val="0"/>
                <w:numId w:val="6"/>
              </w:numPr>
              <w:overflowPunct w:val="0"/>
              <w:autoSpaceDE w:val="0"/>
              <w:autoSpaceDN w:val="0"/>
              <w:adjustRightInd w:val="0"/>
              <w:spacing w:before="120"/>
              <w:ind w:left="227" w:hanging="227"/>
              <w:textAlignment w:val="baseline"/>
              <w:rPr>
                <w:lang w:eastAsia="en-US" w:bidi="ar-DZ"/>
              </w:rPr>
            </w:pPr>
            <w:r w:rsidRPr="007942C1">
              <w:rPr>
                <w:sz w:val="22"/>
                <w:szCs w:val="22"/>
                <w:lang w:eastAsia="en-US" w:bidi="ar-DZ"/>
              </w:rPr>
              <w:t xml:space="preserve">Identified logistical and administration staff have been available to manage the Programme throughout implementation.  At times of significant workload, the MSC provides additional backstopping support from internal resources as well as from the PJDP Contract Manger. </w:t>
            </w:r>
            <w:r w:rsidRPr="007942C1">
              <w:rPr>
                <w:vanish/>
                <w:sz w:val="22"/>
                <w:szCs w:val="22"/>
                <w:lang w:eastAsia="en-US" w:bidi="ar-DZ"/>
              </w:rPr>
              <w:t xml:space="preserve">tract resources as well as from teh des additional backstoppig support e </w:t>
            </w:r>
            <w:r w:rsidRPr="007942C1">
              <w:rPr>
                <w:vanish/>
                <w:sz w:val="22"/>
                <w:szCs w:val="22"/>
                <w:lang w:eastAsia="en-US" w:bidi="ar-DZ"/>
              </w:rPr>
              <w:pgNum/>
            </w:r>
            <w:r w:rsidRPr="007942C1">
              <w:rPr>
                <w:vanish/>
                <w:sz w:val="22"/>
                <w:szCs w:val="22"/>
                <w:lang w:eastAsia="en-US" w:bidi="ar-DZ"/>
              </w:rPr>
              <w:pgNum/>
            </w:r>
            <w:r w:rsidRPr="007942C1">
              <w:rPr>
                <w:vanish/>
                <w:sz w:val="22"/>
                <w:szCs w:val="22"/>
                <w:lang w:eastAsia="en-US" w:bidi="ar-DZ"/>
              </w:rPr>
              <w:pgNum/>
            </w:r>
            <w:r w:rsidRPr="007942C1">
              <w:rPr>
                <w:vanish/>
                <w:sz w:val="22"/>
                <w:szCs w:val="22"/>
                <w:lang w:eastAsia="en-US" w:bidi="ar-DZ"/>
              </w:rPr>
              <w:pgNum/>
            </w:r>
            <w:r w:rsidRPr="007942C1">
              <w:rPr>
                <w:vanish/>
                <w:sz w:val="22"/>
                <w:szCs w:val="22"/>
                <w:lang w:eastAsia="en-US" w:bidi="ar-DZ"/>
              </w:rPr>
              <w:pgNum/>
            </w:r>
            <w:r w:rsidRPr="007942C1">
              <w:rPr>
                <w:vanish/>
                <w:sz w:val="22"/>
                <w:szCs w:val="22"/>
                <w:lang w:eastAsia="en-US" w:bidi="ar-DZ"/>
              </w:rPr>
              <w:pgNum/>
            </w:r>
            <w:r w:rsidRPr="007942C1">
              <w:rPr>
                <w:vanish/>
                <w:sz w:val="22"/>
                <w:szCs w:val="22"/>
                <w:lang w:eastAsia="en-US" w:bidi="ar-DZ"/>
              </w:rPr>
              <w:pgNum/>
            </w:r>
            <w:r w:rsidRPr="007942C1">
              <w:rPr>
                <w:vanish/>
                <w:sz w:val="22"/>
                <w:szCs w:val="22"/>
                <w:lang w:eastAsia="en-US" w:bidi="ar-DZ"/>
              </w:rPr>
              <w:pgNum/>
            </w:r>
            <w:r w:rsidRPr="007942C1">
              <w:rPr>
                <w:vanish/>
                <w:sz w:val="22"/>
                <w:szCs w:val="22"/>
                <w:lang w:eastAsia="en-US" w:bidi="ar-DZ"/>
              </w:rPr>
              <w:pgNum/>
            </w:r>
            <w:r w:rsidRPr="007942C1">
              <w:rPr>
                <w:vanish/>
                <w:sz w:val="22"/>
                <w:szCs w:val="22"/>
                <w:lang w:eastAsia="en-US" w:bidi="ar-DZ"/>
              </w:rPr>
              <w:pgNum/>
            </w:r>
            <w:r w:rsidRPr="007942C1">
              <w:rPr>
                <w:vanish/>
                <w:sz w:val="22"/>
                <w:szCs w:val="22"/>
                <w:lang w:eastAsia="en-US" w:bidi="ar-DZ"/>
              </w:rPr>
              <w:pgNum/>
            </w:r>
            <w:r w:rsidRPr="007942C1">
              <w:rPr>
                <w:vanish/>
                <w:sz w:val="22"/>
                <w:szCs w:val="22"/>
                <w:lang w:eastAsia="en-US" w:bidi="ar-DZ"/>
              </w:rPr>
              <w:pgNum/>
            </w:r>
            <w:r w:rsidRPr="007942C1">
              <w:rPr>
                <w:vanish/>
                <w:sz w:val="22"/>
                <w:szCs w:val="22"/>
                <w:lang w:eastAsia="en-US" w:bidi="ar-DZ"/>
              </w:rPr>
              <w:pgNum/>
            </w:r>
            <w:r w:rsidRPr="007942C1">
              <w:rPr>
                <w:vanish/>
                <w:sz w:val="22"/>
                <w:szCs w:val="22"/>
                <w:lang w:eastAsia="en-US" w:bidi="ar-DZ"/>
              </w:rPr>
              <w:pgNum/>
            </w:r>
            <w:r w:rsidRPr="007942C1">
              <w:rPr>
                <w:vanish/>
                <w:sz w:val="22"/>
                <w:szCs w:val="22"/>
                <w:lang w:eastAsia="en-US" w:bidi="ar-DZ"/>
              </w:rPr>
              <w:pgNum/>
            </w:r>
            <w:r w:rsidRPr="007942C1">
              <w:rPr>
                <w:vanish/>
                <w:sz w:val="22"/>
                <w:szCs w:val="22"/>
                <w:lang w:eastAsia="en-US" w:bidi="ar-DZ"/>
              </w:rPr>
              <w:pgNum/>
            </w:r>
            <w:r w:rsidRPr="007942C1">
              <w:rPr>
                <w:vanish/>
                <w:sz w:val="22"/>
                <w:szCs w:val="22"/>
                <w:lang w:eastAsia="en-US" w:bidi="ar-DZ"/>
              </w:rPr>
              <w:pgNum/>
            </w:r>
            <w:r w:rsidRPr="007942C1">
              <w:rPr>
                <w:vanish/>
                <w:sz w:val="22"/>
                <w:szCs w:val="22"/>
                <w:lang w:eastAsia="en-US" w:bidi="ar-DZ"/>
              </w:rPr>
              <w:pgNum/>
            </w:r>
            <w:r w:rsidRPr="007942C1">
              <w:rPr>
                <w:vanish/>
                <w:sz w:val="22"/>
                <w:szCs w:val="22"/>
                <w:lang w:eastAsia="en-US" w:bidi="ar-DZ"/>
              </w:rPr>
              <w:pgNum/>
            </w:r>
            <w:r w:rsidRPr="007942C1">
              <w:rPr>
                <w:vanish/>
                <w:sz w:val="22"/>
                <w:szCs w:val="22"/>
                <w:lang w:eastAsia="en-US" w:bidi="ar-DZ"/>
              </w:rPr>
              <w:pgNum/>
            </w:r>
            <w:r w:rsidRPr="007942C1">
              <w:rPr>
                <w:vanish/>
                <w:sz w:val="22"/>
                <w:szCs w:val="22"/>
                <w:lang w:eastAsia="en-US" w:bidi="ar-DZ"/>
              </w:rPr>
              <w:pgNum/>
            </w:r>
            <w:r w:rsidRPr="007942C1">
              <w:rPr>
                <w:vanish/>
                <w:sz w:val="22"/>
                <w:szCs w:val="22"/>
                <w:lang w:eastAsia="en-US" w:bidi="ar-DZ"/>
              </w:rPr>
              <w:pgNum/>
            </w:r>
            <w:r w:rsidRPr="007942C1">
              <w:rPr>
                <w:vanish/>
                <w:sz w:val="22"/>
                <w:szCs w:val="22"/>
                <w:lang w:eastAsia="en-US" w:bidi="ar-DZ"/>
              </w:rPr>
              <w:pgNum/>
            </w:r>
            <w:r w:rsidRPr="007942C1">
              <w:rPr>
                <w:vanish/>
                <w:sz w:val="22"/>
                <w:szCs w:val="22"/>
                <w:lang w:eastAsia="en-US" w:bidi="ar-DZ"/>
              </w:rPr>
              <w:pgNum/>
            </w:r>
            <w:r w:rsidRPr="007942C1">
              <w:rPr>
                <w:vanish/>
                <w:sz w:val="22"/>
                <w:szCs w:val="22"/>
                <w:lang w:eastAsia="en-US" w:bidi="ar-DZ"/>
              </w:rPr>
              <w:pgNum/>
            </w:r>
            <w:r w:rsidRPr="007942C1">
              <w:rPr>
                <w:vanish/>
                <w:sz w:val="22"/>
                <w:szCs w:val="22"/>
                <w:lang w:eastAsia="en-US" w:bidi="ar-DZ"/>
              </w:rPr>
              <w:pgNum/>
            </w:r>
            <w:r w:rsidRPr="007942C1">
              <w:rPr>
                <w:vanish/>
                <w:sz w:val="22"/>
                <w:szCs w:val="22"/>
                <w:lang w:eastAsia="en-US" w:bidi="ar-DZ"/>
              </w:rPr>
              <w:pgNum/>
            </w:r>
            <w:r w:rsidRPr="007942C1">
              <w:rPr>
                <w:vanish/>
                <w:sz w:val="22"/>
                <w:szCs w:val="22"/>
                <w:lang w:eastAsia="en-US" w:bidi="ar-DZ"/>
              </w:rPr>
              <w:pgNum/>
            </w:r>
            <w:r w:rsidRPr="007942C1">
              <w:rPr>
                <w:vanish/>
                <w:sz w:val="22"/>
                <w:szCs w:val="22"/>
                <w:lang w:eastAsia="en-US" w:bidi="ar-DZ"/>
              </w:rPr>
              <w:pgNum/>
            </w:r>
            <w:r w:rsidRPr="007942C1">
              <w:rPr>
                <w:vanish/>
                <w:sz w:val="22"/>
                <w:szCs w:val="22"/>
                <w:lang w:eastAsia="en-US" w:bidi="ar-DZ"/>
              </w:rPr>
              <w:pgNum/>
            </w:r>
            <w:r w:rsidRPr="007942C1">
              <w:rPr>
                <w:vanish/>
                <w:sz w:val="22"/>
                <w:szCs w:val="22"/>
                <w:lang w:eastAsia="en-US" w:bidi="ar-DZ"/>
              </w:rPr>
              <w:pgNum/>
            </w:r>
            <w:r w:rsidRPr="007942C1">
              <w:rPr>
                <w:vanish/>
                <w:sz w:val="22"/>
                <w:szCs w:val="22"/>
                <w:lang w:eastAsia="en-US" w:bidi="ar-DZ"/>
              </w:rPr>
              <w:pgNum/>
            </w:r>
            <w:r w:rsidRPr="007942C1">
              <w:rPr>
                <w:vanish/>
                <w:sz w:val="22"/>
                <w:szCs w:val="22"/>
                <w:lang w:eastAsia="en-US" w:bidi="ar-DZ"/>
              </w:rPr>
              <w:pgNum/>
            </w:r>
            <w:r w:rsidRPr="007942C1">
              <w:rPr>
                <w:vanish/>
                <w:sz w:val="22"/>
                <w:szCs w:val="22"/>
                <w:lang w:eastAsia="en-US" w:bidi="ar-DZ"/>
              </w:rPr>
              <w:pgNum/>
            </w:r>
            <w:r w:rsidRPr="007942C1">
              <w:rPr>
                <w:vanish/>
                <w:sz w:val="22"/>
                <w:szCs w:val="22"/>
                <w:lang w:eastAsia="en-US" w:bidi="ar-DZ"/>
              </w:rPr>
              <w:pgNum/>
            </w:r>
            <w:r w:rsidRPr="007942C1">
              <w:rPr>
                <w:vanish/>
                <w:sz w:val="22"/>
                <w:szCs w:val="22"/>
                <w:lang w:eastAsia="en-US" w:bidi="ar-DZ"/>
              </w:rPr>
              <w:pgNum/>
            </w:r>
            <w:r w:rsidRPr="007942C1">
              <w:rPr>
                <w:vanish/>
                <w:sz w:val="22"/>
                <w:szCs w:val="22"/>
                <w:lang w:eastAsia="en-US" w:bidi="ar-DZ"/>
              </w:rPr>
              <w:pgNum/>
            </w:r>
            <w:r w:rsidRPr="007942C1">
              <w:rPr>
                <w:vanish/>
                <w:sz w:val="22"/>
                <w:szCs w:val="22"/>
                <w:lang w:eastAsia="en-US" w:bidi="ar-DZ"/>
              </w:rPr>
              <w:pgNum/>
            </w:r>
            <w:r w:rsidRPr="007942C1">
              <w:rPr>
                <w:vanish/>
                <w:sz w:val="22"/>
                <w:szCs w:val="22"/>
                <w:lang w:eastAsia="en-US" w:bidi="ar-DZ"/>
              </w:rPr>
              <w:pgNum/>
            </w:r>
            <w:r w:rsidRPr="007942C1">
              <w:rPr>
                <w:vanish/>
                <w:sz w:val="22"/>
                <w:szCs w:val="22"/>
                <w:lang w:eastAsia="en-US" w:bidi="ar-DZ"/>
              </w:rPr>
              <w:pgNum/>
            </w:r>
            <w:r w:rsidRPr="007942C1">
              <w:rPr>
                <w:vanish/>
                <w:sz w:val="22"/>
                <w:szCs w:val="22"/>
                <w:lang w:eastAsia="en-US" w:bidi="ar-DZ"/>
              </w:rPr>
              <w:pgNum/>
            </w:r>
            <w:r w:rsidRPr="007942C1">
              <w:rPr>
                <w:vanish/>
                <w:sz w:val="22"/>
                <w:szCs w:val="22"/>
                <w:lang w:eastAsia="en-US" w:bidi="ar-DZ"/>
              </w:rPr>
              <w:pgNum/>
            </w:r>
            <w:r w:rsidRPr="007942C1">
              <w:rPr>
                <w:vanish/>
                <w:sz w:val="22"/>
                <w:szCs w:val="22"/>
                <w:lang w:eastAsia="en-US" w:bidi="ar-DZ"/>
              </w:rPr>
              <w:pgNum/>
            </w:r>
            <w:r w:rsidRPr="007942C1">
              <w:rPr>
                <w:vanish/>
                <w:sz w:val="22"/>
                <w:szCs w:val="22"/>
                <w:lang w:eastAsia="en-US" w:bidi="ar-DZ"/>
              </w:rPr>
              <w:pgNum/>
            </w:r>
            <w:r w:rsidRPr="007942C1">
              <w:rPr>
                <w:vanish/>
                <w:sz w:val="22"/>
                <w:szCs w:val="22"/>
                <w:lang w:eastAsia="en-US" w:bidi="ar-DZ"/>
              </w:rPr>
              <w:pgNum/>
            </w:r>
            <w:r w:rsidRPr="007942C1">
              <w:rPr>
                <w:vanish/>
                <w:sz w:val="22"/>
                <w:szCs w:val="22"/>
                <w:lang w:eastAsia="en-US" w:bidi="ar-DZ"/>
              </w:rPr>
              <w:pgNum/>
            </w:r>
            <w:r w:rsidRPr="007942C1">
              <w:rPr>
                <w:vanish/>
                <w:sz w:val="22"/>
                <w:szCs w:val="22"/>
                <w:lang w:eastAsia="en-US" w:bidi="ar-DZ"/>
              </w:rPr>
              <w:pgNum/>
            </w:r>
            <w:r w:rsidRPr="007942C1">
              <w:rPr>
                <w:sz w:val="22"/>
                <w:szCs w:val="22"/>
                <w:lang w:eastAsia="en-US" w:bidi="ar-DZ"/>
              </w:rPr>
              <w:t xml:space="preserve">Following the approval of additional activities </w:t>
            </w:r>
            <w:r w:rsidR="00B13B49">
              <w:rPr>
                <w:sz w:val="22"/>
                <w:szCs w:val="22"/>
                <w:lang w:eastAsia="en-US" w:bidi="ar-DZ"/>
              </w:rPr>
              <w:t>u</w:t>
            </w:r>
            <w:r w:rsidRPr="007942C1">
              <w:rPr>
                <w:sz w:val="22"/>
                <w:szCs w:val="22"/>
                <w:lang w:eastAsia="en-US" w:bidi="ar-DZ"/>
              </w:rPr>
              <w:t>nder LoV</w:t>
            </w:r>
            <w:r w:rsidR="00B13B49">
              <w:rPr>
                <w:sz w:val="22"/>
                <w:szCs w:val="22"/>
                <w:lang w:eastAsia="en-US" w:bidi="ar-DZ"/>
              </w:rPr>
              <w:t>s</w:t>
            </w:r>
            <w:r w:rsidRPr="007942C1">
              <w:rPr>
                <w:sz w:val="22"/>
                <w:szCs w:val="22"/>
                <w:lang w:eastAsia="en-US" w:bidi="ar-DZ"/>
              </w:rPr>
              <w:t xml:space="preserve"> </w:t>
            </w:r>
            <w:r w:rsidR="00B13B49" w:rsidRPr="007942C1">
              <w:rPr>
                <w:sz w:val="22"/>
                <w:szCs w:val="22"/>
                <w:lang w:eastAsia="en-US" w:bidi="ar-DZ"/>
              </w:rPr>
              <w:t>1</w:t>
            </w:r>
            <w:r w:rsidR="00B13B49">
              <w:rPr>
                <w:sz w:val="22"/>
                <w:szCs w:val="22"/>
                <w:lang w:eastAsia="en-US" w:bidi="ar-DZ"/>
              </w:rPr>
              <w:t>2 and 13</w:t>
            </w:r>
            <w:r w:rsidR="00B13B49" w:rsidRPr="007942C1">
              <w:rPr>
                <w:sz w:val="22"/>
                <w:szCs w:val="22"/>
                <w:lang w:eastAsia="en-US" w:bidi="ar-DZ"/>
              </w:rPr>
              <w:t xml:space="preserve"> </w:t>
            </w:r>
            <w:r w:rsidRPr="007942C1">
              <w:rPr>
                <w:sz w:val="22"/>
                <w:szCs w:val="22"/>
                <w:lang w:eastAsia="en-US" w:bidi="ar-DZ"/>
              </w:rPr>
              <w:t xml:space="preserve">additional staff resources have been allocated to the Programme </w:t>
            </w:r>
            <w:r w:rsidR="00B13B49">
              <w:rPr>
                <w:sz w:val="22"/>
                <w:szCs w:val="22"/>
                <w:lang w:eastAsia="en-US" w:bidi="ar-DZ"/>
              </w:rPr>
              <w:t>maintaining</w:t>
            </w:r>
            <w:r w:rsidRPr="007942C1">
              <w:rPr>
                <w:sz w:val="22"/>
                <w:szCs w:val="22"/>
                <w:lang w:eastAsia="en-US" w:bidi="ar-DZ"/>
              </w:rPr>
              <w:t xml:space="preserve"> appropriate level</w:t>
            </w:r>
            <w:r w:rsidR="00B13B49">
              <w:rPr>
                <w:sz w:val="22"/>
                <w:szCs w:val="22"/>
                <w:lang w:eastAsia="en-US" w:bidi="ar-DZ"/>
              </w:rPr>
              <w:t>s</w:t>
            </w:r>
            <w:r w:rsidRPr="007942C1">
              <w:rPr>
                <w:sz w:val="22"/>
                <w:szCs w:val="22"/>
                <w:lang w:eastAsia="en-US" w:bidi="ar-DZ"/>
              </w:rPr>
              <w:t xml:space="preserve"> of resourcing.</w:t>
            </w:r>
          </w:p>
        </w:tc>
      </w:tr>
      <w:tr w:rsidR="0039412B" w:rsidRPr="007942C1" w14:paraId="609F6226" w14:textId="77777777" w:rsidTr="0067701D">
        <w:trPr>
          <w:trHeight w:val="77"/>
        </w:trPr>
        <w:tc>
          <w:tcPr>
            <w:tcW w:w="3119" w:type="dxa"/>
            <w:tcBorders>
              <w:top w:val="nil"/>
              <w:left w:val="nil"/>
              <w:right w:val="dotted" w:sz="4" w:space="0" w:color="auto"/>
            </w:tcBorders>
          </w:tcPr>
          <w:p w14:paraId="0D968EA7" w14:textId="77777777" w:rsidR="0039412B" w:rsidRPr="007942C1" w:rsidRDefault="0039412B" w:rsidP="00794CC9">
            <w:pPr>
              <w:rPr>
                <w:b/>
                <w:i/>
              </w:rPr>
            </w:pPr>
          </w:p>
        </w:tc>
        <w:tc>
          <w:tcPr>
            <w:tcW w:w="3119" w:type="dxa"/>
            <w:tcBorders>
              <w:top w:val="dotted" w:sz="4" w:space="0" w:color="auto"/>
              <w:left w:val="dotted" w:sz="4" w:space="0" w:color="auto"/>
              <w:right w:val="dotted" w:sz="4" w:space="0" w:color="auto"/>
            </w:tcBorders>
          </w:tcPr>
          <w:p w14:paraId="63EB5E61" w14:textId="77777777" w:rsidR="0039412B" w:rsidRPr="007942C1" w:rsidRDefault="0039412B" w:rsidP="00FF2C4A">
            <w:pPr>
              <w:numPr>
                <w:ilvl w:val="0"/>
                <w:numId w:val="6"/>
              </w:numPr>
              <w:overflowPunct w:val="0"/>
              <w:autoSpaceDE w:val="0"/>
              <w:autoSpaceDN w:val="0"/>
              <w:adjustRightInd w:val="0"/>
              <w:ind w:left="216" w:hanging="216"/>
              <w:textAlignment w:val="baseline"/>
              <w:rPr>
                <w:lang w:eastAsia="en-US" w:bidi="ar-DZ"/>
              </w:rPr>
            </w:pPr>
            <w:r w:rsidRPr="007942C1">
              <w:rPr>
                <w:sz w:val="22"/>
                <w:szCs w:val="22"/>
                <w:lang w:eastAsia="en-US" w:bidi="ar-DZ"/>
              </w:rPr>
              <w:t>All functions are delivered efficiently and effectively in relation to provision of services and outputs (including reporting/submissions and milestones outlined in this Contract).</w:t>
            </w:r>
          </w:p>
        </w:tc>
        <w:tc>
          <w:tcPr>
            <w:tcW w:w="8222" w:type="dxa"/>
            <w:tcBorders>
              <w:top w:val="dotted" w:sz="4" w:space="0" w:color="auto"/>
              <w:left w:val="dotted" w:sz="4" w:space="0" w:color="auto"/>
            </w:tcBorders>
          </w:tcPr>
          <w:p w14:paraId="5790948A" w14:textId="77777777" w:rsidR="0039412B" w:rsidRPr="007942C1" w:rsidRDefault="00B13B49" w:rsidP="00B13B49">
            <w:pPr>
              <w:numPr>
                <w:ilvl w:val="0"/>
                <w:numId w:val="6"/>
              </w:numPr>
              <w:overflowPunct w:val="0"/>
              <w:autoSpaceDE w:val="0"/>
              <w:autoSpaceDN w:val="0"/>
              <w:adjustRightInd w:val="0"/>
              <w:ind w:left="227" w:hanging="227"/>
              <w:textAlignment w:val="baseline"/>
              <w:rPr>
                <w:lang w:eastAsia="en-US" w:bidi="ar-DZ"/>
              </w:rPr>
            </w:pPr>
            <w:r>
              <w:rPr>
                <w:sz w:val="22"/>
                <w:szCs w:val="22"/>
                <w:lang w:eastAsia="en-US" w:bidi="ar-DZ"/>
              </w:rPr>
              <w:t>Halfway through the</w:t>
            </w:r>
            <w:r w:rsidR="0039412B" w:rsidRPr="007942C1">
              <w:rPr>
                <w:sz w:val="22"/>
                <w:szCs w:val="22"/>
                <w:lang w:eastAsia="en-US" w:bidi="ar-DZ"/>
              </w:rPr>
              <w:t xml:space="preserve"> </w:t>
            </w:r>
            <w:r>
              <w:rPr>
                <w:sz w:val="22"/>
                <w:szCs w:val="22"/>
                <w:lang w:eastAsia="en-US" w:bidi="ar-DZ"/>
              </w:rPr>
              <w:t>24</w:t>
            </w:r>
            <w:r w:rsidR="0039412B" w:rsidRPr="007942C1">
              <w:rPr>
                <w:sz w:val="22"/>
                <w:szCs w:val="22"/>
                <w:lang w:eastAsia="en-US" w:bidi="ar-DZ"/>
              </w:rPr>
              <w:t>-month extension period, all milestones and related invoicing have been submitted prior to, or in line with</w:t>
            </w:r>
            <w:r>
              <w:rPr>
                <w:sz w:val="22"/>
                <w:szCs w:val="22"/>
                <w:lang w:eastAsia="en-US" w:bidi="ar-DZ"/>
              </w:rPr>
              <w:t>,</w:t>
            </w:r>
            <w:r w:rsidR="0039412B" w:rsidRPr="007942C1">
              <w:rPr>
                <w:sz w:val="22"/>
                <w:szCs w:val="22"/>
                <w:lang w:eastAsia="en-US" w:bidi="ar-DZ"/>
              </w:rPr>
              <w:t xml:space="preserve"> the reporting schedule agreed with MFAT.  Responses to all MFAT queries have been provided expeditiously. </w:t>
            </w:r>
          </w:p>
        </w:tc>
      </w:tr>
      <w:tr w:rsidR="0039412B" w:rsidRPr="007942C1" w14:paraId="178B8935" w14:textId="77777777" w:rsidTr="0067701D">
        <w:trPr>
          <w:trHeight w:val="72"/>
        </w:trPr>
        <w:tc>
          <w:tcPr>
            <w:tcW w:w="3119" w:type="dxa"/>
            <w:tcBorders>
              <w:left w:val="nil"/>
              <w:bottom w:val="nil"/>
              <w:right w:val="dotted" w:sz="4" w:space="0" w:color="auto"/>
            </w:tcBorders>
          </w:tcPr>
          <w:p w14:paraId="5D853AD9" w14:textId="77777777" w:rsidR="0039412B" w:rsidRPr="007942C1" w:rsidRDefault="0039412B" w:rsidP="00FF2C4A">
            <w:pPr>
              <w:numPr>
                <w:ilvl w:val="0"/>
                <w:numId w:val="7"/>
              </w:numPr>
              <w:spacing w:before="120"/>
              <w:ind w:left="227" w:hanging="227"/>
              <w:rPr>
                <w:b/>
                <w:i/>
              </w:rPr>
            </w:pPr>
            <w:r w:rsidRPr="007942C1">
              <w:rPr>
                <w:b/>
                <w:i/>
                <w:sz w:val="22"/>
                <w:szCs w:val="22"/>
              </w:rPr>
              <w:t>Administration system and processes</w:t>
            </w:r>
          </w:p>
        </w:tc>
        <w:tc>
          <w:tcPr>
            <w:tcW w:w="3119" w:type="dxa"/>
            <w:tcBorders>
              <w:left w:val="dotted" w:sz="4" w:space="0" w:color="auto"/>
              <w:bottom w:val="dotted" w:sz="4" w:space="0" w:color="auto"/>
              <w:right w:val="dotted" w:sz="4" w:space="0" w:color="auto"/>
            </w:tcBorders>
          </w:tcPr>
          <w:p w14:paraId="5B2F7803" w14:textId="77777777" w:rsidR="0039412B" w:rsidRPr="007942C1" w:rsidRDefault="0039412B" w:rsidP="00FF2C4A">
            <w:pPr>
              <w:numPr>
                <w:ilvl w:val="0"/>
                <w:numId w:val="6"/>
              </w:numPr>
              <w:overflowPunct w:val="0"/>
              <w:autoSpaceDE w:val="0"/>
              <w:autoSpaceDN w:val="0"/>
              <w:adjustRightInd w:val="0"/>
              <w:spacing w:before="120"/>
              <w:ind w:left="216" w:hanging="216"/>
              <w:rPr>
                <w:lang w:eastAsia="en-US" w:bidi="ar-DZ"/>
              </w:rPr>
            </w:pPr>
            <w:r w:rsidRPr="007942C1">
              <w:rPr>
                <w:sz w:val="22"/>
                <w:szCs w:val="22"/>
                <w:lang w:eastAsia="en-US" w:bidi="ar-DZ"/>
              </w:rPr>
              <w:t>Comprehensive administration systems and processes used to meet MFAT’s acquittal requirements.</w:t>
            </w:r>
          </w:p>
        </w:tc>
        <w:tc>
          <w:tcPr>
            <w:tcW w:w="8222" w:type="dxa"/>
            <w:tcBorders>
              <w:left w:val="dotted" w:sz="4" w:space="0" w:color="auto"/>
              <w:bottom w:val="dotted" w:sz="4" w:space="0" w:color="auto"/>
            </w:tcBorders>
          </w:tcPr>
          <w:p w14:paraId="471BFB7B" w14:textId="77777777" w:rsidR="0039412B" w:rsidRPr="007942C1" w:rsidRDefault="0039412B" w:rsidP="007029F3">
            <w:pPr>
              <w:numPr>
                <w:ilvl w:val="0"/>
                <w:numId w:val="6"/>
              </w:numPr>
              <w:tabs>
                <w:tab w:val="left" w:pos="244"/>
              </w:tabs>
              <w:overflowPunct w:val="0"/>
              <w:autoSpaceDE w:val="0"/>
              <w:autoSpaceDN w:val="0"/>
              <w:adjustRightInd w:val="0"/>
              <w:spacing w:before="120"/>
              <w:ind w:left="227" w:hanging="227"/>
              <w:rPr>
                <w:lang w:eastAsia="en-US" w:bidi="ar-DZ"/>
              </w:rPr>
            </w:pPr>
            <w:r w:rsidRPr="007942C1">
              <w:rPr>
                <w:sz w:val="22"/>
                <w:szCs w:val="22"/>
                <w:lang w:eastAsia="en-US" w:bidi="ar-DZ"/>
              </w:rPr>
              <w:t>Combined progress and financial reporting processes used by the Programme aim to provide a transparent, accountable and clear reporting and acquittal process.  Ongoing liaison with relevant MFAT representatives facilitates effective communication to enable the FCA to meet MFAT’s acquittal requirements.  Where areas for improvement have been identified (</w:t>
            </w:r>
            <w:r w:rsidR="00A13B55">
              <w:rPr>
                <w:sz w:val="22"/>
                <w:szCs w:val="22"/>
                <w:lang w:eastAsia="en-US" w:bidi="ar-DZ"/>
              </w:rPr>
              <w:t>most recently the development of an in-country version of the FCA’s Travel Risk Management plan</w:t>
            </w:r>
            <w:r w:rsidRPr="007942C1">
              <w:rPr>
                <w:sz w:val="22"/>
                <w:szCs w:val="22"/>
                <w:lang w:eastAsia="en-US" w:bidi="ar-DZ"/>
              </w:rPr>
              <w:t xml:space="preserve">) these areas have been </w:t>
            </w:r>
            <w:r w:rsidR="002D3A31">
              <w:rPr>
                <w:sz w:val="22"/>
                <w:szCs w:val="22"/>
                <w:lang w:eastAsia="en-US" w:bidi="ar-DZ"/>
              </w:rPr>
              <w:t>updated as appropriate</w:t>
            </w:r>
            <w:r w:rsidRPr="007942C1">
              <w:rPr>
                <w:sz w:val="22"/>
                <w:szCs w:val="22"/>
                <w:lang w:eastAsia="en-US" w:bidi="ar-DZ"/>
              </w:rPr>
              <w:t xml:space="preserve">.  </w:t>
            </w:r>
          </w:p>
        </w:tc>
      </w:tr>
      <w:tr w:rsidR="0039412B" w:rsidRPr="007942C1" w14:paraId="564E582E" w14:textId="77777777" w:rsidTr="0067701D">
        <w:trPr>
          <w:trHeight w:val="72"/>
        </w:trPr>
        <w:tc>
          <w:tcPr>
            <w:tcW w:w="3119" w:type="dxa"/>
            <w:tcBorders>
              <w:top w:val="nil"/>
              <w:left w:val="nil"/>
              <w:bottom w:val="nil"/>
              <w:right w:val="dotted" w:sz="4" w:space="0" w:color="auto"/>
            </w:tcBorders>
          </w:tcPr>
          <w:p w14:paraId="5F1B82D4" w14:textId="77777777" w:rsidR="0039412B" w:rsidRPr="007942C1" w:rsidRDefault="0039412B" w:rsidP="00794CC9">
            <w:pPr>
              <w:rPr>
                <w:b/>
                <w:i/>
              </w:rPr>
            </w:pPr>
          </w:p>
        </w:tc>
        <w:tc>
          <w:tcPr>
            <w:tcW w:w="3119" w:type="dxa"/>
            <w:tcBorders>
              <w:top w:val="dotted" w:sz="4" w:space="0" w:color="auto"/>
              <w:left w:val="dotted" w:sz="4" w:space="0" w:color="auto"/>
              <w:bottom w:val="dotted" w:sz="4" w:space="0" w:color="auto"/>
              <w:right w:val="dotted" w:sz="4" w:space="0" w:color="auto"/>
            </w:tcBorders>
          </w:tcPr>
          <w:p w14:paraId="3D76F148" w14:textId="77777777" w:rsidR="0039412B" w:rsidRPr="007942C1" w:rsidRDefault="0039412B" w:rsidP="00FF2C4A">
            <w:pPr>
              <w:numPr>
                <w:ilvl w:val="0"/>
                <w:numId w:val="6"/>
              </w:numPr>
              <w:overflowPunct w:val="0"/>
              <w:autoSpaceDE w:val="0"/>
              <w:autoSpaceDN w:val="0"/>
              <w:adjustRightInd w:val="0"/>
              <w:ind w:left="216" w:hanging="216"/>
              <w:rPr>
                <w:lang w:eastAsia="en-US" w:bidi="ar-DZ"/>
              </w:rPr>
            </w:pPr>
            <w:r w:rsidRPr="007942C1">
              <w:rPr>
                <w:sz w:val="22"/>
                <w:szCs w:val="22"/>
                <w:lang w:eastAsia="en-US" w:bidi="ar-DZ"/>
              </w:rPr>
              <w:t xml:space="preserve">All systems </w:t>
            </w:r>
            <w:proofErr w:type="gramStart"/>
            <w:r w:rsidRPr="007942C1">
              <w:rPr>
                <w:sz w:val="22"/>
                <w:szCs w:val="22"/>
                <w:lang w:eastAsia="en-US" w:bidi="ar-DZ"/>
              </w:rPr>
              <w:t>documented,</w:t>
            </w:r>
            <w:proofErr w:type="gramEnd"/>
            <w:r w:rsidRPr="007942C1">
              <w:rPr>
                <w:sz w:val="22"/>
                <w:szCs w:val="22"/>
                <w:lang w:eastAsia="en-US" w:bidi="ar-DZ"/>
              </w:rPr>
              <w:t xml:space="preserve"> transparent, records up to date and accurate, accessible.</w:t>
            </w:r>
          </w:p>
        </w:tc>
        <w:tc>
          <w:tcPr>
            <w:tcW w:w="8222" w:type="dxa"/>
            <w:tcBorders>
              <w:top w:val="dotted" w:sz="4" w:space="0" w:color="auto"/>
              <w:left w:val="dotted" w:sz="4" w:space="0" w:color="auto"/>
              <w:bottom w:val="dotted" w:sz="4" w:space="0" w:color="auto"/>
            </w:tcBorders>
          </w:tcPr>
          <w:p w14:paraId="17133113" w14:textId="77777777" w:rsidR="0039412B" w:rsidRPr="007942C1" w:rsidRDefault="0039412B" w:rsidP="00FF2C4A">
            <w:pPr>
              <w:numPr>
                <w:ilvl w:val="0"/>
                <w:numId w:val="6"/>
              </w:numPr>
              <w:tabs>
                <w:tab w:val="left" w:pos="244"/>
              </w:tabs>
              <w:overflowPunct w:val="0"/>
              <w:autoSpaceDE w:val="0"/>
              <w:autoSpaceDN w:val="0"/>
              <w:adjustRightInd w:val="0"/>
              <w:ind w:left="227" w:hanging="227"/>
              <w:rPr>
                <w:lang w:eastAsia="en-US" w:bidi="ar-DZ"/>
              </w:rPr>
            </w:pPr>
            <w:r w:rsidRPr="007942C1">
              <w:rPr>
                <w:sz w:val="22"/>
                <w:szCs w:val="22"/>
                <w:lang w:eastAsia="en-US" w:bidi="ar-DZ"/>
              </w:rPr>
              <w:t>A comprehensive Programme Procedures Manual has been developed and is being used to administer the Programme.  Administrative systems are up to date and accessible for authorised individuals as at the time of reporting. As part of the MSC’s endeavours to improve systems and processes on an ongoing basis (note the point immediately above), the Programmes Procedures Manual is also regularly reviewed and updated (as required) to promote consistency and quality in administrative service provision.</w:t>
            </w:r>
          </w:p>
        </w:tc>
      </w:tr>
      <w:tr w:rsidR="0039412B" w:rsidRPr="007942C1" w14:paraId="26D3D7FD" w14:textId="77777777" w:rsidTr="0067701D">
        <w:trPr>
          <w:trHeight w:val="72"/>
        </w:trPr>
        <w:tc>
          <w:tcPr>
            <w:tcW w:w="3119" w:type="dxa"/>
            <w:tcBorders>
              <w:top w:val="nil"/>
              <w:left w:val="nil"/>
              <w:right w:val="dotted" w:sz="4" w:space="0" w:color="auto"/>
            </w:tcBorders>
          </w:tcPr>
          <w:p w14:paraId="1699B1FB" w14:textId="77777777" w:rsidR="0039412B" w:rsidRPr="007942C1" w:rsidRDefault="0039412B" w:rsidP="00794CC9">
            <w:pPr>
              <w:rPr>
                <w:b/>
                <w:i/>
              </w:rPr>
            </w:pPr>
          </w:p>
        </w:tc>
        <w:tc>
          <w:tcPr>
            <w:tcW w:w="3119" w:type="dxa"/>
            <w:tcBorders>
              <w:top w:val="dotted" w:sz="4" w:space="0" w:color="auto"/>
              <w:left w:val="dotted" w:sz="4" w:space="0" w:color="auto"/>
              <w:right w:val="dotted" w:sz="4" w:space="0" w:color="auto"/>
            </w:tcBorders>
          </w:tcPr>
          <w:p w14:paraId="214DB8C9" w14:textId="77777777" w:rsidR="0039412B" w:rsidRPr="007942C1" w:rsidRDefault="0039412B" w:rsidP="00FF2C4A">
            <w:pPr>
              <w:numPr>
                <w:ilvl w:val="0"/>
                <w:numId w:val="6"/>
              </w:numPr>
              <w:overflowPunct w:val="0"/>
              <w:autoSpaceDE w:val="0"/>
              <w:autoSpaceDN w:val="0"/>
              <w:adjustRightInd w:val="0"/>
              <w:ind w:left="216" w:hanging="216"/>
              <w:rPr>
                <w:lang w:eastAsia="en-US" w:bidi="ar-DZ"/>
              </w:rPr>
            </w:pPr>
            <w:r w:rsidRPr="007942C1">
              <w:rPr>
                <w:sz w:val="22"/>
                <w:szCs w:val="22"/>
                <w:lang w:eastAsia="en-US" w:bidi="ar-DZ"/>
              </w:rPr>
              <w:t xml:space="preserve">Information facilitates analysis </w:t>
            </w:r>
            <w:r w:rsidRPr="007942C1">
              <w:rPr>
                <w:sz w:val="22"/>
                <w:szCs w:val="22"/>
                <w:lang w:eastAsia="en-US" w:bidi="ar-DZ"/>
              </w:rPr>
              <w:lastRenderedPageBreak/>
              <w:t>and reporting.</w:t>
            </w:r>
          </w:p>
        </w:tc>
        <w:tc>
          <w:tcPr>
            <w:tcW w:w="8222" w:type="dxa"/>
            <w:tcBorders>
              <w:top w:val="dotted" w:sz="4" w:space="0" w:color="auto"/>
              <w:left w:val="dotted" w:sz="4" w:space="0" w:color="auto"/>
            </w:tcBorders>
          </w:tcPr>
          <w:p w14:paraId="3DB6BF40" w14:textId="77777777" w:rsidR="0039412B" w:rsidRPr="007942C1" w:rsidRDefault="0039412B" w:rsidP="00FF2C4A">
            <w:pPr>
              <w:numPr>
                <w:ilvl w:val="0"/>
                <w:numId w:val="6"/>
              </w:numPr>
              <w:tabs>
                <w:tab w:val="left" w:pos="244"/>
              </w:tabs>
              <w:overflowPunct w:val="0"/>
              <w:autoSpaceDE w:val="0"/>
              <w:autoSpaceDN w:val="0"/>
              <w:adjustRightInd w:val="0"/>
              <w:ind w:left="227" w:hanging="227"/>
              <w:rPr>
                <w:lang w:eastAsia="en-US" w:bidi="ar-DZ"/>
              </w:rPr>
            </w:pPr>
            <w:r w:rsidRPr="007942C1">
              <w:rPr>
                <w:sz w:val="22"/>
                <w:szCs w:val="22"/>
                <w:lang w:eastAsia="en-US" w:bidi="ar-DZ"/>
              </w:rPr>
              <w:lastRenderedPageBreak/>
              <w:t xml:space="preserve">The systems in place have facilitated the development of clear and concise progress and other </w:t>
            </w:r>
            <w:r w:rsidRPr="007942C1">
              <w:rPr>
                <w:sz w:val="22"/>
                <w:szCs w:val="22"/>
                <w:lang w:eastAsia="en-US" w:bidi="ar-DZ"/>
              </w:rPr>
              <w:lastRenderedPageBreak/>
              <w:t>reporting.  Feedback received on reporting submissions to date has been positive.</w:t>
            </w:r>
          </w:p>
        </w:tc>
      </w:tr>
      <w:tr w:rsidR="0039412B" w:rsidRPr="007942C1" w14:paraId="1CA575AA" w14:textId="77777777" w:rsidTr="0067701D">
        <w:trPr>
          <w:trHeight w:val="72"/>
        </w:trPr>
        <w:tc>
          <w:tcPr>
            <w:tcW w:w="3119" w:type="dxa"/>
            <w:tcBorders>
              <w:left w:val="nil"/>
              <w:bottom w:val="nil"/>
              <w:right w:val="dotted" w:sz="4" w:space="0" w:color="auto"/>
            </w:tcBorders>
          </w:tcPr>
          <w:p w14:paraId="2811C14E" w14:textId="77777777" w:rsidR="0039412B" w:rsidRPr="007942C1" w:rsidRDefault="0039412B" w:rsidP="00FF2C4A">
            <w:pPr>
              <w:numPr>
                <w:ilvl w:val="0"/>
                <w:numId w:val="7"/>
              </w:numPr>
              <w:spacing w:before="120"/>
              <w:ind w:left="227" w:hanging="227"/>
              <w:rPr>
                <w:b/>
                <w:i/>
              </w:rPr>
            </w:pPr>
            <w:r w:rsidRPr="007942C1">
              <w:rPr>
                <w:b/>
                <w:i/>
                <w:sz w:val="22"/>
                <w:szCs w:val="22"/>
              </w:rPr>
              <w:lastRenderedPageBreak/>
              <w:t>Management systems and processes (programme)</w:t>
            </w:r>
          </w:p>
        </w:tc>
        <w:tc>
          <w:tcPr>
            <w:tcW w:w="3119" w:type="dxa"/>
            <w:tcBorders>
              <w:left w:val="dotted" w:sz="4" w:space="0" w:color="auto"/>
              <w:bottom w:val="dotted" w:sz="4" w:space="0" w:color="auto"/>
              <w:right w:val="dotted" w:sz="4" w:space="0" w:color="auto"/>
            </w:tcBorders>
          </w:tcPr>
          <w:p w14:paraId="4C31903F" w14:textId="77777777" w:rsidR="0039412B" w:rsidRPr="007942C1" w:rsidRDefault="0039412B" w:rsidP="00FF2C4A">
            <w:pPr>
              <w:numPr>
                <w:ilvl w:val="0"/>
                <w:numId w:val="6"/>
              </w:numPr>
              <w:overflowPunct w:val="0"/>
              <w:autoSpaceDE w:val="0"/>
              <w:autoSpaceDN w:val="0"/>
              <w:adjustRightInd w:val="0"/>
              <w:spacing w:before="120"/>
              <w:ind w:left="216" w:hanging="216"/>
              <w:textAlignment w:val="baseline"/>
              <w:rPr>
                <w:lang w:eastAsia="en-US" w:bidi="ar-DZ"/>
              </w:rPr>
            </w:pPr>
            <w:r w:rsidRPr="007942C1">
              <w:rPr>
                <w:sz w:val="22"/>
                <w:szCs w:val="22"/>
                <w:lang w:eastAsia="en-US" w:bidi="ar-DZ"/>
              </w:rPr>
              <w:t>All systems documented, transparent, records are up to date, accurate, and accessible.</w:t>
            </w:r>
          </w:p>
        </w:tc>
        <w:tc>
          <w:tcPr>
            <w:tcW w:w="8222" w:type="dxa"/>
            <w:tcBorders>
              <w:left w:val="dotted" w:sz="4" w:space="0" w:color="auto"/>
              <w:bottom w:val="dotted" w:sz="4" w:space="0" w:color="auto"/>
            </w:tcBorders>
          </w:tcPr>
          <w:p w14:paraId="2477A298" w14:textId="77777777" w:rsidR="0039412B" w:rsidRPr="007942C1" w:rsidRDefault="0039412B" w:rsidP="00FF2C4A">
            <w:pPr>
              <w:numPr>
                <w:ilvl w:val="0"/>
                <w:numId w:val="6"/>
              </w:numPr>
              <w:overflowPunct w:val="0"/>
              <w:autoSpaceDE w:val="0"/>
              <w:autoSpaceDN w:val="0"/>
              <w:adjustRightInd w:val="0"/>
              <w:spacing w:before="120"/>
              <w:ind w:left="227" w:hanging="227"/>
              <w:textAlignment w:val="baseline"/>
              <w:rPr>
                <w:lang w:eastAsia="en-US" w:bidi="ar-DZ"/>
              </w:rPr>
            </w:pPr>
            <w:r w:rsidRPr="007942C1">
              <w:rPr>
                <w:sz w:val="22"/>
                <w:szCs w:val="22"/>
                <w:lang w:eastAsia="en-US" w:bidi="ar-DZ"/>
              </w:rPr>
              <w:t>Reporting recruitment, contracting, finance and other management systems are up to date and accessible for viewing and use by authorised individuals.</w:t>
            </w:r>
          </w:p>
        </w:tc>
      </w:tr>
      <w:tr w:rsidR="0039412B" w:rsidRPr="007942C1" w14:paraId="0C143C61" w14:textId="77777777" w:rsidTr="0067701D">
        <w:trPr>
          <w:trHeight w:val="72"/>
        </w:trPr>
        <w:tc>
          <w:tcPr>
            <w:tcW w:w="3119" w:type="dxa"/>
            <w:tcBorders>
              <w:top w:val="nil"/>
              <w:left w:val="nil"/>
              <w:right w:val="dotted" w:sz="4" w:space="0" w:color="auto"/>
            </w:tcBorders>
          </w:tcPr>
          <w:p w14:paraId="129FC970" w14:textId="77777777" w:rsidR="0039412B" w:rsidRPr="007942C1" w:rsidRDefault="0039412B" w:rsidP="00794CC9">
            <w:pPr>
              <w:rPr>
                <w:b/>
                <w:i/>
              </w:rPr>
            </w:pPr>
          </w:p>
        </w:tc>
        <w:tc>
          <w:tcPr>
            <w:tcW w:w="3119" w:type="dxa"/>
            <w:tcBorders>
              <w:top w:val="dotted" w:sz="4" w:space="0" w:color="auto"/>
              <w:left w:val="dotted" w:sz="4" w:space="0" w:color="auto"/>
              <w:right w:val="dotted" w:sz="4" w:space="0" w:color="auto"/>
            </w:tcBorders>
          </w:tcPr>
          <w:p w14:paraId="16FF7687" w14:textId="77777777" w:rsidR="0039412B" w:rsidRPr="007942C1" w:rsidRDefault="0039412B" w:rsidP="00FF2C4A">
            <w:pPr>
              <w:numPr>
                <w:ilvl w:val="0"/>
                <w:numId w:val="6"/>
              </w:numPr>
              <w:overflowPunct w:val="0"/>
              <w:autoSpaceDE w:val="0"/>
              <w:autoSpaceDN w:val="0"/>
              <w:adjustRightInd w:val="0"/>
              <w:ind w:left="216" w:hanging="216"/>
              <w:textAlignment w:val="baseline"/>
              <w:rPr>
                <w:lang w:eastAsia="en-US" w:bidi="ar-DZ"/>
              </w:rPr>
            </w:pPr>
            <w:r w:rsidRPr="007942C1">
              <w:rPr>
                <w:sz w:val="22"/>
                <w:szCs w:val="22"/>
                <w:lang w:eastAsia="en-US" w:bidi="ar-DZ"/>
              </w:rPr>
              <w:t>Information facilitates analysis and reporting.</w:t>
            </w:r>
          </w:p>
        </w:tc>
        <w:tc>
          <w:tcPr>
            <w:tcW w:w="8222" w:type="dxa"/>
            <w:tcBorders>
              <w:top w:val="dotted" w:sz="4" w:space="0" w:color="auto"/>
              <w:left w:val="dotted" w:sz="4" w:space="0" w:color="auto"/>
            </w:tcBorders>
          </w:tcPr>
          <w:p w14:paraId="6172CC4B" w14:textId="77777777" w:rsidR="0039412B" w:rsidRPr="007942C1" w:rsidRDefault="0039412B" w:rsidP="00FF2C4A">
            <w:pPr>
              <w:numPr>
                <w:ilvl w:val="0"/>
                <w:numId w:val="6"/>
              </w:numPr>
              <w:tabs>
                <w:tab w:val="left" w:pos="244"/>
              </w:tabs>
              <w:overflowPunct w:val="0"/>
              <w:autoSpaceDE w:val="0"/>
              <w:autoSpaceDN w:val="0"/>
              <w:adjustRightInd w:val="0"/>
              <w:ind w:left="227" w:hanging="227"/>
              <w:rPr>
                <w:lang w:eastAsia="en-US" w:bidi="ar-DZ"/>
              </w:rPr>
            </w:pPr>
            <w:r w:rsidRPr="007942C1">
              <w:rPr>
                <w:sz w:val="22"/>
                <w:szCs w:val="22"/>
                <w:lang w:eastAsia="en-US" w:bidi="ar-DZ"/>
              </w:rPr>
              <w:t>The systems in place have facilitated the development of clear and concise progress and other reporting.  Feedback received on reporting submissions to date has been positive.</w:t>
            </w:r>
          </w:p>
        </w:tc>
      </w:tr>
      <w:tr w:rsidR="0039412B" w:rsidRPr="007942C1" w14:paraId="510B0F49" w14:textId="77777777" w:rsidTr="0067701D">
        <w:trPr>
          <w:trHeight w:val="72"/>
        </w:trPr>
        <w:tc>
          <w:tcPr>
            <w:tcW w:w="3119" w:type="dxa"/>
            <w:tcBorders>
              <w:left w:val="nil"/>
              <w:bottom w:val="nil"/>
              <w:right w:val="dotted" w:sz="4" w:space="0" w:color="auto"/>
            </w:tcBorders>
          </w:tcPr>
          <w:p w14:paraId="7F5D14A0" w14:textId="77777777" w:rsidR="0039412B" w:rsidRPr="007942C1" w:rsidRDefault="0039412B" w:rsidP="00FF2C4A">
            <w:pPr>
              <w:numPr>
                <w:ilvl w:val="0"/>
                <w:numId w:val="7"/>
              </w:numPr>
              <w:spacing w:before="120"/>
              <w:ind w:left="227" w:hanging="227"/>
              <w:rPr>
                <w:b/>
                <w:i/>
              </w:rPr>
            </w:pPr>
            <w:r w:rsidRPr="007942C1">
              <w:rPr>
                <w:b/>
                <w:i/>
                <w:sz w:val="22"/>
                <w:szCs w:val="22"/>
              </w:rPr>
              <w:t>Management system and processes (finance)</w:t>
            </w:r>
          </w:p>
        </w:tc>
        <w:tc>
          <w:tcPr>
            <w:tcW w:w="3119" w:type="dxa"/>
            <w:tcBorders>
              <w:left w:val="dotted" w:sz="4" w:space="0" w:color="auto"/>
              <w:bottom w:val="dotted" w:sz="4" w:space="0" w:color="auto"/>
              <w:right w:val="dotted" w:sz="4" w:space="0" w:color="auto"/>
            </w:tcBorders>
          </w:tcPr>
          <w:p w14:paraId="30ED3197" w14:textId="77777777" w:rsidR="0039412B" w:rsidRPr="007942C1" w:rsidRDefault="0039412B" w:rsidP="00FF2C4A">
            <w:pPr>
              <w:numPr>
                <w:ilvl w:val="0"/>
                <w:numId w:val="6"/>
              </w:numPr>
              <w:overflowPunct w:val="0"/>
              <w:autoSpaceDE w:val="0"/>
              <w:autoSpaceDN w:val="0"/>
              <w:adjustRightInd w:val="0"/>
              <w:spacing w:before="120"/>
              <w:ind w:left="216" w:hanging="216"/>
              <w:textAlignment w:val="baseline"/>
              <w:rPr>
                <w:lang w:eastAsia="en-US" w:bidi="ar-DZ"/>
              </w:rPr>
            </w:pPr>
            <w:r w:rsidRPr="007942C1">
              <w:rPr>
                <w:sz w:val="22"/>
                <w:szCs w:val="22"/>
                <w:lang w:eastAsia="en-US" w:bidi="ar-DZ"/>
              </w:rPr>
              <w:t>Comprehensive management systems and processes used to meet Contract requirements.</w:t>
            </w:r>
          </w:p>
        </w:tc>
        <w:tc>
          <w:tcPr>
            <w:tcW w:w="8222" w:type="dxa"/>
            <w:tcBorders>
              <w:left w:val="dotted" w:sz="4" w:space="0" w:color="auto"/>
              <w:bottom w:val="dotted" w:sz="4" w:space="0" w:color="auto"/>
            </w:tcBorders>
          </w:tcPr>
          <w:p w14:paraId="16944440" w14:textId="77777777" w:rsidR="0039412B" w:rsidRPr="007942C1" w:rsidRDefault="0039412B" w:rsidP="007029F3">
            <w:pPr>
              <w:numPr>
                <w:ilvl w:val="0"/>
                <w:numId w:val="6"/>
              </w:numPr>
              <w:overflowPunct w:val="0"/>
              <w:autoSpaceDE w:val="0"/>
              <w:autoSpaceDN w:val="0"/>
              <w:adjustRightInd w:val="0"/>
              <w:spacing w:before="120"/>
              <w:ind w:left="227" w:hanging="227"/>
              <w:textAlignment w:val="baseline"/>
              <w:rPr>
                <w:lang w:eastAsia="en-US" w:bidi="ar-DZ"/>
              </w:rPr>
            </w:pPr>
            <w:r w:rsidRPr="007942C1">
              <w:rPr>
                <w:sz w:val="22"/>
                <w:szCs w:val="22"/>
                <w:lang w:eastAsia="en-US" w:bidi="ar-DZ"/>
              </w:rPr>
              <w:t xml:space="preserve">The Programme’s budget is aligned with the FCA’s internal finance system, and this allows for more efficient tracking and financial reporting to </w:t>
            </w:r>
            <w:r w:rsidRPr="00737C11">
              <w:rPr>
                <w:sz w:val="22"/>
                <w:szCs w:val="22"/>
                <w:lang w:eastAsia="en-US" w:bidi="ar-DZ"/>
              </w:rPr>
              <w:t xml:space="preserve">MFAT.  The Programme </w:t>
            </w:r>
            <w:r w:rsidR="00CF3238">
              <w:rPr>
                <w:sz w:val="22"/>
                <w:szCs w:val="22"/>
                <w:lang w:eastAsia="en-US" w:bidi="ar-DZ"/>
              </w:rPr>
              <w:t xml:space="preserve">continues to </w:t>
            </w:r>
            <w:r w:rsidRPr="00737C11">
              <w:rPr>
                <w:sz w:val="22"/>
                <w:szCs w:val="22"/>
                <w:lang w:eastAsia="en-US" w:bidi="ar-DZ"/>
              </w:rPr>
              <w:t xml:space="preserve">provide a ‘Reconciliation Table’ and projected </w:t>
            </w:r>
            <w:r w:rsidR="00CF3238">
              <w:rPr>
                <w:sz w:val="22"/>
                <w:szCs w:val="22"/>
                <w:lang w:eastAsia="en-US" w:bidi="ar-DZ"/>
              </w:rPr>
              <w:t xml:space="preserve">remaining </w:t>
            </w:r>
            <w:r w:rsidRPr="00737C11">
              <w:rPr>
                <w:sz w:val="22"/>
                <w:szCs w:val="22"/>
                <w:lang w:eastAsia="en-US" w:bidi="ar-DZ"/>
              </w:rPr>
              <w:t xml:space="preserve">expenditure to </w:t>
            </w:r>
            <w:r w:rsidR="00CF3238">
              <w:rPr>
                <w:sz w:val="22"/>
                <w:szCs w:val="22"/>
                <w:lang w:eastAsia="en-US" w:bidi="ar-DZ"/>
              </w:rPr>
              <w:t>the end of the contract period</w:t>
            </w:r>
            <w:r w:rsidRPr="00737C11">
              <w:rPr>
                <w:sz w:val="22"/>
                <w:szCs w:val="22"/>
                <w:lang w:eastAsia="en-US" w:bidi="ar-DZ"/>
              </w:rPr>
              <w:t xml:space="preserve">.  This information provides a summary of the Programmes’ financial position at a given point in time against approved budget allocations/sub-projects and provides a narrative review of disparities from the allocated budget for any line-item.  </w:t>
            </w:r>
            <w:r w:rsidR="00405A03" w:rsidRPr="007942C1">
              <w:rPr>
                <w:sz w:val="22"/>
                <w:szCs w:val="22"/>
                <w:lang w:eastAsia="en-US" w:bidi="ar-DZ"/>
              </w:rPr>
              <w:t xml:space="preserve">The </w:t>
            </w:r>
            <w:r w:rsidRPr="007942C1">
              <w:rPr>
                <w:sz w:val="22"/>
                <w:szCs w:val="22"/>
                <w:lang w:eastAsia="en-US" w:bidi="ar-DZ"/>
              </w:rPr>
              <w:t xml:space="preserve">Programme </w:t>
            </w:r>
            <w:r w:rsidR="00405A03">
              <w:rPr>
                <w:sz w:val="22"/>
                <w:szCs w:val="22"/>
                <w:lang w:eastAsia="en-US" w:bidi="ar-DZ"/>
              </w:rPr>
              <w:t xml:space="preserve">also </w:t>
            </w:r>
            <w:r w:rsidRPr="007942C1">
              <w:rPr>
                <w:sz w:val="22"/>
                <w:szCs w:val="22"/>
                <w:lang w:eastAsia="en-US" w:bidi="ar-DZ"/>
              </w:rPr>
              <w:t>provide</w:t>
            </w:r>
            <w:r w:rsidR="00405A03">
              <w:rPr>
                <w:sz w:val="22"/>
                <w:szCs w:val="22"/>
                <w:lang w:eastAsia="en-US" w:bidi="ar-DZ"/>
              </w:rPr>
              <w:t>s</w:t>
            </w:r>
            <w:r w:rsidRPr="007942C1">
              <w:rPr>
                <w:sz w:val="22"/>
                <w:szCs w:val="22"/>
                <w:lang w:eastAsia="en-US" w:bidi="ar-DZ"/>
              </w:rPr>
              <w:t xml:space="preserve"> as part of financial reporting to MFAT: projected expenditure for the remaining contract period; estimated invoice amounts per month for the remaining contract period; and total anticipated expenditure estimates (actual expenditure to-date plus projected remaining expenditure) for the contract period.</w:t>
            </w:r>
          </w:p>
        </w:tc>
      </w:tr>
      <w:tr w:rsidR="0039412B" w:rsidRPr="007942C1" w14:paraId="13E5072D" w14:textId="77777777" w:rsidTr="0067701D">
        <w:trPr>
          <w:trHeight w:val="72"/>
        </w:trPr>
        <w:tc>
          <w:tcPr>
            <w:tcW w:w="3119" w:type="dxa"/>
            <w:tcBorders>
              <w:top w:val="nil"/>
              <w:left w:val="nil"/>
              <w:bottom w:val="dotted" w:sz="4" w:space="0" w:color="auto"/>
              <w:right w:val="dotted" w:sz="4" w:space="0" w:color="auto"/>
            </w:tcBorders>
          </w:tcPr>
          <w:p w14:paraId="30563AAA" w14:textId="77777777" w:rsidR="0039412B" w:rsidRPr="007942C1" w:rsidRDefault="0039412B" w:rsidP="00794CC9">
            <w:pPr>
              <w:rPr>
                <w:b/>
                <w:i/>
              </w:rPr>
            </w:pPr>
          </w:p>
        </w:tc>
        <w:tc>
          <w:tcPr>
            <w:tcW w:w="3119" w:type="dxa"/>
            <w:tcBorders>
              <w:top w:val="dotted" w:sz="4" w:space="0" w:color="auto"/>
              <w:left w:val="dotted" w:sz="4" w:space="0" w:color="auto"/>
              <w:bottom w:val="dotted" w:sz="4" w:space="0" w:color="auto"/>
              <w:right w:val="dotted" w:sz="4" w:space="0" w:color="auto"/>
            </w:tcBorders>
          </w:tcPr>
          <w:p w14:paraId="771548BF" w14:textId="77777777" w:rsidR="0039412B" w:rsidRPr="007942C1" w:rsidRDefault="0039412B" w:rsidP="00FF2C4A">
            <w:pPr>
              <w:numPr>
                <w:ilvl w:val="0"/>
                <w:numId w:val="6"/>
              </w:numPr>
              <w:overflowPunct w:val="0"/>
              <w:autoSpaceDE w:val="0"/>
              <w:autoSpaceDN w:val="0"/>
              <w:adjustRightInd w:val="0"/>
              <w:ind w:left="216" w:hanging="216"/>
              <w:textAlignment w:val="baseline"/>
              <w:rPr>
                <w:lang w:eastAsia="en-US" w:bidi="ar-DZ"/>
              </w:rPr>
            </w:pPr>
            <w:r w:rsidRPr="007942C1">
              <w:rPr>
                <w:sz w:val="22"/>
                <w:szCs w:val="22"/>
                <w:lang w:eastAsia="en-US" w:bidi="ar-DZ"/>
              </w:rPr>
              <w:t>Systems facilitate efficient disbursement of payments.</w:t>
            </w:r>
          </w:p>
        </w:tc>
        <w:tc>
          <w:tcPr>
            <w:tcW w:w="8222" w:type="dxa"/>
            <w:tcBorders>
              <w:top w:val="dotted" w:sz="4" w:space="0" w:color="auto"/>
              <w:left w:val="dotted" w:sz="4" w:space="0" w:color="auto"/>
              <w:bottom w:val="dotted" w:sz="4" w:space="0" w:color="auto"/>
            </w:tcBorders>
          </w:tcPr>
          <w:p w14:paraId="0694C20C" w14:textId="77777777" w:rsidR="00405A03" w:rsidRPr="00405A03" w:rsidRDefault="0039412B" w:rsidP="00B669AB">
            <w:pPr>
              <w:numPr>
                <w:ilvl w:val="0"/>
                <w:numId w:val="6"/>
              </w:numPr>
              <w:overflowPunct w:val="0"/>
              <w:autoSpaceDE w:val="0"/>
              <w:autoSpaceDN w:val="0"/>
              <w:adjustRightInd w:val="0"/>
              <w:ind w:left="227" w:hanging="227"/>
              <w:textAlignment w:val="baseline"/>
              <w:rPr>
                <w:lang w:eastAsia="en-US" w:bidi="ar-DZ"/>
              </w:rPr>
            </w:pPr>
            <w:r w:rsidRPr="00B669AB">
              <w:rPr>
                <w:sz w:val="22"/>
                <w:szCs w:val="22"/>
                <w:lang w:eastAsia="en-US" w:bidi="ar-DZ"/>
              </w:rPr>
              <w:t xml:space="preserve">Close liaison with in-country counterparts (in particular </w:t>
            </w:r>
            <w:r w:rsidR="00405A03" w:rsidRPr="00B669AB">
              <w:rPr>
                <w:sz w:val="22"/>
                <w:szCs w:val="22"/>
                <w:lang w:eastAsia="en-US" w:bidi="ar-DZ"/>
              </w:rPr>
              <w:t xml:space="preserve">CJs and </w:t>
            </w:r>
            <w:r w:rsidRPr="00B669AB">
              <w:rPr>
                <w:sz w:val="22"/>
                <w:szCs w:val="22"/>
                <w:lang w:eastAsia="en-US" w:bidi="ar-DZ"/>
              </w:rPr>
              <w:t xml:space="preserve">NCs) as well as the approach of having a PJDP team member providing in-country support to the implementation of regional activities, has proved an effective way of facilitating efficient disbursement of payments for in-country activities.  </w:t>
            </w:r>
            <w:r w:rsidRPr="007942C1">
              <w:rPr>
                <w:sz w:val="22"/>
                <w:szCs w:val="22"/>
                <w:lang w:eastAsia="en-US" w:bidi="ar-DZ"/>
              </w:rPr>
              <w:t xml:space="preserve">Furthermore, financial management systems are in place to identify potential under-spends in approved activities for subsequently re-allocation to alternate / new activities. </w:t>
            </w:r>
          </w:p>
        </w:tc>
      </w:tr>
      <w:tr w:rsidR="0039412B" w:rsidRPr="007942C1" w14:paraId="505F2017" w14:textId="77777777" w:rsidTr="0067701D">
        <w:trPr>
          <w:trHeight w:val="72"/>
        </w:trPr>
        <w:tc>
          <w:tcPr>
            <w:tcW w:w="3119" w:type="dxa"/>
            <w:tcBorders>
              <w:top w:val="dotted" w:sz="4" w:space="0" w:color="auto"/>
              <w:left w:val="nil"/>
              <w:bottom w:val="dotted" w:sz="4" w:space="0" w:color="auto"/>
              <w:right w:val="dotted" w:sz="4" w:space="0" w:color="auto"/>
            </w:tcBorders>
          </w:tcPr>
          <w:p w14:paraId="54510165" w14:textId="77777777" w:rsidR="0039412B" w:rsidRPr="007942C1" w:rsidRDefault="0039412B" w:rsidP="00794CC9">
            <w:pPr>
              <w:rPr>
                <w:b/>
                <w:i/>
              </w:rPr>
            </w:pPr>
          </w:p>
        </w:tc>
        <w:tc>
          <w:tcPr>
            <w:tcW w:w="3119" w:type="dxa"/>
            <w:tcBorders>
              <w:top w:val="dotted" w:sz="4" w:space="0" w:color="auto"/>
              <w:left w:val="dotted" w:sz="4" w:space="0" w:color="auto"/>
              <w:bottom w:val="dotted" w:sz="4" w:space="0" w:color="auto"/>
              <w:right w:val="dotted" w:sz="4" w:space="0" w:color="auto"/>
            </w:tcBorders>
          </w:tcPr>
          <w:p w14:paraId="42AF546F" w14:textId="77777777" w:rsidR="0039412B" w:rsidRPr="007942C1" w:rsidRDefault="0039412B" w:rsidP="00FF2C4A">
            <w:pPr>
              <w:numPr>
                <w:ilvl w:val="0"/>
                <w:numId w:val="6"/>
              </w:numPr>
              <w:overflowPunct w:val="0"/>
              <w:autoSpaceDE w:val="0"/>
              <w:autoSpaceDN w:val="0"/>
              <w:adjustRightInd w:val="0"/>
              <w:ind w:left="216" w:hanging="216"/>
              <w:textAlignment w:val="baseline"/>
              <w:rPr>
                <w:lang w:eastAsia="en-US" w:bidi="ar-DZ"/>
              </w:rPr>
            </w:pPr>
            <w:r w:rsidRPr="007942C1">
              <w:rPr>
                <w:sz w:val="22"/>
                <w:szCs w:val="22"/>
                <w:lang w:eastAsia="en-US" w:bidi="ar-DZ"/>
              </w:rPr>
              <w:t>Provides for efficient and cost-effective use of taxpayers’ funds.</w:t>
            </w:r>
          </w:p>
        </w:tc>
        <w:tc>
          <w:tcPr>
            <w:tcW w:w="8222" w:type="dxa"/>
            <w:tcBorders>
              <w:top w:val="dotted" w:sz="4" w:space="0" w:color="auto"/>
              <w:left w:val="dotted" w:sz="4" w:space="0" w:color="auto"/>
              <w:bottom w:val="dotted" w:sz="4" w:space="0" w:color="auto"/>
            </w:tcBorders>
          </w:tcPr>
          <w:p w14:paraId="5B4710DF" w14:textId="77777777" w:rsidR="0039412B" w:rsidRPr="007942C1" w:rsidRDefault="0039412B" w:rsidP="00B669AB">
            <w:pPr>
              <w:numPr>
                <w:ilvl w:val="0"/>
                <w:numId w:val="6"/>
              </w:numPr>
              <w:overflowPunct w:val="0"/>
              <w:autoSpaceDE w:val="0"/>
              <w:autoSpaceDN w:val="0"/>
              <w:adjustRightInd w:val="0"/>
              <w:ind w:left="227" w:hanging="227"/>
              <w:textAlignment w:val="baseline"/>
              <w:rPr>
                <w:lang w:eastAsia="en-US" w:bidi="ar-DZ"/>
              </w:rPr>
            </w:pPr>
            <w:r w:rsidRPr="007942C1">
              <w:rPr>
                <w:sz w:val="22"/>
                <w:szCs w:val="22"/>
                <w:lang w:eastAsia="en-US" w:bidi="ar-DZ"/>
              </w:rPr>
              <w:t xml:space="preserve">The approach adopted by the MSC, promotes cost-efficiency by ensuring the highest quality goods and services are procured at the lowest possible prices. </w:t>
            </w:r>
            <w:r w:rsidR="00B669AB">
              <w:rPr>
                <w:sz w:val="22"/>
                <w:szCs w:val="22"/>
                <w:lang w:eastAsia="en-US" w:bidi="ar-DZ"/>
              </w:rPr>
              <w:t xml:space="preserve"> All procurement is made in line with government procurement guidelines, and </w:t>
            </w:r>
            <w:r w:rsidRPr="007942C1">
              <w:rPr>
                <w:sz w:val="22"/>
                <w:szCs w:val="22"/>
                <w:lang w:eastAsia="en-US" w:bidi="ar-DZ"/>
              </w:rPr>
              <w:t xml:space="preserve">the FCA as </w:t>
            </w:r>
            <w:r w:rsidRPr="007942C1">
              <w:rPr>
                <w:rFonts w:cs="Calibri"/>
                <w:iCs/>
                <w:sz w:val="22"/>
                <w:szCs w:val="22"/>
              </w:rPr>
              <w:t xml:space="preserve">a government entity </w:t>
            </w:r>
            <w:r w:rsidR="00405A03">
              <w:rPr>
                <w:rFonts w:cs="Calibri"/>
                <w:iCs/>
                <w:sz w:val="22"/>
                <w:szCs w:val="22"/>
              </w:rPr>
              <w:t xml:space="preserve">continues to be </w:t>
            </w:r>
            <w:r w:rsidRPr="007942C1">
              <w:rPr>
                <w:rFonts w:cs="Calibri"/>
                <w:iCs/>
                <w:sz w:val="22"/>
                <w:szCs w:val="22"/>
              </w:rPr>
              <w:t xml:space="preserve">able to claim back all Australian GST.  </w:t>
            </w:r>
          </w:p>
        </w:tc>
      </w:tr>
      <w:tr w:rsidR="00270E1B" w:rsidRPr="007942C1" w14:paraId="59D91BE5" w14:textId="77777777" w:rsidTr="0067701D">
        <w:trPr>
          <w:trHeight w:val="72"/>
        </w:trPr>
        <w:tc>
          <w:tcPr>
            <w:tcW w:w="3119" w:type="dxa"/>
            <w:tcBorders>
              <w:top w:val="dotted" w:sz="4" w:space="0" w:color="auto"/>
              <w:left w:val="nil"/>
              <w:bottom w:val="dotted" w:sz="4" w:space="0" w:color="auto"/>
              <w:right w:val="dotted" w:sz="4" w:space="0" w:color="auto"/>
            </w:tcBorders>
          </w:tcPr>
          <w:p w14:paraId="6C5EED77" w14:textId="77777777" w:rsidR="00270E1B" w:rsidRPr="007942C1" w:rsidRDefault="00270E1B" w:rsidP="00270E1B">
            <w:pPr>
              <w:rPr>
                <w:b/>
                <w:i/>
              </w:rPr>
            </w:pPr>
          </w:p>
        </w:tc>
        <w:tc>
          <w:tcPr>
            <w:tcW w:w="3119" w:type="dxa"/>
            <w:tcBorders>
              <w:top w:val="dotted" w:sz="4" w:space="0" w:color="auto"/>
              <w:left w:val="dotted" w:sz="4" w:space="0" w:color="auto"/>
              <w:bottom w:val="dotted" w:sz="4" w:space="0" w:color="auto"/>
              <w:right w:val="dotted" w:sz="4" w:space="0" w:color="auto"/>
            </w:tcBorders>
          </w:tcPr>
          <w:p w14:paraId="10C8E9A4" w14:textId="77777777" w:rsidR="00270E1B" w:rsidRPr="007942C1" w:rsidRDefault="00270E1B" w:rsidP="00270E1B">
            <w:pPr>
              <w:numPr>
                <w:ilvl w:val="0"/>
                <w:numId w:val="6"/>
              </w:numPr>
              <w:overflowPunct w:val="0"/>
              <w:autoSpaceDE w:val="0"/>
              <w:autoSpaceDN w:val="0"/>
              <w:adjustRightInd w:val="0"/>
              <w:ind w:left="216" w:hanging="216"/>
              <w:textAlignment w:val="baseline"/>
              <w:rPr>
                <w:lang w:eastAsia="en-US" w:bidi="ar-DZ"/>
              </w:rPr>
            </w:pPr>
            <w:r w:rsidRPr="007942C1">
              <w:rPr>
                <w:sz w:val="20"/>
              </w:rPr>
              <w:t>All reasonable steps must be undertaken by the MSC to ensure PJDP underspends (if any) during the implementation period are utilised promptly to undertake PEC and MFAT approved activities.</w:t>
            </w:r>
          </w:p>
        </w:tc>
        <w:tc>
          <w:tcPr>
            <w:tcW w:w="8222" w:type="dxa"/>
            <w:tcBorders>
              <w:top w:val="dotted" w:sz="4" w:space="0" w:color="auto"/>
              <w:left w:val="dotted" w:sz="4" w:space="0" w:color="auto"/>
              <w:bottom w:val="dotted" w:sz="4" w:space="0" w:color="auto"/>
            </w:tcBorders>
          </w:tcPr>
          <w:p w14:paraId="06B7F25A" w14:textId="77777777" w:rsidR="00270E1B" w:rsidRPr="007942C1" w:rsidRDefault="00270E1B" w:rsidP="00A313B5">
            <w:pPr>
              <w:numPr>
                <w:ilvl w:val="0"/>
                <w:numId w:val="6"/>
              </w:numPr>
              <w:overflowPunct w:val="0"/>
              <w:autoSpaceDE w:val="0"/>
              <w:autoSpaceDN w:val="0"/>
              <w:adjustRightInd w:val="0"/>
              <w:ind w:left="227" w:hanging="227"/>
              <w:textAlignment w:val="baseline"/>
              <w:rPr>
                <w:lang w:eastAsia="en-US" w:bidi="ar-DZ"/>
              </w:rPr>
            </w:pPr>
            <w:r w:rsidRPr="007942C1">
              <w:rPr>
                <w:sz w:val="22"/>
                <w:szCs w:val="22"/>
                <w:lang w:eastAsia="en-US" w:bidi="ar-DZ"/>
              </w:rPr>
              <w:t xml:space="preserve">The Programme </w:t>
            </w:r>
            <w:r>
              <w:rPr>
                <w:sz w:val="22"/>
                <w:szCs w:val="22"/>
                <w:lang w:eastAsia="en-US" w:bidi="ar-DZ"/>
              </w:rPr>
              <w:t xml:space="preserve">uses </w:t>
            </w:r>
            <w:r w:rsidRPr="007942C1">
              <w:rPr>
                <w:sz w:val="22"/>
                <w:szCs w:val="22"/>
                <w:lang w:eastAsia="en-US" w:bidi="ar-DZ"/>
              </w:rPr>
              <w:t>financial management protocols</w:t>
            </w:r>
            <w:r>
              <w:rPr>
                <w:sz w:val="22"/>
                <w:szCs w:val="22"/>
                <w:lang w:eastAsia="en-US" w:bidi="ar-DZ"/>
              </w:rPr>
              <w:t xml:space="preserve"> that </w:t>
            </w:r>
            <w:r w:rsidRPr="007942C1">
              <w:rPr>
                <w:sz w:val="22"/>
                <w:szCs w:val="22"/>
                <w:lang w:eastAsia="en-US" w:bidi="ar-DZ"/>
              </w:rPr>
              <w:t>includ</w:t>
            </w:r>
            <w:r>
              <w:rPr>
                <w:sz w:val="22"/>
                <w:szCs w:val="22"/>
                <w:lang w:eastAsia="en-US" w:bidi="ar-DZ"/>
              </w:rPr>
              <w:t>e</w:t>
            </w:r>
            <w:r w:rsidRPr="007942C1">
              <w:rPr>
                <w:sz w:val="22"/>
                <w:szCs w:val="22"/>
                <w:lang w:eastAsia="en-US" w:bidi="ar-DZ"/>
              </w:rPr>
              <w:t>: the development of detailed expenditure projections, the development of ‘</w:t>
            </w:r>
            <w:r>
              <w:rPr>
                <w:sz w:val="22"/>
                <w:szCs w:val="22"/>
                <w:lang w:eastAsia="en-US" w:bidi="ar-DZ"/>
              </w:rPr>
              <w:t>Additional Activity</w:t>
            </w:r>
            <w:r w:rsidRPr="007942C1">
              <w:rPr>
                <w:sz w:val="22"/>
                <w:szCs w:val="22"/>
                <w:lang w:eastAsia="en-US" w:bidi="ar-DZ"/>
              </w:rPr>
              <w:t xml:space="preserve">’ </w:t>
            </w:r>
            <w:r>
              <w:rPr>
                <w:sz w:val="22"/>
                <w:szCs w:val="22"/>
                <w:lang w:eastAsia="en-US" w:bidi="ar-DZ"/>
              </w:rPr>
              <w:t>budgets</w:t>
            </w:r>
            <w:r w:rsidRPr="007942C1">
              <w:rPr>
                <w:sz w:val="22"/>
                <w:szCs w:val="22"/>
                <w:lang w:eastAsia="en-US" w:bidi="ar-DZ"/>
              </w:rPr>
              <w:t xml:space="preserve">; and </w:t>
            </w:r>
            <w:r>
              <w:rPr>
                <w:sz w:val="22"/>
                <w:szCs w:val="22"/>
                <w:lang w:eastAsia="en-US" w:bidi="ar-DZ"/>
              </w:rPr>
              <w:t>‘</w:t>
            </w:r>
            <w:r w:rsidRPr="00405A03">
              <w:rPr>
                <w:i/>
                <w:sz w:val="22"/>
                <w:szCs w:val="22"/>
              </w:rPr>
              <w:t xml:space="preserve">Additional In-PIC Activity </w:t>
            </w:r>
            <w:r w:rsidRPr="001E05D7">
              <w:rPr>
                <w:i/>
                <w:sz w:val="22"/>
                <w:szCs w:val="22"/>
              </w:rPr>
              <w:t>Priorities</w:t>
            </w:r>
            <w:r w:rsidRPr="001E05D7">
              <w:rPr>
                <w:sz w:val="22"/>
                <w:szCs w:val="22"/>
              </w:rPr>
              <w:t xml:space="preserve">’ </w:t>
            </w:r>
            <w:r w:rsidRPr="001E05D7">
              <w:rPr>
                <w:iCs/>
                <w:sz w:val="22"/>
                <w:szCs w:val="22"/>
                <w:lang w:eastAsia="en-US" w:bidi="ar-DZ"/>
              </w:rPr>
              <w:t>which streamline the re-allocation of underspends</w:t>
            </w:r>
            <w:r w:rsidRPr="001E05D7">
              <w:rPr>
                <w:sz w:val="22"/>
                <w:szCs w:val="22"/>
                <w:lang w:eastAsia="en-US" w:bidi="ar-DZ"/>
              </w:rPr>
              <w:t xml:space="preserve">.  The efficacy of these systems is illustrated by both: the finalisation of two LoVs in the most recent reporting period; and the fact that </w:t>
            </w:r>
            <w:r w:rsidR="00C94C7D">
              <w:rPr>
                <w:sz w:val="22"/>
                <w:szCs w:val="22"/>
                <w:lang w:eastAsia="en-US" w:bidi="ar-DZ"/>
              </w:rPr>
              <w:t xml:space="preserve">estimated </w:t>
            </w:r>
            <w:r w:rsidRPr="001E05D7">
              <w:rPr>
                <w:sz w:val="22"/>
                <w:szCs w:val="22"/>
                <w:lang w:eastAsia="en-US" w:bidi="ar-DZ"/>
              </w:rPr>
              <w:t xml:space="preserve">expenditure </w:t>
            </w:r>
            <w:r w:rsidRPr="001E05D7">
              <w:rPr>
                <w:rFonts w:cs="Calibri"/>
                <w:iCs/>
                <w:sz w:val="22"/>
                <w:szCs w:val="22"/>
              </w:rPr>
              <w:t>at the end of the financial year</w:t>
            </w:r>
            <w:r w:rsidR="00C94C7D">
              <w:rPr>
                <w:rFonts w:cs="Calibri"/>
                <w:iCs/>
                <w:sz w:val="22"/>
                <w:szCs w:val="22"/>
              </w:rPr>
              <w:t xml:space="preserve"> 2013</w:t>
            </w:r>
            <w:r w:rsidR="00A313B5">
              <w:rPr>
                <w:rFonts w:cs="Calibri"/>
                <w:iCs/>
                <w:sz w:val="22"/>
                <w:szCs w:val="22"/>
              </w:rPr>
              <w:t xml:space="preserve"> </w:t>
            </w:r>
            <w:r w:rsidR="00C94C7D">
              <w:rPr>
                <w:rFonts w:cs="Calibri"/>
                <w:iCs/>
                <w:sz w:val="22"/>
                <w:szCs w:val="22"/>
              </w:rPr>
              <w:t>/</w:t>
            </w:r>
            <w:r w:rsidR="00A313B5">
              <w:rPr>
                <w:rFonts w:cs="Calibri"/>
                <w:iCs/>
                <w:sz w:val="22"/>
                <w:szCs w:val="22"/>
              </w:rPr>
              <w:t xml:space="preserve"> </w:t>
            </w:r>
            <w:r w:rsidR="00C94C7D">
              <w:rPr>
                <w:rFonts w:cs="Calibri"/>
                <w:iCs/>
                <w:sz w:val="22"/>
                <w:szCs w:val="22"/>
              </w:rPr>
              <w:t>2014</w:t>
            </w:r>
            <w:r w:rsidRPr="001E05D7">
              <w:rPr>
                <w:rFonts w:cs="Calibri"/>
                <w:iCs/>
                <w:sz w:val="22"/>
                <w:szCs w:val="22"/>
              </w:rPr>
              <w:t xml:space="preserve"> </w:t>
            </w:r>
            <w:r w:rsidRPr="001E05D7">
              <w:rPr>
                <w:sz w:val="22"/>
                <w:szCs w:val="22"/>
              </w:rPr>
              <w:t xml:space="preserve">is </w:t>
            </w:r>
            <w:r w:rsidR="00C94C7D">
              <w:rPr>
                <w:sz w:val="22"/>
                <w:szCs w:val="22"/>
              </w:rPr>
              <w:t xml:space="preserve">over the </w:t>
            </w:r>
            <w:r w:rsidR="00A313B5">
              <w:rPr>
                <w:sz w:val="22"/>
                <w:szCs w:val="22"/>
              </w:rPr>
              <w:t xml:space="preserve">MFAT approved </w:t>
            </w:r>
            <w:r w:rsidR="00C94C7D">
              <w:rPr>
                <w:sz w:val="22"/>
                <w:szCs w:val="22"/>
              </w:rPr>
              <w:t xml:space="preserve">expenditure projections </w:t>
            </w:r>
            <w:r w:rsidR="00A313B5">
              <w:rPr>
                <w:sz w:val="22"/>
                <w:szCs w:val="22"/>
              </w:rPr>
              <w:t xml:space="preserve">of November 2013 </w:t>
            </w:r>
            <w:r w:rsidR="00C94C7D">
              <w:rPr>
                <w:sz w:val="22"/>
                <w:szCs w:val="22"/>
              </w:rPr>
              <w:t>by 4.8</w:t>
            </w:r>
            <w:r w:rsidR="00C94C7D" w:rsidRPr="00905AEF">
              <w:rPr>
                <w:sz w:val="22"/>
                <w:szCs w:val="22"/>
              </w:rPr>
              <w:t>%</w:t>
            </w:r>
            <w:r w:rsidR="00A313B5" w:rsidRPr="00905AEF">
              <w:rPr>
                <w:sz w:val="22"/>
                <w:szCs w:val="22"/>
              </w:rPr>
              <w:t xml:space="preserve"> </w:t>
            </w:r>
            <w:r w:rsidR="002066E9" w:rsidRPr="00905AEF">
              <w:rPr>
                <w:sz w:val="22"/>
                <w:szCs w:val="22"/>
                <w:lang w:eastAsia="ja-JP"/>
              </w:rPr>
              <w:t>in accordance with MFAT’s direction that the MSC should aim to exceed projected expenditure targets if possible.</w:t>
            </w:r>
          </w:p>
        </w:tc>
      </w:tr>
      <w:tr w:rsidR="00270E1B" w:rsidRPr="007942C1" w14:paraId="680DBA2E" w14:textId="77777777" w:rsidTr="0067701D">
        <w:trPr>
          <w:trHeight w:val="72"/>
        </w:trPr>
        <w:tc>
          <w:tcPr>
            <w:tcW w:w="3119" w:type="dxa"/>
            <w:tcBorders>
              <w:left w:val="nil"/>
              <w:bottom w:val="nil"/>
              <w:right w:val="dotted" w:sz="4" w:space="0" w:color="auto"/>
            </w:tcBorders>
          </w:tcPr>
          <w:p w14:paraId="790FF8AE" w14:textId="77777777" w:rsidR="00270E1B" w:rsidRPr="007942C1" w:rsidRDefault="00270E1B" w:rsidP="00270E1B">
            <w:pPr>
              <w:numPr>
                <w:ilvl w:val="0"/>
                <w:numId w:val="7"/>
              </w:numPr>
              <w:spacing w:before="120"/>
              <w:ind w:left="227" w:hanging="227"/>
              <w:rPr>
                <w:b/>
                <w:i/>
              </w:rPr>
            </w:pPr>
            <w:r w:rsidRPr="007942C1">
              <w:rPr>
                <w:b/>
                <w:i/>
                <w:sz w:val="22"/>
                <w:szCs w:val="22"/>
              </w:rPr>
              <w:lastRenderedPageBreak/>
              <w:t>Monitoring systems and processes</w:t>
            </w:r>
          </w:p>
        </w:tc>
        <w:tc>
          <w:tcPr>
            <w:tcW w:w="3119" w:type="dxa"/>
            <w:tcBorders>
              <w:left w:val="dotted" w:sz="4" w:space="0" w:color="auto"/>
              <w:bottom w:val="dotted" w:sz="4" w:space="0" w:color="auto"/>
              <w:right w:val="dotted" w:sz="4" w:space="0" w:color="auto"/>
            </w:tcBorders>
          </w:tcPr>
          <w:p w14:paraId="74C418E7" w14:textId="77777777" w:rsidR="00270E1B" w:rsidRPr="007942C1" w:rsidRDefault="00270E1B" w:rsidP="00270E1B">
            <w:pPr>
              <w:numPr>
                <w:ilvl w:val="0"/>
                <w:numId w:val="6"/>
              </w:numPr>
              <w:overflowPunct w:val="0"/>
              <w:autoSpaceDE w:val="0"/>
              <w:autoSpaceDN w:val="0"/>
              <w:adjustRightInd w:val="0"/>
              <w:spacing w:before="120"/>
              <w:ind w:left="216" w:hanging="216"/>
              <w:textAlignment w:val="baseline"/>
              <w:rPr>
                <w:lang w:eastAsia="en-US" w:bidi="ar-DZ"/>
              </w:rPr>
            </w:pPr>
            <w:r w:rsidRPr="007942C1">
              <w:rPr>
                <w:sz w:val="22"/>
                <w:szCs w:val="22"/>
                <w:lang w:eastAsia="en-US" w:bidi="ar-DZ"/>
              </w:rPr>
              <w:t>Comprehensive monitoring system implemented to meet Contract and Programme requirements.</w:t>
            </w:r>
          </w:p>
        </w:tc>
        <w:tc>
          <w:tcPr>
            <w:tcW w:w="8222" w:type="dxa"/>
            <w:tcBorders>
              <w:left w:val="dotted" w:sz="4" w:space="0" w:color="auto"/>
              <w:bottom w:val="dotted" w:sz="4" w:space="0" w:color="auto"/>
            </w:tcBorders>
          </w:tcPr>
          <w:p w14:paraId="21FC5320" w14:textId="77777777" w:rsidR="00270E1B" w:rsidRPr="007942C1" w:rsidRDefault="00270E1B" w:rsidP="0004011D">
            <w:pPr>
              <w:numPr>
                <w:ilvl w:val="0"/>
                <w:numId w:val="6"/>
              </w:numPr>
              <w:overflowPunct w:val="0"/>
              <w:autoSpaceDE w:val="0"/>
              <w:autoSpaceDN w:val="0"/>
              <w:adjustRightInd w:val="0"/>
              <w:spacing w:before="120"/>
              <w:ind w:left="227" w:hanging="227"/>
              <w:textAlignment w:val="baseline"/>
              <w:rPr>
                <w:lang w:eastAsia="en-US" w:bidi="ar-DZ"/>
              </w:rPr>
            </w:pPr>
            <w:r w:rsidRPr="007942C1">
              <w:rPr>
                <w:sz w:val="22"/>
                <w:szCs w:val="22"/>
                <w:lang w:eastAsia="en-US" w:bidi="ar-DZ"/>
              </w:rPr>
              <w:t xml:space="preserve">The Programme is MEF in place and approved by the PEC and updated in line with feedback received from the MTA.  The MSC has previously conducted an internal review of its management of the PJDP.  The Programme also undertakes ongoing monitoring of leadership and training activities with post-activity surveys being conducted and reported on to assess quality of, satisfaction with, and knowledge gained as a result of the services provided by the Programme.  The PJDP </w:t>
            </w:r>
            <w:r w:rsidR="0004011D">
              <w:rPr>
                <w:sz w:val="22"/>
                <w:szCs w:val="22"/>
                <w:lang w:eastAsia="en-US" w:bidi="ar-DZ"/>
              </w:rPr>
              <w:t xml:space="preserve">has </w:t>
            </w:r>
            <w:r w:rsidRPr="007942C1">
              <w:rPr>
                <w:sz w:val="22"/>
                <w:szCs w:val="22"/>
                <w:lang w:eastAsia="en-US" w:bidi="ar-DZ"/>
              </w:rPr>
              <w:t xml:space="preserve">also </w:t>
            </w:r>
            <w:r w:rsidR="0004011D">
              <w:rPr>
                <w:sz w:val="22"/>
                <w:szCs w:val="22"/>
                <w:lang w:eastAsia="en-US" w:bidi="ar-DZ"/>
              </w:rPr>
              <w:t xml:space="preserve">undertaken </w:t>
            </w:r>
            <w:r w:rsidRPr="007942C1">
              <w:rPr>
                <w:sz w:val="22"/>
                <w:szCs w:val="22"/>
                <w:lang w:eastAsia="en-US" w:bidi="ar-DZ"/>
              </w:rPr>
              <w:t>a comprehensive mid-Programme assessment of</w:t>
            </w:r>
            <w:r w:rsidR="0004011D">
              <w:rPr>
                <w:sz w:val="22"/>
                <w:szCs w:val="22"/>
                <w:lang w:eastAsia="en-US" w:bidi="ar-DZ"/>
              </w:rPr>
              <w:t xml:space="preserve"> all aspects of the Programme at the end of the 18-month implementation period and the 12-month extension period.  </w:t>
            </w:r>
            <w:r w:rsidRPr="007942C1">
              <w:rPr>
                <w:sz w:val="22"/>
                <w:szCs w:val="22"/>
                <w:lang w:eastAsia="en-US" w:bidi="ar-DZ"/>
              </w:rPr>
              <w:t>The outcomes of these assessments are fully reported as part of</w:t>
            </w:r>
            <w:r w:rsidR="0004011D">
              <w:rPr>
                <w:sz w:val="22"/>
                <w:szCs w:val="22"/>
                <w:lang w:eastAsia="en-US" w:bidi="ar-DZ"/>
              </w:rPr>
              <w:t xml:space="preserve"> earlier 6-monthly reports</w:t>
            </w:r>
            <w:r w:rsidRPr="007942C1">
              <w:rPr>
                <w:sz w:val="22"/>
                <w:szCs w:val="22"/>
                <w:lang w:eastAsia="en-US" w:bidi="ar-DZ"/>
              </w:rPr>
              <w:t>.  Furthermore, the PJDP Team undertakes ongoing liaison with counterparts to monitor progress, obtain feedback, and identify whether any further monitoring activities are required.</w:t>
            </w:r>
          </w:p>
        </w:tc>
      </w:tr>
      <w:tr w:rsidR="00270E1B" w:rsidRPr="007942C1" w14:paraId="41F1B6C3" w14:textId="77777777" w:rsidTr="0067701D">
        <w:trPr>
          <w:trHeight w:val="72"/>
        </w:trPr>
        <w:tc>
          <w:tcPr>
            <w:tcW w:w="3119" w:type="dxa"/>
            <w:tcBorders>
              <w:top w:val="nil"/>
              <w:left w:val="nil"/>
              <w:right w:val="dotted" w:sz="4" w:space="0" w:color="auto"/>
            </w:tcBorders>
          </w:tcPr>
          <w:p w14:paraId="71AC6275" w14:textId="77777777" w:rsidR="00270E1B" w:rsidRPr="007942C1" w:rsidRDefault="00270E1B" w:rsidP="00270E1B">
            <w:pPr>
              <w:rPr>
                <w:b/>
                <w:i/>
              </w:rPr>
            </w:pPr>
          </w:p>
        </w:tc>
        <w:tc>
          <w:tcPr>
            <w:tcW w:w="3119" w:type="dxa"/>
            <w:tcBorders>
              <w:top w:val="dotted" w:sz="4" w:space="0" w:color="auto"/>
              <w:left w:val="dotted" w:sz="4" w:space="0" w:color="auto"/>
              <w:right w:val="dotted" w:sz="4" w:space="0" w:color="auto"/>
            </w:tcBorders>
          </w:tcPr>
          <w:p w14:paraId="7D4A03FB" w14:textId="77777777" w:rsidR="00270E1B" w:rsidRPr="007942C1" w:rsidRDefault="00270E1B" w:rsidP="00270E1B">
            <w:pPr>
              <w:numPr>
                <w:ilvl w:val="0"/>
                <w:numId w:val="32"/>
              </w:numPr>
              <w:overflowPunct w:val="0"/>
              <w:autoSpaceDE w:val="0"/>
              <w:autoSpaceDN w:val="0"/>
              <w:adjustRightInd w:val="0"/>
              <w:ind w:left="227" w:hanging="227"/>
              <w:textAlignment w:val="baseline"/>
              <w:rPr>
                <w:lang w:eastAsia="en-US" w:bidi="ar-DZ"/>
              </w:rPr>
            </w:pPr>
            <w:r w:rsidRPr="007942C1">
              <w:rPr>
                <w:sz w:val="22"/>
                <w:szCs w:val="22"/>
                <w:lang w:eastAsia="en-US" w:bidi="ar-DZ"/>
              </w:rPr>
              <w:t>Systematic, proactive, risk sensitive, timely, and to agreed specifications.</w:t>
            </w:r>
          </w:p>
        </w:tc>
        <w:tc>
          <w:tcPr>
            <w:tcW w:w="8222" w:type="dxa"/>
            <w:tcBorders>
              <w:top w:val="dotted" w:sz="4" w:space="0" w:color="auto"/>
              <w:left w:val="dotted" w:sz="4" w:space="0" w:color="auto"/>
            </w:tcBorders>
          </w:tcPr>
          <w:p w14:paraId="1B87C087" w14:textId="77777777" w:rsidR="00270E1B" w:rsidRPr="007942C1" w:rsidRDefault="00270E1B" w:rsidP="007029F3">
            <w:pPr>
              <w:numPr>
                <w:ilvl w:val="0"/>
                <w:numId w:val="32"/>
              </w:numPr>
              <w:overflowPunct w:val="0"/>
              <w:autoSpaceDE w:val="0"/>
              <w:autoSpaceDN w:val="0"/>
              <w:adjustRightInd w:val="0"/>
              <w:ind w:left="227" w:hanging="227"/>
              <w:textAlignment w:val="baseline"/>
              <w:rPr>
                <w:lang w:eastAsia="en-US" w:bidi="ar-DZ"/>
              </w:rPr>
            </w:pPr>
            <w:r w:rsidRPr="007942C1">
              <w:rPr>
                <w:sz w:val="22"/>
                <w:szCs w:val="22"/>
                <w:lang w:eastAsia="en-US" w:bidi="ar-DZ"/>
              </w:rPr>
              <w:t xml:space="preserve">Monitoring of activities and inputs is undertaken continually from both management and counterpart perspectives to ensure they adhere to agreed parameters in terms of activity design and the MEF.  Each activity undertaken has standard monitoring activities incorporated into it.  </w:t>
            </w:r>
            <w:r w:rsidRPr="007942C1">
              <w:rPr>
                <w:sz w:val="22"/>
                <w:szCs w:val="22"/>
              </w:rPr>
              <w:t>With regards to monitoring participants of PJDP training activities, monitoring activities have included: immediate post training knowledge improvement assessments; participant post-training assessments (at least 3-6 months after the completion of training workshops); court leadership/supervisors questionnaires to identify any changes in work approach, and whether any improvement in performance has occurred subsequent to the PJDP activities. </w:t>
            </w:r>
          </w:p>
        </w:tc>
      </w:tr>
      <w:tr w:rsidR="00270E1B" w:rsidRPr="007942C1" w14:paraId="181AB6BE" w14:textId="77777777" w:rsidTr="0067701D">
        <w:trPr>
          <w:trHeight w:val="72"/>
        </w:trPr>
        <w:tc>
          <w:tcPr>
            <w:tcW w:w="3119" w:type="dxa"/>
            <w:tcBorders>
              <w:left w:val="nil"/>
              <w:right w:val="dotted" w:sz="4" w:space="0" w:color="auto"/>
            </w:tcBorders>
          </w:tcPr>
          <w:p w14:paraId="70FD27C2" w14:textId="77777777" w:rsidR="00270E1B" w:rsidRPr="007942C1" w:rsidRDefault="00270E1B" w:rsidP="00270E1B">
            <w:pPr>
              <w:numPr>
                <w:ilvl w:val="0"/>
                <w:numId w:val="7"/>
              </w:numPr>
              <w:spacing w:before="120"/>
              <w:ind w:left="227" w:hanging="227"/>
              <w:rPr>
                <w:b/>
                <w:i/>
              </w:rPr>
            </w:pPr>
            <w:r w:rsidRPr="007942C1">
              <w:rPr>
                <w:b/>
                <w:i/>
                <w:sz w:val="22"/>
                <w:szCs w:val="22"/>
              </w:rPr>
              <w:t>Reporting and Evaluation systems</w:t>
            </w:r>
          </w:p>
        </w:tc>
        <w:tc>
          <w:tcPr>
            <w:tcW w:w="3119" w:type="dxa"/>
            <w:tcBorders>
              <w:left w:val="dotted" w:sz="4" w:space="0" w:color="auto"/>
              <w:right w:val="dotted" w:sz="4" w:space="0" w:color="auto"/>
            </w:tcBorders>
          </w:tcPr>
          <w:p w14:paraId="3AEB4446" w14:textId="77777777" w:rsidR="00270E1B" w:rsidRPr="007942C1" w:rsidRDefault="00270E1B" w:rsidP="00270E1B">
            <w:pPr>
              <w:numPr>
                <w:ilvl w:val="0"/>
                <w:numId w:val="32"/>
              </w:numPr>
              <w:overflowPunct w:val="0"/>
              <w:autoSpaceDE w:val="0"/>
              <w:autoSpaceDN w:val="0"/>
              <w:adjustRightInd w:val="0"/>
              <w:spacing w:before="120"/>
              <w:ind w:left="227" w:hanging="227"/>
              <w:textAlignment w:val="baseline"/>
              <w:rPr>
                <w:lang w:eastAsia="en-US" w:bidi="ar-DZ"/>
              </w:rPr>
            </w:pPr>
            <w:r w:rsidRPr="007942C1">
              <w:rPr>
                <w:sz w:val="22"/>
                <w:szCs w:val="22"/>
                <w:lang w:eastAsia="en-US" w:bidi="ar-DZ"/>
              </w:rPr>
              <w:t>Timely, comprehensive, risk identified and management of the information is analytical and evaluative.</w:t>
            </w:r>
          </w:p>
        </w:tc>
        <w:tc>
          <w:tcPr>
            <w:tcW w:w="8222" w:type="dxa"/>
            <w:tcBorders>
              <w:left w:val="dotted" w:sz="4" w:space="0" w:color="auto"/>
            </w:tcBorders>
          </w:tcPr>
          <w:p w14:paraId="6EA70293" w14:textId="77777777" w:rsidR="00270E1B" w:rsidRPr="007942C1" w:rsidRDefault="00270E1B" w:rsidP="0004011D">
            <w:pPr>
              <w:numPr>
                <w:ilvl w:val="0"/>
                <w:numId w:val="32"/>
              </w:numPr>
              <w:overflowPunct w:val="0"/>
              <w:autoSpaceDE w:val="0"/>
              <w:autoSpaceDN w:val="0"/>
              <w:adjustRightInd w:val="0"/>
              <w:spacing w:before="120"/>
              <w:ind w:left="227" w:hanging="227"/>
              <w:textAlignment w:val="baseline"/>
              <w:rPr>
                <w:lang w:eastAsia="en-US" w:bidi="ar-DZ"/>
              </w:rPr>
            </w:pPr>
            <w:r w:rsidRPr="007942C1">
              <w:rPr>
                <w:sz w:val="22"/>
                <w:szCs w:val="22"/>
                <w:lang w:eastAsia="en-US" w:bidi="ar-DZ"/>
              </w:rPr>
              <w:t>Risks are assessed regularly with all mobilised advisers and addressed on an ongoing basis throughout implementation</w:t>
            </w:r>
            <w:r>
              <w:rPr>
                <w:sz w:val="22"/>
                <w:szCs w:val="22"/>
                <w:lang w:eastAsia="en-US" w:bidi="ar-DZ"/>
              </w:rPr>
              <w:t xml:space="preserve"> (most recently </w:t>
            </w:r>
            <w:r w:rsidR="0004011D">
              <w:rPr>
                <w:sz w:val="22"/>
                <w:szCs w:val="22"/>
                <w:lang w:eastAsia="en-US" w:bidi="ar-DZ"/>
              </w:rPr>
              <w:t>updated in the 2013 Annual Report</w:t>
            </w:r>
            <w:r>
              <w:rPr>
                <w:sz w:val="22"/>
                <w:szCs w:val="22"/>
                <w:lang w:eastAsia="en-US" w:bidi="ar-DZ"/>
              </w:rPr>
              <w:t>)</w:t>
            </w:r>
            <w:r w:rsidRPr="007942C1">
              <w:rPr>
                <w:sz w:val="22"/>
                <w:szCs w:val="22"/>
                <w:lang w:eastAsia="en-US" w:bidi="ar-DZ"/>
              </w:rPr>
              <w:t xml:space="preserve">. Reporting on identified/emerging risks is undertaken as part of all progress reporting, as well as in selected milestone reports. </w:t>
            </w:r>
          </w:p>
        </w:tc>
      </w:tr>
      <w:tr w:rsidR="00270E1B" w:rsidRPr="007942C1" w14:paraId="60705F24" w14:textId="77777777" w:rsidTr="0067701D">
        <w:trPr>
          <w:trHeight w:val="72"/>
        </w:trPr>
        <w:tc>
          <w:tcPr>
            <w:tcW w:w="3119" w:type="dxa"/>
            <w:tcBorders>
              <w:left w:val="nil"/>
              <w:right w:val="dotted" w:sz="4" w:space="0" w:color="auto"/>
            </w:tcBorders>
          </w:tcPr>
          <w:p w14:paraId="53E15BE2" w14:textId="77777777" w:rsidR="00270E1B" w:rsidRPr="007942C1" w:rsidRDefault="00270E1B" w:rsidP="00270E1B">
            <w:pPr>
              <w:numPr>
                <w:ilvl w:val="0"/>
                <w:numId w:val="7"/>
              </w:numPr>
              <w:spacing w:before="120"/>
              <w:ind w:left="227" w:hanging="227"/>
              <w:rPr>
                <w:b/>
                <w:i/>
              </w:rPr>
            </w:pPr>
            <w:r w:rsidRPr="007942C1">
              <w:rPr>
                <w:b/>
                <w:i/>
                <w:sz w:val="22"/>
                <w:szCs w:val="22"/>
              </w:rPr>
              <w:t>Recruiting, contracting, deploying and managing procurement of goods &amp; services, including technical assistance</w:t>
            </w:r>
          </w:p>
        </w:tc>
        <w:tc>
          <w:tcPr>
            <w:tcW w:w="3119" w:type="dxa"/>
            <w:tcBorders>
              <w:left w:val="dotted" w:sz="4" w:space="0" w:color="auto"/>
              <w:right w:val="dotted" w:sz="4" w:space="0" w:color="auto"/>
            </w:tcBorders>
          </w:tcPr>
          <w:p w14:paraId="078EC42C" w14:textId="77777777" w:rsidR="00270E1B" w:rsidRPr="007942C1" w:rsidRDefault="00270E1B" w:rsidP="00270E1B">
            <w:pPr>
              <w:numPr>
                <w:ilvl w:val="0"/>
                <w:numId w:val="32"/>
              </w:numPr>
              <w:overflowPunct w:val="0"/>
              <w:autoSpaceDE w:val="0"/>
              <w:autoSpaceDN w:val="0"/>
              <w:adjustRightInd w:val="0"/>
              <w:spacing w:before="120"/>
              <w:ind w:left="227" w:hanging="227"/>
              <w:textAlignment w:val="baseline"/>
              <w:rPr>
                <w:lang w:eastAsia="en-US" w:bidi="ar-DZ"/>
              </w:rPr>
            </w:pPr>
            <w:r w:rsidRPr="007942C1">
              <w:rPr>
                <w:sz w:val="22"/>
                <w:szCs w:val="22"/>
                <w:lang w:eastAsia="en-US" w:bidi="ar-DZ"/>
              </w:rPr>
              <w:t>All goods &amp; services are procured in accordance with NZ Government Procurement Guidelines and other value for money guidance.</w:t>
            </w:r>
          </w:p>
        </w:tc>
        <w:tc>
          <w:tcPr>
            <w:tcW w:w="8222" w:type="dxa"/>
            <w:tcBorders>
              <w:left w:val="dotted" w:sz="4" w:space="0" w:color="auto"/>
            </w:tcBorders>
          </w:tcPr>
          <w:p w14:paraId="0B088203" w14:textId="77777777" w:rsidR="00270E1B" w:rsidRPr="007942C1" w:rsidRDefault="00270E1B" w:rsidP="00270E1B">
            <w:pPr>
              <w:numPr>
                <w:ilvl w:val="0"/>
                <w:numId w:val="32"/>
              </w:numPr>
              <w:overflowPunct w:val="0"/>
              <w:autoSpaceDE w:val="0"/>
              <w:autoSpaceDN w:val="0"/>
              <w:adjustRightInd w:val="0"/>
              <w:spacing w:before="120"/>
              <w:ind w:left="227" w:hanging="227"/>
              <w:textAlignment w:val="baseline"/>
              <w:rPr>
                <w:lang w:eastAsia="en-US" w:bidi="ar-DZ"/>
              </w:rPr>
            </w:pPr>
            <w:r w:rsidRPr="007942C1">
              <w:rPr>
                <w:sz w:val="22"/>
                <w:szCs w:val="22"/>
                <w:lang w:eastAsia="en-US" w:bidi="ar-DZ"/>
              </w:rPr>
              <w:t xml:space="preserve">Pursuant to agreement with MFAT, the MSC procures goods and services in line with Australian Commonwealth Government Procurement Guidelines.  All advisers were identified based on a comprehensive competitive regional / international recruitment process which aligned with the MSCs Commonwealth obligations.  All goods and services otherwise required by PJDP have, and will continue to be procured in accordance with the MSCs Commonwealth obligations.  </w:t>
            </w:r>
          </w:p>
        </w:tc>
      </w:tr>
      <w:tr w:rsidR="00270E1B" w:rsidRPr="007942C1" w14:paraId="7A0D0378" w14:textId="77777777" w:rsidTr="0067701D">
        <w:trPr>
          <w:trHeight w:val="51"/>
        </w:trPr>
        <w:tc>
          <w:tcPr>
            <w:tcW w:w="3119" w:type="dxa"/>
            <w:tcBorders>
              <w:left w:val="nil"/>
              <w:right w:val="dotted" w:sz="4" w:space="0" w:color="auto"/>
            </w:tcBorders>
          </w:tcPr>
          <w:p w14:paraId="51FECECE" w14:textId="77777777" w:rsidR="00270E1B" w:rsidRPr="007942C1" w:rsidRDefault="00270E1B" w:rsidP="00270E1B">
            <w:pPr>
              <w:numPr>
                <w:ilvl w:val="0"/>
                <w:numId w:val="7"/>
              </w:numPr>
              <w:spacing w:before="120"/>
              <w:ind w:left="227" w:hanging="227"/>
              <w:rPr>
                <w:b/>
                <w:i/>
              </w:rPr>
            </w:pPr>
            <w:r w:rsidRPr="007942C1">
              <w:rPr>
                <w:b/>
                <w:i/>
                <w:sz w:val="22"/>
                <w:szCs w:val="22"/>
              </w:rPr>
              <w:t>Stakeholder engagement</w:t>
            </w:r>
          </w:p>
        </w:tc>
        <w:tc>
          <w:tcPr>
            <w:tcW w:w="3119" w:type="dxa"/>
            <w:tcBorders>
              <w:left w:val="dotted" w:sz="4" w:space="0" w:color="auto"/>
              <w:right w:val="dotted" w:sz="4" w:space="0" w:color="auto"/>
            </w:tcBorders>
          </w:tcPr>
          <w:p w14:paraId="37508FCD" w14:textId="77777777" w:rsidR="00270E1B" w:rsidRPr="007942C1" w:rsidRDefault="00270E1B" w:rsidP="00270E1B">
            <w:pPr>
              <w:numPr>
                <w:ilvl w:val="0"/>
                <w:numId w:val="32"/>
              </w:numPr>
              <w:overflowPunct w:val="0"/>
              <w:autoSpaceDE w:val="0"/>
              <w:autoSpaceDN w:val="0"/>
              <w:adjustRightInd w:val="0"/>
              <w:spacing w:before="120"/>
              <w:ind w:left="227" w:right="-57" w:hanging="227"/>
              <w:textAlignment w:val="baseline"/>
              <w:rPr>
                <w:lang w:eastAsia="en-US" w:bidi="ar-DZ"/>
              </w:rPr>
            </w:pPr>
            <w:r w:rsidRPr="007942C1">
              <w:rPr>
                <w:sz w:val="22"/>
                <w:szCs w:val="22"/>
                <w:lang w:eastAsia="en-US" w:bidi="ar-DZ"/>
              </w:rPr>
              <w:t xml:space="preserve">Appointees to lead roles must show demonstrated experience in </w:t>
            </w:r>
            <w:r w:rsidRPr="007942C1">
              <w:rPr>
                <w:sz w:val="22"/>
                <w:szCs w:val="22"/>
                <w:lang w:eastAsia="en-US" w:bidi="ar-DZ"/>
              </w:rPr>
              <w:lastRenderedPageBreak/>
              <w:t>having highly developed communication and mediation skills for addressing professional differences, to effectively resolve issues that may arise and maintain relationships with a vast and diverse range of stakeholders in the course of managing a complex, regional programme of this nature.</w:t>
            </w:r>
          </w:p>
        </w:tc>
        <w:tc>
          <w:tcPr>
            <w:tcW w:w="8222" w:type="dxa"/>
            <w:tcBorders>
              <w:left w:val="dotted" w:sz="4" w:space="0" w:color="auto"/>
            </w:tcBorders>
          </w:tcPr>
          <w:p w14:paraId="28A97295" w14:textId="77777777" w:rsidR="00270E1B" w:rsidRPr="00FC0C45" w:rsidRDefault="00270E1B" w:rsidP="00270E1B">
            <w:pPr>
              <w:numPr>
                <w:ilvl w:val="0"/>
                <w:numId w:val="32"/>
              </w:numPr>
              <w:overflowPunct w:val="0"/>
              <w:autoSpaceDE w:val="0"/>
              <w:autoSpaceDN w:val="0"/>
              <w:adjustRightInd w:val="0"/>
              <w:spacing w:before="120"/>
              <w:ind w:left="227" w:hanging="227"/>
              <w:textAlignment w:val="baseline"/>
              <w:rPr>
                <w:lang w:eastAsia="en-US" w:bidi="ar-DZ"/>
              </w:rPr>
            </w:pPr>
            <w:r w:rsidRPr="00FC0C45">
              <w:rPr>
                <w:sz w:val="22"/>
                <w:szCs w:val="22"/>
                <w:lang w:eastAsia="en-US" w:bidi="ar-DZ"/>
              </w:rPr>
              <w:lastRenderedPageBreak/>
              <w:t xml:space="preserve">As a prerequisite, all team members interacting with constituents have demonstrably advanced communication, dispute resolution and relationship management skills.  A key requirement </w:t>
            </w:r>
            <w:r w:rsidRPr="00FC0C45">
              <w:rPr>
                <w:sz w:val="22"/>
                <w:szCs w:val="22"/>
                <w:lang w:eastAsia="en-US" w:bidi="ar-DZ"/>
              </w:rPr>
              <w:lastRenderedPageBreak/>
              <w:t xml:space="preserve">included in all terms of reference for external advisers and experts contracted by the MSC was high level interpersonal and communication skills, which was confirmed as part of the assessment and selection process. </w:t>
            </w:r>
          </w:p>
          <w:p w14:paraId="079D8012" w14:textId="77777777" w:rsidR="00B240A5" w:rsidRPr="00B240A5" w:rsidRDefault="00B240A5" w:rsidP="00270E1B">
            <w:pPr>
              <w:numPr>
                <w:ilvl w:val="0"/>
                <w:numId w:val="32"/>
              </w:numPr>
              <w:overflowPunct w:val="0"/>
              <w:autoSpaceDE w:val="0"/>
              <w:autoSpaceDN w:val="0"/>
              <w:adjustRightInd w:val="0"/>
              <w:spacing w:before="120"/>
              <w:ind w:left="227" w:hanging="227"/>
              <w:textAlignment w:val="baseline"/>
              <w:rPr>
                <w:lang w:eastAsia="en-US" w:bidi="ar-DZ"/>
              </w:rPr>
            </w:pPr>
            <w:r w:rsidRPr="00B240A5">
              <w:rPr>
                <w:sz w:val="22"/>
                <w:szCs w:val="22"/>
                <w:lang w:eastAsia="en-US" w:bidi="ar-DZ"/>
              </w:rPr>
              <w:t>PJDP’s leadership ranked their overall satisfaction with the Programme’s Governance and Leadership Workshops at over 93.33 %, and 96.97% found that the workshop enabled a very high level of interaction, exchange of experience and leadership building capacity.</w:t>
            </w:r>
          </w:p>
          <w:p w14:paraId="4046E005" w14:textId="77777777" w:rsidR="00270E1B" w:rsidRPr="00FC0C45" w:rsidRDefault="00270E1B" w:rsidP="00270E1B">
            <w:pPr>
              <w:numPr>
                <w:ilvl w:val="0"/>
                <w:numId w:val="32"/>
              </w:numPr>
              <w:overflowPunct w:val="0"/>
              <w:autoSpaceDE w:val="0"/>
              <w:autoSpaceDN w:val="0"/>
              <w:adjustRightInd w:val="0"/>
              <w:spacing w:before="120"/>
              <w:ind w:left="227" w:hanging="227"/>
              <w:textAlignment w:val="baseline"/>
              <w:rPr>
                <w:lang w:eastAsia="en-US" w:bidi="ar-DZ"/>
              </w:rPr>
            </w:pPr>
            <w:r w:rsidRPr="00FC0C45">
              <w:rPr>
                <w:sz w:val="22"/>
                <w:szCs w:val="22"/>
                <w:lang w:eastAsia="en-US" w:bidi="ar-DZ"/>
              </w:rPr>
              <w:t xml:space="preserve">See also the PJDP’s earlier activities in undertaking a comprehensive mid-Programme assessment (Milestone Eighteen - Second Six Monthly Progress Report), where counterparts assessed the </w:t>
            </w:r>
            <w:r w:rsidRPr="00FC0C45">
              <w:rPr>
                <w:rFonts w:cs="Arial"/>
                <w:i/>
                <w:sz w:val="22"/>
                <w:szCs w:val="22"/>
              </w:rPr>
              <w:t>participatory nature</w:t>
            </w:r>
            <w:r w:rsidRPr="00FC0C45">
              <w:rPr>
                <w:rFonts w:cs="Arial"/>
                <w:sz w:val="22"/>
                <w:szCs w:val="22"/>
              </w:rPr>
              <w:t xml:space="preserve"> of Adviser </w:t>
            </w:r>
            <w:proofErr w:type="gramStart"/>
            <w:r w:rsidRPr="00FC0C45">
              <w:rPr>
                <w:rFonts w:cs="Arial"/>
                <w:sz w:val="22"/>
                <w:szCs w:val="22"/>
              </w:rPr>
              <w:t>activity(</w:t>
            </w:r>
            <w:proofErr w:type="gramEnd"/>
            <w:r w:rsidRPr="00FC0C45">
              <w:rPr>
                <w:rFonts w:cs="Arial"/>
                <w:sz w:val="22"/>
                <w:szCs w:val="22"/>
              </w:rPr>
              <w:t xml:space="preserve">-ies) undertaken in-country at over 86%. </w:t>
            </w:r>
          </w:p>
        </w:tc>
      </w:tr>
      <w:tr w:rsidR="00270E1B" w:rsidRPr="007942C1" w14:paraId="38771541" w14:textId="77777777" w:rsidTr="0067701D">
        <w:trPr>
          <w:trHeight w:val="687"/>
        </w:trPr>
        <w:tc>
          <w:tcPr>
            <w:tcW w:w="3119" w:type="dxa"/>
            <w:tcBorders>
              <w:left w:val="nil"/>
              <w:right w:val="dotted" w:sz="4" w:space="0" w:color="auto"/>
            </w:tcBorders>
          </w:tcPr>
          <w:p w14:paraId="604B02C2" w14:textId="77777777" w:rsidR="00270E1B" w:rsidRPr="007942C1" w:rsidRDefault="00270E1B" w:rsidP="00270E1B">
            <w:pPr>
              <w:numPr>
                <w:ilvl w:val="0"/>
                <w:numId w:val="7"/>
              </w:numPr>
              <w:spacing w:before="120"/>
              <w:ind w:left="227" w:hanging="227"/>
              <w:rPr>
                <w:b/>
                <w:i/>
              </w:rPr>
            </w:pPr>
            <w:r w:rsidRPr="007942C1">
              <w:rPr>
                <w:b/>
                <w:i/>
                <w:sz w:val="22"/>
                <w:szCs w:val="22"/>
              </w:rPr>
              <w:lastRenderedPageBreak/>
              <w:t>MSC sub-contractor management</w:t>
            </w:r>
          </w:p>
        </w:tc>
        <w:tc>
          <w:tcPr>
            <w:tcW w:w="3119" w:type="dxa"/>
            <w:tcBorders>
              <w:left w:val="dotted" w:sz="4" w:space="0" w:color="auto"/>
              <w:right w:val="dotted" w:sz="4" w:space="0" w:color="auto"/>
            </w:tcBorders>
          </w:tcPr>
          <w:p w14:paraId="38B5C988" w14:textId="77777777" w:rsidR="00270E1B" w:rsidRPr="007942C1" w:rsidRDefault="00270E1B" w:rsidP="00270E1B">
            <w:pPr>
              <w:numPr>
                <w:ilvl w:val="0"/>
                <w:numId w:val="32"/>
              </w:numPr>
              <w:overflowPunct w:val="0"/>
              <w:autoSpaceDE w:val="0"/>
              <w:autoSpaceDN w:val="0"/>
              <w:adjustRightInd w:val="0"/>
              <w:spacing w:before="120"/>
              <w:ind w:left="227" w:hanging="227"/>
              <w:textAlignment w:val="baseline"/>
              <w:rPr>
                <w:lang w:eastAsia="en-US" w:bidi="ar-DZ"/>
              </w:rPr>
            </w:pPr>
            <w:r w:rsidRPr="007942C1">
              <w:rPr>
                <w:sz w:val="22"/>
                <w:szCs w:val="22"/>
                <w:lang w:eastAsia="en-US" w:bidi="ar-DZ"/>
              </w:rPr>
              <w:t>Effective management of sub-contractors to ensure sufficient capacity and capability to carry out services to the standards required.</w:t>
            </w:r>
          </w:p>
        </w:tc>
        <w:tc>
          <w:tcPr>
            <w:tcW w:w="8222" w:type="dxa"/>
            <w:tcBorders>
              <w:left w:val="dotted" w:sz="4" w:space="0" w:color="auto"/>
            </w:tcBorders>
          </w:tcPr>
          <w:p w14:paraId="31014651" w14:textId="77777777" w:rsidR="00270E1B" w:rsidRPr="004D4028" w:rsidRDefault="00270E1B" w:rsidP="00270E1B">
            <w:pPr>
              <w:numPr>
                <w:ilvl w:val="0"/>
                <w:numId w:val="32"/>
              </w:numPr>
              <w:overflowPunct w:val="0"/>
              <w:autoSpaceDE w:val="0"/>
              <w:autoSpaceDN w:val="0"/>
              <w:adjustRightInd w:val="0"/>
              <w:spacing w:before="120"/>
              <w:ind w:left="227" w:hanging="227"/>
              <w:textAlignment w:val="baseline"/>
              <w:rPr>
                <w:lang w:eastAsia="en-US" w:bidi="ar-DZ"/>
              </w:rPr>
            </w:pPr>
            <w:r w:rsidRPr="004D4028">
              <w:rPr>
                <w:sz w:val="22"/>
                <w:szCs w:val="22"/>
                <w:lang w:eastAsia="en-US" w:bidi="ar-DZ"/>
              </w:rPr>
              <w:t xml:space="preserve">Following the identification and selection preferred candidates for each advertised role, all identified individuals accepted appointment and contract negotiations were successfully completed.  To date nine advisers and several judicial officers as resource persons have been mobilised with the PJDP Management Team undertaking ongoing liaison with each while in-country to ensure: proactive management of adviser resources; and the best quality outputs are achieved for each partner court.  </w:t>
            </w:r>
          </w:p>
          <w:p w14:paraId="18F35816" w14:textId="77777777" w:rsidR="00270E1B" w:rsidRPr="004D4028" w:rsidRDefault="00270E1B" w:rsidP="00270E1B">
            <w:pPr>
              <w:numPr>
                <w:ilvl w:val="0"/>
                <w:numId w:val="32"/>
              </w:numPr>
              <w:overflowPunct w:val="0"/>
              <w:autoSpaceDE w:val="0"/>
              <w:autoSpaceDN w:val="0"/>
              <w:adjustRightInd w:val="0"/>
              <w:spacing w:before="120"/>
              <w:ind w:left="227" w:hanging="227"/>
              <w:textAlignment w:val="baseline"/>
              <w:rPr>
                <w:lang w:eastAsia="en-US" w:bidi="ar-DZ"/>
              </w:rPr>
            </w:pPr>
            <w:r w:rsidRPr="004D4028">
              <w:rPr>
                <w:rFonts w:cs="Arial"/>
                <w:sz w:val="22"/>
                <w:szCs w:val="22"/>
              </w:rPr>
              <w:t xml:space="preserve">In a survey of the Programme’s leadership near the end of the 12-month extension period, </w:t>
            </w:r>
            <w:r w:rsidRPr="004D4028">
              <w:rPr>
                <w:rFonts w:cs="Arial"/>
                <w:sz w:val="22"/>
                <w:szCs w:val="22"/>
                <w:lang w:eastAsia="en-US"/>
              </w:rPr>
              <w:t xml:space="preserve">respondents from all partner courts who had a toolkit piloted in their jurisdiction rated the quality and usefulness of PJDP/advised-supported local training or other activities undertaken in their country </w:t>
            </w:r>
            <w:r w:rsidRPr="004D4028">
              <w:rPr>
                <w:rFonts w:cs="Arial"/>
                <w:sz w:val="22"/>
                <w:szCs w:val="22"/>
              </w:rPr>
              <w:t>at over 89%.</w:t>
            </w:r>
          </w:p>
          <w:p w14:paraId="4A87027B" w14:textId="77777777" w:rsidR="00270E1B" w:rsidRPr="004D4028" w:rsidRDefault="00270E1B" w:rsidP="00270E1B">
            <w:pPr>
              <w:numPr>
                <w:ilvl w:val="0"/>
                <w:numId w:val="32"/>
              </w:numPr>
              <w:overflowPunct w:val="0"/>
              <w:autoSpaceDE w:val="0"/>
              <w:autoSpaceDN w:val="0"/>
              <w:adjustRightInd w:val="0"/>
              <w:spacing w:before="120"/>
              <w:ind w:left="227" w:hanging="227"/>
              <w:textAlignment w:val="baseline"/>
              <w:rPr>
                <w:lang w:eastAsia="en-US" w:bidi="ar-DZ"/>
              </w:rPr>
            </w:pPr>
            <w:r w:rsidRPr="004D4028">
              <w:rPr>
                <w:rFonts w:cs="Arial"/>
                <w:sz w:val="22"/>
                <w:szCs w:val="22"/>
              </w:rPr>
              <w:t xml:space="preserve">Earlier </w:t>
            </w:r>
            <w:r w:rsidRPr="004D4028">
              <w:rPr>
                <w:sz w:val="22"/>
                <w:szCs w:val="22"/>
                <w:lang w:eastAsia="en-US" w:bidi="ar-DZ"/>
              </w:rPr>
              <w:t xml:space="preserve">feedback from counterparts (see also the PJDP’s comprehensive mid-Programme assessment [Milestone Eighteen - Second Six Monthly Progress Report], where counterparts assessed the </w:t>
            </w:r>
            <w:r w:rsidRPr="004D4028">
              <w:rPr>
                <w:rFonts w:cs="Arial"/>
                <w:i/>
                <w:sz w:val="22"/>
                <w:szCs w:val="22"/>
              </w:rPr>
              <w:t>quality of individual Advisers and the outcomes achieved</w:t>
            </w:r>
            <w:r w:rsidRPr="004D4028">
              <w:rPr>
                <w:rFonts w:cs="Arial"/>
                <w:sz w:val="22"/>
                <w:szCs w:val="22"/>
              </w:rPr>
              <w:t xml:space="preserve"> by the adviser at just under 94%</w:t>
            </w:r>
            <w:r w:rsidRPr="004D4028">
              <w:rPr>
                <w:sz w:val="22"/>
                <w:szCs w:val="22"/>
                <w:lang w:eastAsia="en-US" w:bidi="ar-DZ"/>
              </w:rPr>
              <w:t>), MFAT and the MTA has uniformly been positive on the quality and capacity of the Programme’s technical advisers.</w:t>
            </w:r>
          </w:p>
        </w:tc>
      </w:tr>
    </w:tbl>
    <w:p w14:paraId="38DFDEC0" w14:textId="77777777" w:rsidR="0039412B" w:rsidRDefault="0039412B" w:rsidP="00027BD2">
      <w:pPr>
        <w:rPr>
          <w:lang w:eastAsia="en-US"/>
        </w:rPr>
      </w:pPr>
    </w:p>
    <w:p w14:paraId="7F714AE8" w14:textId="77777777" w:rsidR="0039412B" w:rsidRPr="00027BD2" w:rsidRDefault="0039412B" w:rsidP="00027BD2">
      <w:pPr>
        <w:rPr>
          <w:lang w:eastAsia="en-US"/>
        </w:rPr>
        <w:sectPr w:rsidR="0039412B" w:rsidRPr="00027BD2" w:rsidSect="007B3ED4">
          <w:footerReference w:type="default" r:id="rId26"/>
          <w:pgSz w:w="16839" w:h="11907" w:orient="landscape" w:code="9"/>
          <w:pgMar w:top="1361" w:right="1304" w:bottom="1418" w:left="1531" w:header="397" w:footer="680" w:gutter="0"/>
          <w:pgNumType w:start="1"/>
          <w:cols w:space="708"/>
          <w:docGrid w:linePitch="360"/>
        </w:sectPr>
      </w:pPr>
    </w:p>
    <w:p w14:paraId="38539A59" w14:textId="77777777" w:rsidR="0039412B" w:rsidRPr="007942C1" w:rsidRDefault="0039412B" w:rsidP="00AD7FB5">
      <w:pPr>
        <w:pStyle w:val="Heading1"/>
        <w:rPr>
          <w:lang w:val="en-AU"/>
        </w:rPr>
      </w:pPr>
      <w:bookmarkStart w:id="63" w:name="_Toc391469746"/>
      <w:r w:rsidRPr="007942C1">
        <w:rPr>
          <w:lang w:val="en-AU"/>
        </w:rPr>
        <w:lastRenderedPageBreak/>
        <w:t xml:space="preserve">Annex </w:t>
      </w:r>
      <w:r w:rsidR="002C5A50">
        <w:rPr>
          <w:lang w:val="en-AU"/>
        </w:rPr>
        <w:t>Six</w:t>
      </w:r>
      <w:r w:rsidRPr="007942C1">
        <w:rPr>
          <w:lang w:val="en-AU"/>
        </w:rPr>
        <w:t xml:space="preserve"> - Risk Analysis and Management</w:t>
      </w:r>
      <w:bookmarkEnd w:id="63"/>
    </w:p>
    <w:p w14:paraId="7A5509BE" w14:textId="77777777" w:rsidR="0039412B" w:rsidRPr="007942C1" w:rsidRDefault="0039412B" w:rsidP="00D353F6">
      <w:pPr>
        <w:rPr>
          <w:sz w:val="23"/>
          <w:szCs w:val="23"/>
        </w:rPr>
      </w:pPr>
    </w:p>
    <w:p w14:paraId="2B63ADD1" w14:textId="77777777" w:rsidR="0039412B" w:rsidRDefault="00FB218C" w:rsidP="00D353F6">
      <w:pPr>
        <w:rPr>
          <w:sz w:val="23"/>
          <w:szCs w:val="23"/>
          <w:lang w:eastAsia="en-US"/>
        </w:rPr>
      </w:pPr>
      <w:r>
        <w:rPr>
          <w:sz w:val="23"/>
          <w:szCs w:val="23"/>
          <w:lang w:eastAsia="en-US"/>
        </w:rPr>
        <w:t>Additional</w:t>
      </w:r>
      <w:r w:rsidR="0039412B" w:rsidRPr="0067701D">
        <w:rPr>
          <w:sz w:val="23"/>
          <w:szCs w:val="23"/>
          <w:lang w:eastAsia="en-US"/>
        </w:rPr>
        <w:t xml:space="preserve"> risks have been identified along with the strategies to manage, respond to and ameliorate them (see table below).  The PJDP Team will continue to actively manage risks by consulting with local stakeholders and Advisers to identify and mitigate risks progressively over the course of the </w:t>
      </w:r>
      <w:r>
        <w:rPr>
          <w:sz w:val="23"/>
          <w:szCs w:val="23"/>
          <w:lang w:eastAsia="en-US"/>
        </w:rPr>
        <w:t>24-month e</w:t>
      </w:r>
      <w:r w:rsidR="0039412B" w:rsidRPr="0067701D">
        <w:rPr>
          <w:sz w:val="23"/>
          <w:szCs w:val="23"/>
          <w:lang w:eastAsia="en-US"/>
        </w:rPr>
        <w:t xml:space="preserve">xtension </w:t>
      </w:r>
      <w:r>
        <w:rPr>
          <w:sz w:val="23"/>
          <w:szCs w:val="23"/>
          <w:lang w:eastAsia="en-US"/>
        </w:rPr>
        <w:t>p</w:t>
      </w:r>
      <w:r w:rsidR="0039412B" w:rsidRPr="0067701D">
        <w:rPr>
          <w:sz w:val="23"/>
          <w:szCs w:val="23"/>
          <w:lang w:eastAsia="en-US"/>
        </w:rPr>
        <w:t xml:space="preserve">hase.  This ongoing assessment of risks will be reported on as part of periodic reports. </w:t>
      </w:r>
    </w:p>
    <w:p w14:paraId="2A100511" w14:textId="77777777" w:rsidR="00FB218C" w:rsidRPr="0067701D" w:rsidRDefault="00FB218C" w:rsidP="00D353F6">
      <w:pPr>
        <w:rPr>
          <w:sz w:val="23"/>
          <w:szCs w:val="23"/>
          <w:lang w:eastAsia="en-US"/>
        </w:rPr>
      </w:pPr>
    </w:p>
    <w:tbl>
      <w:tblPr>
        <w:tblW w:w="14282" w:type="dxa"/>
        <w:tblBorders>
          <w:top w:val="single" w:sz="4" w:space="0" w:color="auto"/>
          <w:bottom w:val="single" w:sz="4" w:space="0" w:color="auto"/>
          <w:insideH w:val="dotted" w:sz="4" w:space="0" w:color="auto"/>
          <w:insideV w:val="dotted" w:sz="4" w:space="0" w:color="auto"/>
        </w:tblBorders>
        <w:tblLook w:val="00A0" w:firstRow="1" w:lastRow="0" w:firstColumn="1" w:lastColumn="0" w:noHBand="0" w:noVBand="0"/>
      </w:tblPr>
      <w:tblGrid>
        <w:gridCol w:w="4219"/>
        <w:gridCol w:w="3677"/>
        <w:gridCol w:w="6386"/>
      </w:tblGrid>
      <w:tr w:rsidR="0039412B" w:rsidRPr="0067701D" w14:paraId="5E566C30" w14:textId="77777777" w:rsidTr="00067AAA">
        <w:trPr>
          <w:trHeight w:val="142"/>
          <w:tblHeader/>
        </w:trPr>
        <w:tc>
          <w:tcPr>
            <w:tcW w:w="4219" w:type="dxa"/>
            <w:tcBorders>
              <w:top w:val="single" w:sz="4" w:space="0" w:color="auto"/>
              <w:bottom w:val="single" w:sz="4" w:space="0" w:color="auto"/>
              <w:right w:val="single" w:sz="4" w:space="0" w:color="auto"/>
            </w:tcBorders>
            <w:shd w:val="clear" w:color="auto" w:fill="BFBFBF"/>
          </w:tcPr>
          <w:p w14:paraId="439F245C" w14:textId="77777777" w:rsidR="0039412B" w:rsidRPr="0067701D" w:rsidRDefault="0039412B" w:rsidP="00D353F6">
            <w:pPr>
              <w:spacing w:before="40" w:after="40"/>
              <w:jc w:val="center"/>
              <w:rPr>
                <w:b/>
                <w:sz w:val="23"/>
                <w:szCs w:val="23"/>
              </w:rPr>
            </w:pPr>
            <w:r w:rsidRPr="0067701D">
              <w:rPr>
                <w:b/>
                <w:sz w:val="23"/>
                <w:szCs w:val="23"/>
              </w:rPr>
              <w:t>Risk</w:t>
            </w:r>
          </w:p>
        </w:tc>
        <w:tc>
          <w:tcPr>
            <w:tcW w:w="3677" w:type="dxa"/>
            <w:tcBorders>
              <w:top w:val="single" w:sz="4" w:space="0" w:color="auto"/>
              <w:left w:val="single" w:sz="4" w:space="0" w:color="auto"/>
              <w:bottom w:val="single" w:sz="4" w:space="0" w:color="auto"/>
              <w:right w:val="single" w:sz="4" w:space="0" w:color="auto"/>
            </w:tcBorders>
            <w:shd w:val="clear" w:color="auto" w:fill="BFBFBF"/>
          </w:tcPr>
          <w:p w14:paraId="4B42A654" w14:textId="77777777" w:rsidR="0039412B" w:rsidRPr="0067701D" w:rsidRDefault="0039412B" w:rsidP="00D353F6">
            <w:pPr>
              <w:spacing w:before="40" w:after="40"/>
              <w:jc w:val="center"/>
              <w:rPr>
                <w:b/>
                <w:sz w:val="23"/>
                <w:szCs w:val="23"/>
              </w:rPr>
            </w:pPr>
            <w:r w:rsidRPr="0067701D">
              <w:rPr>
                <w:b/>
                <w:sz w:val="23"/>
                <w:szCs w:val="23"/>
              </w:rPr>
              <w:t>Result</w:t>
            </w:r>
          </w:p>
        </w:tc>
        <w:tc>
          <w:tcPr>
            <w:tcW w:w="6386" w:type="dxa"/>
            <w:tcBorders>
              <w:top w:val="single" w:sz="4" w:space="0" w:color="auto"/>
              <w:left w:val="single" w:sz="4" w:space="0" w:color="auto"/>
              <w:bottom w:val="single" w:sz="4" w:space="0" w:color="auto"/>
            </w:tcBorders>
            <w:shd w:val="clear" w:color="auto" w:fill="BFBFBF"/>
          </w:tcPr>
          <w:p w14:paraId="56F3B43D" w14:textId="77777777" w:rsidR="0039412B" w:rsidRPr="0067701D" w:rsidRDefault="0039412B" w:rsidP="00D353F6">
            <w:pPr>
              <w:spacing w:before="40" w:after="40"/>
              <w:jc w:val="center"/>
              <w:rPr>
                <w:b/>
                <w:sz w:val="23"/>
                <w:szCs w:val="23"/>
              </w:rPr>
            </w:pPr>
            <w:r w:rsidRPr="0067701D">
              <w:rPr>
                <w:b/>
                <w:sz w:val="23"/>
                <w:szCs w:val="23"/>
              </w:rPr>
              <w:t>How Risk will be Addressed</w:t>
            </w:r>
          </w:p>
        </w:tc>
      </w:tr>
      <w:tr w:rsidR="0039412B" w:rsidRPr="007942C1" w14:paraId="2BBABAE2" w14:textId="77777777" w:rsidTr="00067AAA">
        <w:trPr>
          <w:trHeight w:val="142"/>
        </w:trPr>
        <w:tc>
          <w:tcPr>
            <w:tcW w:w="4219" w:type="dxa"/>
            <w:tcBorders>
              <w:top w:val="single" w:sz="4" w:space="0" w:color="auto"/>
            </w:tcBorders>
          </w:tcPr>
          <w:p w14:paraId="34815A16" w14:textId="77777777" w:rsidR="0039412B" w:rsidRPr="007942C1" w:rsidRDefault="0039412B" w:rsidP="00D353F6">
            <w:pPr>
              <w:spacing w:before="80"/>
            </w:pPr>
            <w:r w:rsidRPr="007942C1">
              <w:rPr>
                <w:sz w:val="22"/>
                <w:szCs w:val="22"/>
              </w:rPr>
              <w:t>PICs do not commit sufficient or appropriate resources to lead, manage, facilitate or participate in PJDP activities.</w:t>
            </w:r>
          </w:p>
        </w:tc>
        <w:tc>
          <w:tcPr>
            <w:tcW w:w="3677" w:type="dxa"/>
            <w:tcBorders>
              <w:top w:val="single" w:sz="4" w:space="0" w:color="auto"/>
            </w:tcBorders>
          </w:tcPr>
          <w:p w14:paraId="6169C001" w14:textId="77777777" w:rsidR="0039412B" w:rsidRPr="007942C1" w:rsidRDefault="0039412B" w:rsidP="00D353F6">
            <w:pPr>
              <w:spacing w:before="80"/>
            </w:pPr>
            <w:r w:rsidRPr="007942C1">
              <w:rPr>
                <w:sz w:val="22"/>
                <w:szCs w:val="22"/>
              </w:rPr>
              <w:t xml:space="preserve">Activity/project outcomes will be undermined / unachievable and it will not be possible to devolve implementation to local actors thereby maintaining external dependence.  </w:t>
            </w:r>
          </w:p>
        </w:tc>
        <w:tc>
          <w:tcPr>
            <w:tcW w:w="6386" w:type="dxa"/>
            <w:tcBorders>
              <w:top w:val="single" w:sz="4" w:space="0" w:color="auto"/>
            </w:tcBorders>
          </w:tcPr>
          <w:p w14:paraId="30F7C12D" w14:textId="77777777" w:rsidR="0039412B" w:rsidRPr="007942C1" w:rsidRDefault="0039412B" w:rsidP="00D353F6">
            <w:pPr>
              <w:spacing w:before="80"/>
            </w:pPr>
            <w:r w:rsidRPr="007942C1">
              <w:rPr>
                <w:sz w:val="22"/>
                <w:szCs w:val="22"/>
              </w:rPr>
              <w:t xml:space="preserve">The PJDP will provide each Chief Justice and National Coordinator with a detailed outline of what each activity involves including a clear articulation of respective roles and responsibilities. This will include a commitment by those involved to taking some action to progress related developments/reforms following the activity.  PJDP will seek explicit agreement from Chief Justices that they can allow judicial and court officers’ sufficient time away from their other functions to complete the necessary work within normal working hours. </w:t>
            </w:r>
          </w:p>
        </w:tc>
      </w:tr>
      <w:tr w:rsidR="0039412B" w:rsidRPr="007942C1" w14:paraId="28687AEE" w14:textId="77777777" w:rsidTr="00067AAA">
        <w:trPr>
          <w:trHeight w:val="142"/>
        </w:trPr>
        <w:tc>
          <w:tcPr>
            <w:tcW w:w="4219" w:type="dxa"/>
          </w:tcPr>
          <w:p w14:paraId="35A03A48" w14:textId="77777777" w:rsidR="0039412B" w:rsidRPr="007942C1" w:rsidRDefault="0039412B" w:rsidP="00D353F6">
            <w:pPr>
              <w:spacing w:before="80"/>
            </w:pPr>
            <w:r w:rsidRPr="007942C1">
              <w:rPr>
                <w:rFonts w:cs="Arial"/>
                <w:sz w:val="22"/>
                <w:szCs w:val="22"/>
              </w:rPr>
              <w:t>Accredited educators and members of the RTT cannot access ongoing/refresher training after the cessation of PJDP and/or do not conduct training locally.</w:t>
            </w:r>
          </w:p>
        </w:tc>
        <w:tc>
          <w:tcPr>
            <w:tcW w:w="3677" w:type="dxa"/>
          </w:tcPr>
          <w:p w14:paraId="5EE8AF40" w14:textId="77777777" w:rsidR="0039412B" w:rsidRPr="007942C1" w:rsidRDefault="0039412B" w:rsidP="00D353F6">
            <w:pPr>
              <w:spacing w:before="80"/>
            </w:pPr>
            <w:r w:rsidRPr="007942C1">
              <w:rPr>
                <w:sz w:val="22"/>
                <w:szCs w:val="22"/>
              </w:rPr>
              <w:t>Local training capacity/motivation will diminish over time as will the quality and quantity of the training they deliver.  This will impact the competence of judicial and court officers and as a result the justice they administer.</w:t>
            </w:r>
          </w:p>
        </w:tc>
        <w:tc>
          <w:tcPr>
            <w:tcW w:w="6386" w:type="dxa"/>
          </w:tcPr>
          <w:p w14:paraId="1F9814F3" w14:textId="77777777" w:rsidR="0039412B" w:rsidRPr="007942C1" w:rsidRDefault="0039412B" w:rsidP="00D353F6">
            <w:pPr>
              <w:spacing w:before="80"/>
            </w:pPr>
            <w:r w:rsidRPr="007942C1">
              <w:rPr>
                <w:rFonts w:cs="Arial"/>
                <w:sz w:val="22"/>
                <w:szCs w:val="22"/>
              </w:rPr>
              <w:t>The PJDP will seek to promote sustainability in ongoing judicial and court development within the region over the course of the 24-month Extension Period. PJDP plays a key role in facilitating this through greater localisation of support, direct mentoring, network, curriculum development and programme management support to RTT and National Trainers, and the provision of a suite of resources (toolkits) to be used to support ongoing judicial and court development at the local level.</w:t>
            </w:r>
          </w:p>
        </w:tc>
      </w:tr>
      <w:tr w:rsidR="0039412B" w:rsidRPr="007942C1" w14:paraId="009B7040" w14:textId="77777777" w:rsidTr="00067AAA">
        <w:trPr>
          <w:trHeight w:val="142"/>
        </w:trPr>
        <w:tc>
          <w:tcPr>
            <w:tcW w:w="4219" w:type="dxa"/>
          </w:tcPr>
          <w:p w14:paraId="4B40CF55" w14:textId="77777777" w:rsidR="0039412B" w:rsidRPr="007942C1" w:rsidRDefault="0039412B" w:rsidP="00D353F6">
            <w:pPr>
              <w:spacing w:before="80"/>
              <w:rPr>
                <w:rFonts w:cs="Arial"/>
              </w:rPr>
            </w:pPr>
            <w:r w:rsidRPr="007942C1">
              <w:rPr>
                <w:sz w:val="22"/>
                <w:szCs w:val="22"/>
              </w:rPr>
              <w:t>PJDP attempts to address too many problems across too many thematic areas, spreading itself too thinly.</w:t>
            </w:r>
          </w:p>
        </w:tc>
        <w:tc>
          <w:tcPr>
            <w:tcW w:w="3677" w:type="dxa"/>
          </w:tcPr>
          <w:p w14:paraId="105EC5AD" w14:textId="77777777" w:rsidR="0039412B" w:rsidRPr="007942C1" w:rsidRDefault="0039412B" w:rsidP="00D353F6">
            <w:pPr>
              <w:spacing w:before="80"/>
            </w:pPr>
            <w:r w:rsidRPr="007942C1">
              <w:rPr>
                <w:sz w:val="22"/>
                <w:szCs w:val="22"/>
              </w:rPr>
              <w:t>PJDPs ability to deliver meaningful change in any area is reduced.</w:t>
            </w:r>
          </w:p>
        </w:tc>
        <w:tc>
          <w:tcPr>
            <w:tcW w:w="6386" w:type="dxa"/>
          </w:tcPr>
          <w:p w14:paraId="1ED23080" w14:textId="77777777" w:rsidR="0039412B" w:rsidRPr="007942C1" w:rsidRDefault="0039412B" w:rsidP="00D353F6">
            <w:pPr>
              <w:spacing w:before="80"/>
            </w:pPr>
            <w:r w:rsidRPr="007942C1">
              <w:rPr>
                <w:sz w:val="22"/>
                <w:szCs w:val="22"/>
              </w:rPr>
              <w:t xml:space="preserve">The 24 Month Extension Plan adopts a tighter focus to address specific problems that will improve the courts’ capacity, systems and procedures to deliver services that contribute improvements to the wellbeing of citizens and communities they serve locally and across the region. </w:t>
            </w:r>
          </w:p>
        </w:tc>
      </w:tr>
      <w:tr w:rsidR="0039412B" w:rsidRPr="007942C1" w14:paraId="40E97F16" w14:textId="77777777" w:rsidTr="00067AAA">
        <w:trPr>
          <w:trHeight w:val="56"/>
        </w:trPr>
        <w:tc>
          <w:tcPr>
            <w:tcW w:w="4219" w:type="dxa"/>
            <w:tcBorders>
              <w:top w:val="nil"/>
            </w:tcBorders>
          </w:tcPr>
          <w:p w14:paraId="662E013E" w14:textId="77777777" w:rsidR="0039412B" w:rsidRPr="007942C1" w:rsidRDefault="0039412B" w:rsidP="00D353F6">
            <w:pPr>
              <w:spacing w:before="80"/>
            </w:pPr>
            <w:r w:rsidRPr="007942C1">
              <w:rPr>
                <w:sz w:val="22"/>
                <w:szCs w:val="22"/>
              </w:rPr>
              <w:t>Substantial ongoing capacity-building support across the region is required to enable devolution and transfer of programme management responsibilities and functions locally</w:t>
            </w:r>
          </w:p>
        </w:tc>
        <w:tc>
          <w:tcPr>
            <w:tcW w:w="3677" w:type="dxa"/>
            <w:tcBorders>
              <w:top w:val="nil"/>
            </w:tcBorders>
          </w:tcPr>
          <w:p w14:paraId="0DF297FF" w14:textId="77777777" w:rsidR="0039412B" w:rsidRPr="007942C1" w:rsidRDefault="0039412B" w:rsidP="00D353F6">
            <w:pPr>
              <w:spacing w:before="80"/>
            </w:pPr>
            <w:r w:rsidRPr="007942C1">
              <w:rPr>
                <w:sz w:val="22"/>
                <w:szCs w:val="22"/>
              </w:rPr>
              <w:t>PICs will remain dependent on external providers to address their development needs, which inherently foster donor dependence and undermine motivation to lead change locally.</w:t>
            </w:r>
          </w:p>
        </w:tc>
        <w:tc>
          <w:tcPr>
            <w:tcW w:w="6386" w:type="dxa"/>
            <w:tcBorders>
              <w:top w:val="nil"/>
            </w:tcBorders>
          </w:tcPr>
          <w:p w14:paraId="2EBDC2DE" w14:textId="77777777" w:rsidR="0039412B" w:rsidRPr="007942C1" w:rsidRDefault="0039412B" w:rsidP="00D353F6">
            <w:pPr>
              <w:spacing w:before="80"/>
            </w:pPr>
            <w:r w:rsidRPr="007942C1">
              <w:rPr>
                <w:sz w:val="22"/>
                <w:szCs w:val="22"/>
              </w:rPr>
              <w:t xml:space="preserve">The 24 Month Extension Plan focuses more than before in PJEP/PJDPs history on building the capacity and motivation of those who will manage, lead and deliver change locally.  </w:t>
            </w:r>
          </w:p>
        </w:tc>
      </w:tr>
      <w:tr w:rsidR="0039412B" w:rsidRPr="007942C1" w14:paraId="1F2D7F75" w14:textId="77777777" w:rsidTr="00FB218C">
        <w:trPr>
          <w:trHeight w:val="1239"/>
        </w:trPr>
        <w:tc>
          <w:tcPr>
            <w:tcW w:w="4219" w:type="dxa"/>
          </w:tcPr>
          <w:p w14:paraId="58BD50EC" w14:textId="77777777" w:rsidR="0039412B" w:rsidRPr="007942C1" w:rsidRDefault="0039412B" w:rsidP="00D353F6">
            <w:pPr>
              <w:spacing w:before="80"/>
            </w:pPr>
            <w:r w:rsidRPr="007942C1">
              <w:rPr>
                <w:sz w:val="22"/>
                <w:szCs w:val="22"/>
              </w:rPr>
              <w:lastRenderedPageBreak/>
              <w:t>Lack of motivation / capacity by in-country stakeholders to undertake the work required to monitor progress and/or achieve identified PJDP outcomes.</w:t>
            </w:r>
          </w:p>
        </w:tc>
        <w:tc>
          <w:tcPr>
            <w:tcW w:w="3677" w:type="dxa"/>
          </w:tcPr>
          <w:p w14:paraId="71D65715" w14:textId="77777777" w:rsidR="0039412B" w:rsidRPr="007942C1" w:rsidRDefault="0039412B" w:rsidP="00D353F6">
            <w:pPr>
              <w:spacing w:before="80"/>
            </w:pPr>
            <w:r w:rsidRPr="007942C1">
              <w:rPr>
                <w:sz w:val="22"/>
                <w:szCs w:val="22"/>
              </w:rPr>
              <w:t xml:space="preserve">Activities will not improve performance or governance at the local level and PICs will not achieve the outcomes they seek and PJDP will not be able to achieve identified outputs / outcomes </w:t>
            </w:r>
          </w:p>
          <w:p w14:paraId="46D7A94E" w14:textId="77777777" w:rsidR="0039412B" w:rsidRPr="007942C1" w:rsidRDefault="0039412B" w:rsidP="00D353F6">
            <w:pPr>
              <w:spacing w:before="80"/>
            </w:pPr>
          </w:p>
        </w:tc>
        <w:tc>
          <w:tcPr>
            <w:tcW w:w="6386" w:type="dxa"/>
          </w:tcPr>
          <w:p w14:paraId="5A86E5BC" w14:textId="77777777" w:rsidR="0039412B" w:rsidRPr="007942C1" w:rsidRDefault="0039412B" w:rsidP="00D353F6">
            <w:pPr>
              <w:spacing w:before="80"/>
            </w:pPr>
            <w:r w:rsidRPr="007942C1">
              <w:rPr>
                <w:sz w:val="22"/>
                <w:szCs w:val="22"/>
              </w:rPr>
              <w:t xml:space="preserve">1. Consultation throughout implementation to further refine activities (in particular through the Responsive Fund mechanism) to promote relevance of intervention and provide motivation for PICs to engage with the Programme.  </w:t>
            </w:r>
          </w:p>
          <w:p w14:paraId="04283352" w14:textId="77777777" w:rsidR="0039412B" w:rsidRPr="007942C1" w:rsidRDefault="0039412B" w:rsidP="00D353F6">
            <w:pPr>
              <w:spacing w:before="40"/>
            </w:pPr>
            <w:r w:rsidRPr="007942C1">
              <w:rPr>
                <w:sz w:val="22"/>
                <w:szCs w:val="22"/>
              </w:rPr>
              <w:t xml:space="preserve">2.  CJs/NCs will be requested to sign letters of exchange defining activity-related responsibilities, acknowledging the local court’s ability to mobilise the necessary resources to support or undertake the proposed activity and the commitment of senior leaders to provide necessary motivation to other stakeholders. </w:t>
            </w:r>
          </w:p>
          <w:p w14:paraId="154571FC" w14:textId="77777777" w:rsidR="0039412B" w:rsidRPr="007942C1" w:rsidRDefault="0039412B" w:rsidP="00D353F6">
            <w:pPr>
              <w:spacing w:before="40"/>
            </w:pPr>
            <w:r w:rsidRPr="007942C1">
              <w:rPr>
                <w:sz w:val="22"/>
                <w:szCs w:val="22"/>
              </w:rPr>
              <w:t xml:space="preserve">3.  During activities, ownership and accountability for outcomes will be promoted by sharing frameworks amongst leaders to demonstrate how focus areas can be dealt with at a local level. </w:t>
            </w:r>
          </w:p>
          <w:p w14:paraId="243295EF" w14:textId="77777777" w:rsidR="0039412B" w:rsidRPr="007942C1" w:rsidRDefault="0039412B" w:rsidP="00D353F6">
            <w:pPr>
              <w:spacing w:before="40"/>
            </w:pPr>
            <w:r w:rsidRPr="007942C1">
              <w:rPr>
                <w:sz w:val="22"/>
                <w:szCs w:val="22"/>
              </w:rPr>
              <w:t>4.  Ongoing technical and management support will be provided to stakeholders along with additional funding opportunities (the Responsive Fund mechanism or other donor resources) to support the localisation of regional activities.</w:t>
            </w:r>
          </w:p>
          <w:p w14:paraId="43AEACF1" w14:textId="77777777" w:rsidR="0039412B" w:rsidRPr="007942C1" w:rsidRDefault="0039412B" w:rsidP="00D353F6">
            <w:pPr>
              <w:spacing w:before="40"/>
            </w:pPr>
            <w:r w:rsidRPr="007942C1">
              <w:rPr>
                <w:sz w:val="22"/>
                <w:szCs w:val="22"/>
              </w:rPr>
              <w:t>5.  PIC stakeholders, particularly NCs will be guided and supported to monitor, evaluate and report on activities/projects to ensure that this useful data can be collected and analysed by the Programme.</w:t>
            </w:r>
          </w:p>
        </w:tc>
      </w:tr>
      <w:tr w:rsidR="00FB218C" w:rsidRPr="007942C1" w14:paraId="300565E1" w14:textId="77777777" w:rsidTr="00067AAA">
        <w:trPr>
          <w:trHeight w:val="1239"/>
        </w:trPr>
        <w:tc>
          <w:tcPr>
            <w:tcW w:w="4219" w:type="dxa"/>
            <w:tcBorders>
              <w:bottom w:val="single" w:sz="4" w:space="0" w:color="auto"/>
            </w:tcBorders>
          </w:tcPr>
          <w:p w14:paraId="2F7F602E" w14:textId="77777777" w:rsidR="00FB218C" w:rsidRPr="007942C1" w:rsidRDefault="00FB218C" w:rsidP="00D353F6">
            <w:pPr>
              <w:spacing w:before="80"/>
            </w:pPr>
            <w:r w:rsidRPr="00140EEF">
              <w:rPr>
                <w:rFonts w:cs="Arial"/>
                <w:sz w:val="22"/>
                <w:szCs w:val="22"/>
              </w:rPr>
              <w:t xml:space="preserve">Executive interference with </w:t>
            </w:r>
            <w:r>
              <w:rPr>
                <w:rFonts w:cs="Arial"/>
                <w:sz w:val="22"/>
                <w:szCs w:val="22"/>
              </w:rPr>
              <w:t>a</w:t>
            </w:r>
            <w:r w:rsidRPr="00140EEF">
              <w:rPr>
                <w:rFonts w:cs="Arial"/>
                <w:sz w:val="22"/>
                <w:szCs w:val="22"/>
              </w:rPr>
              <w:t xml:space="preserve"> </w:t>
            </w:r>
            <w:r>
              <w:rPr>
                <w:rFonts w:cs="Arial"/>
                <w:sz w:val="22"/>
                <w:szCs w:val="22"/>
              </w:rPr>
              <w:t xml:space="preserve">PJDP partner </w:t>
            </w:r>
            <w:r w:rsidRPr="00140EEF">
              <w:rPr>
                <w:rFonts w:cs="Arial"/>
                <w:sz w:val="22"/>
                <w:szCs w:val="22"/>
              </w:rPr>
              <w:t>court</w:t>
            </w:r>
            <w:r>
              <w:rPr>
                <w:rFonts w:cs="Arial"/>
                <w:sz w:val="22"/>
                <w:szCs w:val="22"/>
              </w:rPr>
              <w:t>(</w:t>
            </w:r>
            <w:r w:rsidRPr="00140EEF">
              <w:rPr>
                <w:rFonts w:cs="Arial"/>
                <w:sz w:val="22"/>
                <w:szCs w:val="22"/>
              </w:rPr>
              <w:t>s</w:t>
            </w:r>
            <w:r>
              <w:rPr>
                <w:rFonts w:cs="Arial"/>
                <w:sz w:val="22"/>
                <w:szCs w:val="22"/>
              </w:rPr>
              <w:t>)</w:t>
            </w:r>
            <w:r w:rsidRPr="00140EEF">
              <w:rPr>
                <w:rFonts w:cs="Arial"/>
                <w:sz w:val="22"/>
                <w:szCs w:val="22"/>
              </w:rPr>
              <w:t xml:space="preserve"> and / or PJDP activities.</w:t>
            </w:r>
          </w:p>
        </w:tc>
        <w:tc>
          <w:tcPr>
            <w:tcW w:w="3677" w:type="dxa"/>
            <w:tcBorders>
              <w:bottom w:val="single" w:sz="4" w:space="0" w:color="auto"/>
            </w:tcBorders>
          </w:tcPr>
          <w:p w14:paraId="449992C9" w14:textId="77777777" w:rsidR="00FB218C" w:rsidRPr="007942C1" w:rsidRDefault="00FB218C" w:rsidP="00D353F6">
            <w:pPr>
              <w:spacing w:before="80"/>
            </w:pPr>
            <w:r w:rsidRPr="00140EEF">
              <w:rPr>
                <w:rFonts w:cs="Arial"/>
                <w:sz w:val="22"/>
                <w:szCs w:val="22"/>
              </w:rPr>
              <w:t xml:space="preserve">This can undermine </w:t>
            </w:r>
            <w:r>
              <w:rPr>
                <w:rFonts w:cs="Arial"/>
                <w:sz w:val="22"/>
                <w:szCs w:val="22"/>
              </w:rPr>
              <w:t xml:space="preserve">independence of the judiciary in affected partner courts </w:t>
            </w:r>
            <w:r w:rsidRPr="00140EEF">
              <w:rPr>
                <w:rFonts w:cs="Arial"/>
                <w:sz w:val="22"/>
                <w:szCs w:val="22"/>
              </w:rPr>
              <w:t xml:space="preserve">and </w:t>
            </w:r>
            <w:r>
              <w:rPr>
                <w:rFonts w:cs="Arial"/>
                <w:sz w:val="22"/>
                <w:szCs w:val="22"/>
              </w:rPr>
              <w:t xml:space="preserve">/ or </w:t>
            </w:r>
            <w:r w:rsidRPr="00140EEF">
              <w:rPr>
                <w:rFonts w:cs="Arial"/>
                <w:sz w:val="22"/>
                <w:szCs w:val="22"/>
              </w:rPr>
              <w:t xml:space="preserve">derail </w:t>
            </w:r>
            <w:r>
              <w:rPr>
                <w:rFonts w:cs="Arial"/>
                <w:sz w:val="22"/>
                <w:szCs w:val="22"/>
              </w:rPr>
              <w:t xml:space="preserve">PJDP </w:t>
            </w:r>
            <w:r w:rsidRPr="00140EEF">
              <w:rPr>
                <w:rFonts w:cs="Arial"/>
                <w:sz w:val="22"/>
                <w:szCs w:val="22"/>
              </w:rPr>
              <w:t>activities and their outcomes</w:t>
            </w:r>
            <w:r w:rsidRPr="00350586">
              <w:rPr>
                <w:rFonts w:cs="Arial"/>
                <w:sz w:val="22"/>
                <w:szCs w:val="22"/>
              </w:rPr>
              <w:t>.</w:t>
            </w:r>
          </w:p>
        </w:tc>
        <w:tc>
          <w:tcPr>
            <w:tcW w:w="6386" w:type="dxa"/>
            <w:tcBorders>
              <w:bottom w:val="single" w:sz="4" w:space="0" w:color="auto"/>
            </w:tcBorders>
          </w:tcPr>
          <w:p w14:paraId="52A10D33" w14:textId="77777777" w:rsidR="00FB218C" w:rsidRDefault="00FB218C" w:rsidP="0092092F">
            <w:pPr>
              <w:autoSpaceDE w:val="0"/>
              <w:autoSpaceDN w:val="0"/>
              <w:adjustRightInd w:val="0"/>
              <w:spacing w:before="80"/>
              <w:rPr>
                <w:rFonts w:cs="Arial Narrow"/>
              </w:rPr>
            </w:pPr>
            <w:r w:rsidRPr="00140EEF">
              <w:rPr>
                <w:rFonts w:cs="Arial Narrow"/>
                <w:sz w:val="22"/>
                <w:szCs w:val="22"/>
              </w:rPr>
              <w:t xml:space="preserve">Team Leader to </w:t>
            </w:r>
            <w:r>
              <w:rPr>
                <w:rFonts w:cs="Arial Narrow"/>
                <w:sz w:val="22"/>
                <w:szCs w:val="22"/>
              </w:rPr>
              <w:t>note the matter with PEC Chair</w:t>
            </w:r>
            <w:r w:rsidRPr="00140EEF">
              <w:rPr>
                <w:rFonts w:cs="Arial Narrow"/>
                <w:sz w:val="22"/>
                <w:szCs w:val="22"/>
              </w:rPr>
              <w:t xml:space="preserve"> to encourage dialogue </w:t>
            </w:r>
            <w:r>
              <w:rPr>
                <w:rFonts w:cs="Arial Narrow"/>
                <w:sz w:val="22"/>
                <w:szCs w:val="22"/>
              </w:rPr>
              <w:t xml:space="preserve">and collegial support </w:t>
            </w:r>
            <w:r w:rsidRPr="00140EEF">
              <w:rPr>
                <w:rFonts w:cs="Arial Narrow"/>
                <w:sz w:val="22"/>
                <w:szCs w:val="22"/>
              </w:rPr>
              <w:t>between judiciaries</w:t>
            </w:r>
            <w:r>
              <w:rPr>
                <w:rFonts w:cs="Arial Narrow"/>
                <w:sz w:val="22"/>
                <w:szCs w:val="22"/>
              </w:rPr>
              <w:t xml:space="preserve"> / chief justices.  </w:t>
            </w:r>
          </w:p>
          <w:p w14:paraId="078431C0" w14:textId="77777777" w:rsidR="00FB218C" w:rsidRDefault="00FB218C" w:rsidP="0092092F">
            <w:pPr>
              <w:autoSpaceDE w:val="0"/>
              <w:autoSpaceDN w:val="0"/>
              <w:adjustRightInd w:val="0"/>
              <w:spacing w:before="80"/>
              <w:rPr>
                <w:rFonts w:cs="Arial Narrow"/>
              </w:rPr>
            </w:pPr>
            <w:r w:rsidRPr="00140EEF">
              <w:rPr>
                <w:rFonts w:cs="Arial Narrow"/>
                <w:sz w:val="22"/>
                <w:szCs w:val="22"/>
              </w:rPr>
              <w:t xml:space="preserve">If </w:t>
            </w:r>
            <w:r>
              <w:rPr>
                <w:rFonts w:cs="Arial Narrow"/>
                <w:sz w:val="22"/>
                <w:szCs w:val="22"/>
              </w:rPr>
              <w:t xml:space="preserve">a PJDP activity is impacted upon, the </w:t>
            </w:r>
            <w:r w:rsidRPr="00140EEF">
              <w:rPr>
                <w:rFonts w:cs="Arial Narrow"/>
                <w:sz w:val="22"/>
                <w:szCs w:val="22"/>
              </w:rPr>
              <w:t>T</w:t>
            </w:r>
            <w:r>
              <w:rPr>
                <w:rFonts w:cs="Arial Narrow"/>
                <w:sz w:val="22"/>
                <w:szCs w:val="22"/>
              </w:rPr>
              <w:t xml:space="preserve">eam </w:t>
            </w:r>
            <w:r w:rsidRPr="00140EEF">
              <w:rPr>
                <w:rFonts w:cs="Arial Narrow"/>
                <w:sz w:val="22"/>
                <w:szCs w:val="22"/>
              </w:rPr>
              <w:t>L</w:t>
            </w:r>
            <w:r>
              <w:rPr>
                <w:rFonts w:cs="Arial Narrow"/>
                <w:sz w:val="22"/>
                <w:szCs w:val="22"/>
              </w:rPr>
              <w:t>eader in consultation with the relevant Chief Justice</w:t>
            </w:r>
            <w:r w:rsidRPr="00140EEF">
              <w:rPr>
                <w:rFonts w:cs="Arial Narrow"/>
                <w:sz w:val="22"/>
                <w:szCs w:val="22"/>
              </w:rPr>
              <w:t xml:space="preserve"> will </w:t>
            </w:r>
            <w:r>
              <w:rPr>
                <w:rFonts w:cs="Arial Narrow"/>
                <w:sz w:val="22"/>
                <w:szCs w:val="22"/>
              </w:rPr>
              <w:t xml:space="preserve">assess the situation and </w:t>
            </w:r>
            <w:r w:rsidRPr="00140EEF">
              <w:rPr>
                <w:rFonts w:cs="Arial Narrow"/>
                <w:sz w:val="22"/>
                <w:szCs w:val="22"/>
              </w:rPr>
              <w:t xml:space="preserve">consider </w:t>
            </w:r>
            <w:r>
              <w:rPr>
                <w:rFonts w:cs="Arial Narrow"/>
                <w:sz w:val="22"/>
                <w:szCs w:val="22"/>
              </w:rPr>
              <w:t xml:space="preserve">what action (if any) is required.  If an activity is </w:t>
            </w:r>
            <w:r w:rsidRPr="00140EEF">
              <w:rPr>
                <w:rFonts w:cs="Arial Narrow"/>
                <w:sz w:val="22"/>
                <w:szCs w:val="22"/>
              </w:rPr>
              <w:t>suspend or terminate</w:t>
            </w:r>
            <w:r>
              <w:rPr>
                <w:rFonts w:cs="Arial Narrow"/>
                <w:sz w:val="22"/>
                <w:szCs w:val="22"/>
              </w:rPr>
              <w:t xml:space="preserve">d in a particular PIC, the Team Leader will determine </w:t>
            </w:r>
            <w:r w:rsidRPr="00140EEF">
              <w:rPr>
                <w:rFonts w:cs="Arial Narrow"/>
                <w:sz w:val="22"/>
                <w:szCs w:val="22"/>
              </w:rPr>
              <w:t xml:space="preserve">how </w:t>
            </w:r>
            <w:r>
              <w:rPr>
                <w:rFonts w:cs="Arial Narrow"/>
                <w:sz w:val="22"/>
                <w:szCs w:val="22"/>
              </w:rPr>
              <w:t xml:space="preserve">the affected </w:t>
            </w:r>
            <w:proofErr w:type="gramStart"/>
            <w:r>
              <w:rPr>
                <w:rFonts w:cs="Arial Narrow"/>
                <w:sz w:val="22"/>
                <w:szCs w:val="22"/>
              </w:rPr>
              <w:t>activity(</w:t>
            </w:r>
            <w:proofErr w:type="gramEnd"/>
            <w:r>
              <w:rPr>
                <w:rFonts w:cs="Arial Narrow"/>
                <w:sz w:val="22"/>
                <w:szCs w:val="22"/>
              </w:rPr>
              <w:t xml:space="preserve">-ies) </w:t>
            </w:r>
            <w:r w:rsidRPr="00140EEF">
              <w:rPr>
                <w:rFonts w:cs="Arial Narrow"/>
                <w:sz w:val="22"/>
                <w:szCs w:val="22"/>
              </w:rPr>
              <w:t xml:space="preserve">can be </w:t>
            </w:r>
            <w:r>
              <w:rPr>
                <w:rFonts w:cs="Arial Narrow"/>
                <w:sz w:val="22"/>
                <w:szCs w:val="22"/>
              </w:rPr>
              <w:t xml:space="preserve">implemented with </w:t>
            </w:r>
            <w:r w:rsidRPr="00140EEF">
              <w:rPr>
                <w:rFonts w:cs="Arial Narrow"/>
                <w:sz w:val="22"/>
                <w:szCs w:val="22"/>
              </w:rPr>
              <w:t xml:space="preserve">other </w:t>
            </w:r>
            <w:r>
              <w:rPr>
                <w:rFonts w:cs="Arial Narrow"/>
                <w:sz w:val="22"/>
                <w:szCs w:val="22"/>
              </w:rPr>
              <w:t>interested partner courts.</w:t>
            </w:r>
          </w:p>
          <w:p w14:paraId="75754C84" w14:textId="77777777" w:rsidR="00FB218C" w:rsidRPr="007942C1" w:rsidRDefault="00FB218C" w:rsidP="00D353F6">
            <w:pPr>
              <w:spacing w:before="80"/>
            </w:pPr>
            <w:r>
              <w:rPr>
                <w:rFonts w:cs="Arial Narrow"/>
                <w:sz w:val="22"/>
                <w:szCs w:val="22"/>
              </w:rPr>
              <w:t xml:space="preserve">If an activity is adversely impacted upon, the MSC will inform MFAT of this situation, the likely impact on the </w:t>
            </w:r>
            <w:proofErr w:type="gramStart"/>
            <w:r>
              <w:rPr>
                <w:rFonts w:cs="Arial Narrow"/>
                <w:sz w:val="22"/>
                <w:szCs w:val="22"/>
              </w:rPr>
              <w:t>activity(</w:t>
            </w:r>
            <w:proofErr w:type="gramEnd"/>
            <w:r>
              <w:rPr>
                <w:rFonts w:cs="Arial Narrow"/>
                <w:sz w:val="22"/>
                <w:szCs w:val="22"/>
              </w:rPr>
              <w:t>-ies), and any action that has been or will be taken to re-allocate activities to other PICs.</w:t>
            </w:r>
          </w:p>
        </w:tc>
      </w:tr>
    </w:tbl>
    <w:p w14:paraId="5A224161" w14:textId="77777777" w:rsidR="00832182" w:rsidRDefault="00832182" w:rsidP="00C0501D">
      <w:pPr>
        <w:rPr>
          <w:rFonts w:eastAsia="MS Mincho"/>
          <w:sz w:val="23"/>
          <w:szCs w:val="23"/>
          <w:lang w:eastAsia="en-US"/>
        </w:rPr>
      </w:pPr>
    </w:p>
    <w:sectPr w:rsidR="00832182" w:rsidSect="007B3ED4">
      <w:headerReference w:type="default" r:id="rId27"/>
      <w:footerReference w:type="default" r:id="rId28"/>
      <w:pgSz w:w="16840" w:h="11907" w:orient="landscape" w:code="9"/>
      <w:pgMar w:top="1531" w:right="1361" w:bottom="1304" w:left="1418" w:header="397" w:footer="68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D29570" w14:textId="77777777" w:rsidR="00224AA1" w:rsidRDefault="00224AA1">
      <w:r>
        <w:separator/>
      </w:r>
    </w:p>
  </w:endnote>
  <w:endnote w:type="continuationSeparator" w:id="0">
    <w:p w14:paraId="3AB36A71" w14:textId="77777777" w:rsidR="00224AA1" w:rsidRDefault="00224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5A628" w14:textId="77777777" w:rsidR="0070135D" w:rsidRPr="00C651E1" w:rsidRDefault="0070135D" w:rsidP="000B3556">
    <w:pPr>
      <w:ind w:right="360"/>
      <w:rPr>
        <w:rFonts w:cs="Arial"/>
        <w:sz w:val="2"/>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B5423" w14:textId="77777777" w:rsidR="0070135D" w:rsidRDefault="0070135D"/>
  <w:tbl>
    <w:tblPr>
      <w:tblW w:w="15202" w:type="dxa"/>
      <w:tblInd w:w="-601" w:type="dxa"/>
      <w:tblLayout w:type="fixed"/>
      <w:tblLook w:val="0000" w:firstRow="0" w:lastRow="0" w:firstColumn="0" w:lastColumn="0" w:noHBand="0" w:noVBand="0"/>
    </w:tblPr>
    <w:tblGrid>
      <w:gridCol w:w="13359"/>
      <w:gridCol w:w="1843"/>
    </w:tblGrid>
    <w:tr w:rsidR="0070135D" w:rsidRPr="00FA328D" w14:paraId="0A651213" w14:textId="77777777" w:rsidTr="007B3ED4">
      <w:trPr>
        <w:trHeight w:val="142"/>
      </w:trPr>
      <w:tc>
        <w:tcPr>
          <w:tcW w:w="13359" w:type="dxa"/>
          <w:tcBorders>
            <w:top w:val="single" w:sz="4" w:space="0" w:color="000000"/>
          </w:tcBorders>
        </w:tcPr>
        <w:p w14:paraId="6E6789AB" w14:textId="77777777" w:rsidR="0070135D" w:rsidRPr="000E5050" w:rsidRDefault="0070135D" w:rsidP="00F3710E">
          <w:pPr>
            <w:snapToGrid w:val="0"/>
            <w:spacing w:before="120"/>
            <w:ind w:left="613"/>
            <w:rPr>
              <w:rFonts w:cs="Calibri"/>
              <w:i/>
              <w:sz w:val="20"/>
              <w:szCs w:val="32"/>
            </w:rPr>
          </w:pPr>
          <w:r w:rsidRPr="000E5050">
            <w:rPr>
              <w:i/>
              <w:sz w:val="20"/>
              <w:szCs w:val="32"/>
            </w:rPr>
            <w:t xml:space="preserve">PJDP is implemented by the Federal Court of Australia </w:t>
          </w:r>
          <w:r w:rsidRPr="000E5050">
            <w:rPr>
              <w:rFonts w:cs="Calibri"/>
              <w:i/>
              <w:sz w:val="20"/>
              <w:szCs w:val="32"/>
            </w:rPr>
            <w:t>wi</w:t>
          </w:r>
          <w:r>
            <w:rPr>
              <w:rFonts w:cs="Calibri"/>
              <w:i/>
              <w:sz w:val="20"/>
              <w:szCs w:val="32"/>
            </w:rPr>
            <w:t>th funding support from NZ MFAT</w:t>
          </w:r>
        </w:p>
      </w:tc>
      <w:tc>
        <w:tcPr>
          <w:tcW w:w="1843" w:type="dxa"/>
          <w:tcBorders>
            <w:top w:val="single" w:sz="4" w:space="0" w:color="000000"/>
          </w:tcBorders>
        </w:tcPr>
        <w:p w14:paraId="151965DA" w14:textId="77777777" w:rsidR="0070135D" w:rsidRPr="00230858" w:rsidRDefault="0070135D" w:rsidP="00832182">
          <w:pPr>
            <w:pStyle w:val="Footer"/>
            <w:snapToGrid w:val="0"/>
            <w:spacing w:before="120"/>
            <w:ind w:right="624"/>
            <w:jc w:val="right"/>
            <w:rPr>
              <w:rFonts w:ascii="Arial Narrow" w:hAnsi="Arial Narrow"/>
              <w:sz w:val="2"/>
            </w:rPr>
          </w:pPr>
          <w:r w:rsidRPr="00230858">
            <w:rPr>
              <w:rFonts w:ascii="Arial Narrow" w:hAnsi="Arial Narrow"/>
              <w:sz w:val="20"/>
            </w:rPr>
            <w:t>A</w:t>
          </w:r>
          <w:r>
            <w:rPr>
              <w:rFonts w:ascii="Arial Narrow" w:hAnsi="Arial Narrow"/>
              <w:sz w:val="20"/>
            </w:rPr>
            <w:t>6</w:t>
          </w:r>
          <w:r w:rsidRPr="00230858">
            <w:rPr>
              <w:rFonts w:ascii="Arial Narrow" w:hAnsi="Arial Narrow"/>
              <w:sz w:val="20"/>
            </w:rPr>
            <w:t>-</w:t>
          </w:r>
          <w:r w:rsidRPr="00230858">
            <w:rPr>
              <w:rFonts w:ascii="Arial Narrow" w:hAnsi="Arial Narrow"/>
              <w:sz w:val="20"/>
            </w:rPr>
            <w:fldChar w:fldCharType="begin"/>
          </w:r>
          <w:r w:rsidRPr="00230858">
            <w:rPr>
              <w:rFonts w:ascii="Arial Narrow" w:hAnsi="Arial Narrow"/>
              <w:sz w:val="20"/>
            </w:rPr>
            <w:instrText xml:space="preserve"> PAGE </w:instrText>
          </w:r>
          <w:r w:rsidRPr="00230858">
            <w:rPr>
              <w:rFonts w:ascii="Arial Narrow" w:hAnsi="Arial Narrow"/>
              <w:sz w:val="20"/>
            </w:rPr>
            <w:fldChar w:fldCharType="separate"/>
          </w:r>
          <w:r w:rsidR="00135E44">
            <w:rPr>
              <w:rFonts w:ascii="Arial Narrow" w:hAnsi="Arial Narrow"/>
              <w:noProof/>
              <w:sz w:val="20"/>
            </w:rPr>
            <w:t>2</w:t>
          </w:r>
          <w:r w:rsidRPr="00230858">
            <w:rPr>
              <w:rFonts w:ascii="Arial Narrow" w:hAnsi="Arial Narrow"/>
              <w:sz w:val="20"/>
            </w:rPr>
            <w:fldChar w:fldCharType="end"/>
          </w:r>
        </w:p>
      </w:tc>
    </w:tr>
  </w:tbl>
  <w:p w14:paraId="62730704" w14:textId="77777777" w:rsidR="0070135D" w:rsidRPr="000E5050" w:rsidRDefault="0070135D" w:rsidP="000E5050">
    <w:pPr>
      <w:pStyle w:val="Footer"/>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601" w:type="dxa"/>
      <w:tblLayout w:type="fixed"/>
      <w:tblLook w:val="0000" w:firstRow="0" w:lastRow="0" w:firstColumn="0" w:lastColumn="0" w:noHBand="0" w:noVBand="0"/>
    </w:tblPr>
    <w:tblGrid>
      <w:gridCol w:w="8364"/>
      <w:gridCol w:w="1843"/>
    </w:tblGrid>
    <w:tr w:rsidR="0070135D" w:rsidRPr="00FA328D" w14:paraId="68351FBA" w14:textId="77777777" w:rsidTr="00F20BAA">
      <w:trPr>
        <w:trHeight w:val="142"/>
      </w:trPr>
      <w:tc>
        <w:tcPr>
          <w:tcW w:w="8364" w:type="dxa"/>
          <w:tcBorders>
            <w:top w:val="single" w:sz="4" w:space="0" w:color="000000"/>
          </w:tcBorders>
        </w:tcPr>
        <w:p w14:paraId="0D625D73" w14:textId="77777777" w:rsidR="0070135D" w:rsidRPr="000E5050" w:rsidRDefault="0070135D" w:rsidP="00F3710E">
          <w:pPr>
            <w:snapToGrid w:val="0"/>
            <w:spacing w:before="120"/>
            <w:ind w:left="613"/>
            <w:rPr>
              <w:rFonts w:cs="Calibri"/>
              <w:i/>
              <w:sz w:val="20"/>
              <w:szCs w:val="32"/>
            </w:rPr>
          </w:pPr>
          <w:r w:rsidRPr="000E5050">
            <w:rPr>
              <w:i/>
              <w:sz w:val="20"/>
              <w:szCs w:val="32"/>
            </w:rPr>
            <w:t xml:space="preserve">PJDP is implemented by the Federal Court of Australia </w:t>
          </w:r>
          <w:r w:rsidRPr="000E5050">
            <w:rPr>
              <w:rFonts w:cs="Calibri"/>
              <w:i/>
              <w:sz w:val="20"/>
              <w:szCs w:val="32"/>
            </w:rPr>
            <w:t>wi</w:t>
          </w:r>
          <w:r>
            <w:rPr>
              <w:rFonts w:cs="Calibri"/>
              <w:i/>
              <w:sz w:val="20"/>
              <w:szCs w:val="32"/>
            </w:rPr>
            <w:t>th funding support from NZ MFAT</w:t>
          </w:r>
        </w:p>
      </w:tc>
      <w:tc>
        <w:tcPr>
          <w:tcW w:w="1843" w:type="dxa"/>
          <w:tcBorders>
            <w:top w:val="single" w:sz="4" w:space="0" w:color="000000"/>
          </w:tcBorders>
        </w:tcPr>
        <w:p w14:paraId="11A7AA18" w14:textId="77777777" w:rsidR="0070135D" w:rsidRPr="00230858" w:rsidRDefault="0070135D" w:rsidP="00000795">
          <w:pPr>
            <w:pStyle w:val="Footer"/>
            <w:snapToGrid w:val="0"/>
            <w:spacing w:before="120"/>
            <w:ind w:right="624"/>
            <w:jc w:val="right"/>
            <w:rPr>
              <w:rFonts w:ascii="Arial Narrow" w:hAnsi="Arial Narrow"/>
              <w:sz w:val="2"/>
            </w:rPr>
          </w:pPr>
          <w:r w:rsidRPr="00230858">
            <w:rPr>
              <w:rFonts w:ascii="Arial Narrow" w:hAnsi="Arial Narrow"/>
              <w:sz w:val="20"/>
            </w:rPr>
            <w:fldChar w:fldCharType="begin"/>
          </w:r>
          <w:r w:rsidRPr="00230858">
            <w:rPr>
              <w:rFonts w:ascii="Arial Narrow" w:hAnsi="Arial Narrow"/>
              <w:sz w:val="20"/>
            </w:rPr>
            <w:instrText xml:space="preserve"> PAGE </w:instrText>
          </w:r>
          <w:r w:rsidRPr="00230858">
            <w:rPr>
              <w:rFonts w:ascii="Arial Narrow" w:hAnsi="Arial Narrow"/>
              <w:sz w:val="20"/>
            </w:rPr>
            <w:fldChar w:fldCharType="separate"/>
          </w:r>
          <w:r w:rsidR="00135E44">
            <w:rPr>
              <w:rFonts w:ascii="Arial Narrow" w:hAnsi="Arial Narrow"/>
              <w:noProof/>
              <w:sz w:val="20"/>
            </w:rPr>
            <w:t>ii</w:t>
          </w:r>
          <w:r w:rsidRPr="00230858">
            <w:rPr>
              <w:rFonts w:ascii="Arial Narrow" w:hAnsi="Arial Narrow"/>
              <w:sz w:val="20"/>
            </w:rPr>
            <w:fldChar w:fldCharType="end"/>
          </w:r>
        </w:p>
      </w:tc>
    </w:tr>
  </w:tbl>
  <w:p w14:paraId="590F0793" w14:textId="77777777" w:rsidR="0070135D" w:rsidRPr="000E5050" w:rsidRDefault="0070135D" w:rsidP="000E5050">
    <w:pPr>
      <w:pStyle w:val="Footer"/>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601" w:type="dxa"/>
      <w:tblLayout w:type="fixed"/>
      <w:tblLook w:val="0000" w:firstRow="0" w:lastRow="0" w:firstColumn="0" w:lastColumn="0" w:noHBand="0" w:noVBand="0"/>
    </w:tblPr>
    <w:tblGrid>
      <w:gridCol w:w="8364"/>
      <w:gridCol w:w="1843"/>
    </w:tblGrid>
    <w:tr w:rsidR="0070135D" w:rsidRPr="00FA328D" w14:paraId="525BF966" w14:textId="77777777" w:rsidTr="00F20BAA">
      <w:trPr>
        <w:trHeight w:val="142"/>
      </w:trPr>
      <w:tc>
        <w:tcPr>
          <w:tcW w:w="8364" w:type="dxa"/>
          <w:tcBorders>
            <w:top w:val="single" w:sz="4" w:space="0" w:color="000000"/>
          </w:tcBorders>
        </w:tcPr>
        <w:p w14:paraId="6144E206" w14:textId="77777777" w:rsidR="0070135D" w:rsidRPr="000E5050" w:rsidRDefault="0070135D" w:rsidP="00F3710E">
          <w:pPr>
            <w:snapToGrid w:val="0"/>
            <w:spacing w:before="120"/>
            <w:ind w:left="613"/>
            <w:rPr>
              <w:rFonts w:cs="Calibri"/>
              <w:i/>
              <w:sz w:val="20"/>
              <w:szCs w:val="32"/>
            </w:rPr>
          </w:pPr>
          <w:r w:rsidRPr="006D7204">
            <w:rPr>
              <w:i/>
              <w:sz w:val="20"/>
              <w:szCs w:val="32"/>
            </w:rPr>
            <w:t>PJDP is implemented by the Federal Court of Australia</w:t>
          </w:r>
          <w:r w:rsidRPr="000E5050">
            <w:rPr>
              <w:b/>
              <w:bCs/>
              <w:i/>
              <w:smallCaps/>
              <w:sz w:val="20"/>
              <w:szCs w:val="32"/>
            </w:rPr>
            <w:t xml:space="preserve"> </w:t>
          </w:r>
          <w:r w:rsidRPr="000E5050">
            <w:rPr>
              <w:rFonts w:cs="Calibri"/>
              <w:i/>
              <w:sz w:val="20"/>
              <w:szCs w:val="32"/>
            </w:rPr>
            <w:t>wi</w:t>
          </w:r>
          <w:r>
            <w:rPr>
              <w:rFonts w:cs="Calibri"/>
              <w:i/>
              <w:sz w:val="20"/>
              <w:szCs w:val="32"/>
            </w:rPr>
            <w:t>th funding support from NZ MFAT</w:t>
          </w:r>
        </w:p>
      </w:tc>
      <w:tc>
        <w:tcPr>
          <w:tcW w:w="1843" w:type="dxa"/>
          <w:tcBorders>
            <w:top w:val="single" w:sz="4" w:space="0" w:color="000000"/>
          </w:tcBorders>
        </w:tcPr>
        <w:p w14:paraId="2A9FDFDD" w14:textId="77777777" w:rsidR="0070135D" w:rsidRPr="00230858" w:rsidRDefault="0070135D" w:rsidP="00000795">
          <w:pPr>
            <w:pStyle w:val="Footer"/>
            <w:snapToGrid w:val="0"/>
            <w:spacing w:before="120"/>
            <w:ind w:right="624"/>
            <w:jc w:val="right"/>
            <w:rPr>
              <w:rFonts w:ascii="Arial Narrow" w:hAnsi="Arial Narrow"/>
              <w:sz w:val="2"/>
            </w:rPr>
          </w:pPr>
          <w:r w:rsidRPr="00230858">
            <w:rPr>
              <w:rFonts w:ascii="Arial Narrow" w:hAnsi="Arial Narrow"/>
              <w:sz w:val="20"/>
            </w:rPr>
            <w:fldChar w:fldCharType="begin"/>
          </w:r>
          <w:r w:rsidRPr="00230858">
            <w:rPr>
              <w:rFonts w:ascii="Arial Narrow" w:hAnsi="Arial Narrow"/>
              <w:sz w:val="20"/>
            </w:rPr>
            <w:instrText xml:space="preserve"> PAGE </w:instrText>
          </w:r>
          <w:r w:rsidRPr="00230858">
            <w:rPr>
              <w:rFonts w:ascii="Arial Narrow" w:hAnsi="Arial Narrow"/>
              <w:sz w:val="20"/>
            </w:rPr>
            <w:fldChar w:fldCharType="separate"/>
          </w:r>
          <w:r w:rsidR="00135E44">
            <w:rPr>
              <w:rFonts w:ascii="Arial Narrow" w:hAnsi="Arial Narrow"/>
              <w:noProof/>
              <w:sz w:val="20"/>
            </w:rPr>
            <w:t>10</w:t>
          </w:r>
          <w:r w:rsidRPr="00230858">
            <w:rPr>
              <w:rFonts w:ascii="Arial Narrow" w:hAnsi="Arial Narrow"/>
              <w:sz w:val="20"/>
            </w:rPr>
            <w:fldChar w:fldCharType="end"/>
          </w:r>
        </w:p>
      </w:tc>
    </w:tr>
  </w:tbl>
  <w:p w14:paraId="2D7BAF46" w14:textId="77777777" w:rsidR="0070135D" w:rsidRPr="000E5050" w:rsidRDefault="0070135D" w:rsidP="000E5050">
    <w:pPr>
      <w:pStyle w:val="Footer"/>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2AF9F" w14:textId="77777777" w:rsidR="0070135D" w:rsidRDefault="0070135D"/>
  <w:tbl>
    <w:tblPr>
      <w:tblW w:w="10490" w:type="dxa"/>
      <w:tblInd w:w="-601" w:type="dxa"/>
      <w:tblLayout w:type="fixed"/>
      <w:tblLook w:val="0000" w:firstRow="0" w:lastRow="0" w:firstColumn="0" w:lastColumn="0" w:noHBand="0" w:noVBand="0"/>
    </w:tblPr>
    <w:tblGrid>
      <w:gridCol w:w="8647"/>
      <w:gridCol w:w="1843"/>
    </w:tblGrid>
    <w:tr w:rsidR="0070135D" w:rsidRPr="00FA328D" w14:paraId="50870127" w14:textId="77777777" w:rsidTr="008D3605">
      <w:trPr>
        <w:trHeight w:val="142"/>
      </w:trPr>
      <w:tc>
        <w:tcPr>
          <w:tcW w:w="8647" w:type="dxa"/>
          <w:tcBorders>
            <w:top w:val="single" w:sz="4" w:space="0" w:color="000000"/>
          </w:tcBorders>
        </w:tcPr>
        <w:p w14:paraId="53F82F37" w14:textId="77777777" w:rsidR="0070135D" w:rsidRPr="000E5050" w:rsidRDefault="0070135D" w:rsidP="008D3605">
          <w:pPr>
            <w:snapToGrid w:val="0"/>
            <w:spacing w:before="120"/>
            <w:ind w:left="613" w:right="360"/>
            <w:rPr>
              <w:rFonts w:cs="Calibri"/>
              <w:i/>
              <w:sz w:val="20"/>
              <w:szCs w:val="32"/>
            </w:rPr>
          </w:pPr>
          <w:r w:rsidRPr="000E5050">
            <w:rPr>
              <w:i/>
              <w:sz w:val="20"/>
              <w:szCs w:val="32"/>
            </w:rPr>
            <w:t xml:space="preserve">PJDP is implemented by the Federal Court of Australia </w:t>
          </w:r>
          <w:r w:rsidRPr="000E5050">
            <w:rPr>
              <w:rFonts w:cs="Calibri"/>
              <w:i/>
              <w:sz w:val="20"/>
              <w:szCs w:val="32"/>
            </w:rPr>
            <w:t>with fundi</w:t>
          </w:r>
          <w:r>
            <w:rPr>
              <w:rFonts w:cs="Calibri"/>
              <w:i/>
              <w:sz w:val="20"/>
              <w:szCs w:val="32"/>
            </w:rPr>
            <w:t>ng support from NZ MFAT</w:t>
          </w:r>
        </w:p>
      </w:tc>
      <w:tc>
        <w:tcPr>
          <w:tcW w:w="1843" w:type="dxa"/>
          <w:tcBorders>
            <w:top w:val="single" w:sz="4" w:space="0" w:color="000000"/>
          </w:tcBorders>
        </w:tcPr>
        <w:p w14:paraId="7338439E" w14:textId="77777777" w:rsidR="0070135D" w:rsidRPr="00554F9E" w:rsidRDefault="0070135D" w:rsidP="00294CDB">
          <w:pPr>
            <w:pStyle w:val="Footer"/>
            <w:spacing w:before="120"/>
            <w:ind w:right="459"/>
            <w:jc w:val="right"/>
            <w:rPr>
              <w:rFonts w:ascii="Arial Narrow" w:hAnsi="Arial Narrow"/>
              <w:sz w:val="20"/>
            </w:rPr>
          </w:pPr>
        </w:p>
      </w:tc>
    </w:tr>
  </w:tbl>
  <w:p w14:paraId="66441FA4" w14:textId="77777777" w:rsidR="0070135D" w:rsidRPr="000E5050" w:rsidRDefault="0070135D" w:rsidP="00CF6E3C">
    <w:pPr>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110" w:type="dxa"/>
      <w:tblInd w:w="-601" w:type="dxa"/>
      <w:tblLayout w:type="fixed"/>
      <w:tblLook w:val="0000" w:firstRow="0" w:lastRow="0" w:firstColumn="0" w:lastColumn="0" w:noHBand="0" w:noVBand="0"/>
    </w:tblPr>
    <w:tblGrid>
      <w:gridCol w:w="12367"/>
      <w:gridCol w:w="2743"/>
    </w:tblGrid>
    <w:tr w:rsidR="0070135D" w:rsidRPr="00FA328D" w14:paraId="6745002E" w14:textId="77777777" w:rsidTr="007B3ED4">
      <w:trPr>
        <w:trHeight w:val="170"/>
      </w:trPr>
      <w:tc>
        <w:tcPr>
          <w:tcW w:w="12367" w:type="dxa"/>
          <w:tcBorders>
            <w:top w:val="single" w:sz="4" w:space="0" w:color="000000"/>
          </w:tcBorders>
        </w:tcPr>
        <w:p w14:paraId="41DDD829" w14:textId="77777777" w:rsidR="0070135D" w:rsidRPr="000E5050" w:rsidRDefault="0070135D" w:rsidP="006B507D">
          <w:pPr>
            <w:snapToGrid w:val="0"/>
            <w:spacing w:before="120"/>
            <w:ind w:left="613" w:right="360"/>
            <w:rPr>
              <w:rFonts w:cs="Calibri"/>
              <w:i/>
              <w:sz w:val="20"/>
              <w:szCs w:val="32"/>
            </w:rPr>
          </w:pPr>
          <w:r w:rsidRPr="000E5050">
            <w:rPr>
              <w:i/>
              <w:sz w:val="20"/>
              <w:szCs w:val="32"/>
            </w:rPr>
            <w:t xml:space="preserve">PJDP is implemented by the Federal Court of Australia </w:t>
          </w:r>
          <w:r w:rsidRPr="000E5050">
            <w:rPr>
              <w:rFonts w:cs="Calibri"/>
              <w:i/>
              <w:sz w:val="20"/>
              <w:szCs w:val="32"/>
            </w:rPr>
            <w:t>with fundi</w:t>
          </w:r>
          <w:r>
            <w:rPr>
              <w:rFonts w:cs="Calibri"/>
              <w:i/>
              <w:sz w:val="20"/>
              <w:szCs w:val="32"/>
            </w:rPr>
            <w:t>ng support from NZ MFAT</w:t>
          </w:r>
        </w:p>
      </w:tc>
      <w:tc>
        <w:tcPr>
          <w:tcW w:w="2743" w:type="dxa"/>
          <w:tcBorders>
            <w:top w:val="single" w:sz="4" w:space="0" w:color="000000"/>
          </w:tcBorders>
        </w:tcPr>
        <w:p w14:paraId="76BA61C0" w14:textId="77777777" w:rsidR="0070135D" w:rsidRPr="00554F9E" w:rsidRDefault="0070135D" w:rsidP="004D0D0F">
          <w:pPr>
            <w:pStyle w:val="Footer"/>
            <w:spacing w:before="120"/>
            <w:ind w:right="459"/>
            <w:jc w:val="right"/>
            <w:rPr>
              <w:rFonts w:ascii="Arial Narrow" w:hAnsi="Arial Narrow"/>
              <w:sz w:val="20"/>
            </w:rPr>
          </w:pPr>
          <w:r>
            <w:rPr>
              <w:rFonts w:ascii="Arial Narrow" w:hAnsi="Arial Narrow"/>
              <w:sz w:val="20"/>
            </w:rPr>
            <w:t>A1-</w:t>
          </w:r>
          <w:r w:rsidRPr="00554F9E">
            <w:rPr>
              <w:rFonts w:ascii="Arial Narrow" w:hAnsi="Arial Narrow"/>
              <w:sz w:val="20"/>
            </w:rPr>
            <w:fldChar w:fldCharType="begin"/>
          </w:r>
          <w:r w:rsidRPr="00554F9E">
            <w:rPr>
              <w:rFonts w:ascii="Arial Narrow" w:hAnsi="Arial Narrow"/>
              <w:sz w:val="20"/>
            </w:rPr>
            <w:instrText xml:space="preserve"> PAGE   \* MERGEFORMAT </w:instrText>
          </w:r>
          <w:r w:rsidRPr="00554F9E">
            <w:rPr>
              <w:rFonts w:ascii="Arial Narrow" w:hAnsi="Arial Narrow"/>
              <w:sz w:val="20"/>
            </w:rPr>
            <w:fldChar w:fldCharType="separate"/>
          </w:r>
          <w:r w:rsidR="00135E44">
            <w:rPr>
              <w:rFonts w:ascii="Arial Narrow" w:hAnsi="Arial Narrow"/>
              <w:noProof/>
              <w:sz w:val="20"/>
            </w:rPr>
            <w:t>15</w:t>
          </w:r>
          <w:r w:rsidRPr="00554F9E">
            <w:rPr>
              <w:rFonts w:ascii="Arial Narrow" w:hAnsi="Arial Narrow"/>
              <w:sz w:val="20"/>
            </w:rPr>
            <w:fldChar w:fldCharType="end"/>
          </w:r>
        </w:p>
      </w:tc>
    </w:tr>
  </w:tbl>
  <w:p w14:paraId="5D24C13F" w14:textId="77777777" w:rsidR="0070135D" w:rsidRPr="000E5050" w:rsidRDefault="0070135D" w:rsidP="000E5050">
    <w:pPr>
      <w:pStyle w:val="Footer"/>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8" w:type="dxa"/>
      <w:tblInd w:w="-601" w:type="dxa"/>
      <w:tblLayout w:type="fixed"/>
      <w:tblLook w:val="0000" w:firstRow="0" w:lastRow="0" w:firstColumn="0" w:lastColumn="0" w:noHBand="0" w:noVBand="0"/>
    </w:tblPr>
    <w:tblGrid>
      <w:gridCol w:w="8222"/>
      <w:gridCol w:w="2126"/>
    </w:tblGrid>
    <w:tr w:rsidR="0070135D" w:rsidRPr="00FA328D" w14:paraId="32BCE419" w14:textId="77777777" w:rsidTr="00027BD2">
      <w:trPr>
        <w:trHeight w:val="170"/>
      </w:trPr>
      <w:tc>
        <w:tcPr>
          <w:tcW w:w="8222" w:type="dxa"/>
          <w:tcBorders>
            <w:top w:val="single" w:sz="4" w:space="0" w:color="000000"/>
          </w:tcBorders>
        </w:tcPr>
        <w:p w14:paraId="067626A6" w14:textId="77777777" w:rsidR="0070135D" w:rsidRPr="000E5050" w:rsidRDefault="0070135D" w:rsidP="006B507D">
          <w:pPr>
            <w:snapToGrid w:val="0"/>
            <w:spacing w:before="120"/>
            <w:ind w:left="613" w:right="360"/>
            <w:rPr>
              <w:rFonts w:cs="Calibri"/>
              <w:i/>
              <w:sz w:val="20"/>
              <w:szCs w:val="32"/>
            </w:rPr>
          </w:pPr>
          <w:r w:rsidRPr="000E5050">
            <w:rPr>
              <w:i/>
              <w:sz w:val="20"/>
              <w:szCs w:val="32"/>
            </w:rPr>
            <w:t xml:space="preserve">PJDP is implemented by the Federal Court of Australia </w:t>
          </w:r>
          <w:r w:rsidRPr="000E5050">
            <w:rPr>
              <w:rFonts w:cs="Calibri"/>
              <w:i/>
              <w:sz w:val="20"/>
              <w:szCs w:val="32"/>
            </w:rPr>
            <w:t>with fundi</w:t>
          </w:r>
          <w:r>
            <w:rPr>
              <w:rFonts w:cs="Calibri"/>
              <w:i/>
              <w:sz w:val="20"/>
              <w:szCs w:val="32"/>
            </w:rPr>
            <w:t>ng support from NZ MFAT</w:t>
          </w:r>
        </w:p>
      </w:tc>
      <w:tc>
        <w:tcPr>
          <w:tcW w:w="2126" w:type="dxa"/>
          <w:tcBorders>
            <w:top w:val="single" w:sz="4" w:space="0" w:color="000000"/>
          </w:tcBorders>
        </w:tcPr>
        <w:p w14:paraId="7DB563A6" w14:textId="77777777" w:rsidR="0070135D" w:rsidRPr="00554F9E" w:rsidRDefault="0070135D" w:rsidP="00DC625E">
          <w:pPr>
            <w:pStyle w:val="Footer"/>
            <w:spacing w:before="120"/>
            <w:ind w:right="459"/>
            <w:jc w:val="right"/>
            <w:rPr>
              <w:rFonts w:ascii="Arial Narrow" w:hAnsi="Arial Narrow"/>
              <w:sz w:val="20"/>
            </w:rPr>
          </w:pPr>
          <w:r>
            <w:rPr>
              <w:rFonts w:ascii="Arial Narrow" w:hAnsi="Arial Narrow"/>
              <w:sz w:val="20"/>
            </w:rPr>
            <w:t>A2-</w:t>
          </w:r>
          <w:r w:rsidRPr="00554F9E">
            <w:rPr>
              <w:rFonts w:ascii="Arial Narrow" w:hAnsi="Arial Narrow"/>
              <w:sz w:val="20"/>
            </w:rPr>
            <w:fldChar w:fldCharType="begin"/>
          </w:r>
          <w:r w:rsidRPr="00554F9E">
            <w:rPr>
              <w:rFonts w:ascii="Arial Narrow" w:hAnsi="Arial Narrow"/>
              <w:sz w:val="20"/>
            </w:rPr>
            <w:instrText xml:space="preserve"> PAGE   \* MERGEFORMAT </w:instrText>
          </w:r>
          <w:r w:rsidRPr="00554F9E">
            <w:rPr>
              <w:rFonts w:ascii="Arial Narrow" w:hAnsi="Arial Narrow"/>
              <w:sz w:val="20"/>
            </w:rPr>
            <w:fldChar w:fldCharType="separate"/>
          </w:r>
          <w:r w:rsidR="00135E44">
            <w:rPr>
              <w:rFonts w:ascii="Arial Narrow" w:hAnsi="Arial Narrow"/>
              <w:noProof/>
              <w:sz w:val="20"/>
            </w:rPr>
            <w:t>1</w:t>
          </w:r>
          <w:r w:rsidRPr="00554F9E">
            <w:rPr>
              <w:rFonts w:ascii="Arial Narrow" w:hAnsi="Arial Narrow"/>
              <w:sz w:val="20"/>
            </w:rPr>
            <w:fldChar w:fldCharType="end"/>
          </w:r>
        </w:p>
      </w:tc>
    </w:tr>
  </w:tbl>
  <w:p w14:paraId="13875240" w14:textId="77777777" w:rsidR="0070135D" w:rsidRPr="000E5050" w:rsidRDefault="0070135D" w:rsidP="000E5050">
    <w:pPr>
      <w:pStyle w:val="Footer"/>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110" w:type="dxa"/>
      <w:tblInd w:w="-601" w:type="dxa"/>
      <w:tblLayout w:type="fixed"/>
      <w:tblLook w:val="0000" w:firstRow="0" w:lastRow="0" w:firstColumn="0" w:lastColumn="0" w:noHBand="0" w:noVBand="0"/>
    </w:tblPr>
    <w:tblGrid>
      <w:gridCol w:w="12367"/>
      <w:gridCol w:w="2743"/>
    </w:tblGrid>
    <w:tr w:rsidR="0070135D" w:rsidRPr="00FA328D" w14:paraId="0A8BB003" w14:textId="77777777" w:rsidTr="007B3ED4">
      <w:trPr>
        <w:trHeight w:val="170"/>
      </w:trPr>
      <w:tc>
        <w:tcPr>
          <w:tcW w:w="12367" w:type="dxa"/>
          <w:tcBorders>
            <w:top w:val="single" w:sz="4" w:space="0" w:color="000000"/>
          </w:tcBorders>
        </w:tcPr>
        <w:p w14:paraId="2CBC0D19" w14:textId="77777777" w:rsidR="0070135D" w:rsidRPr="000E5050" w:rsidRDefault="0070135D" w:rsidP="00794CC9">
          <w:pPr>
            <w:snapToGrid w:val="0"/>
            <w:spacing w:before="120"/>
            <w:ind w:left="613" w:right="360"/>
            <w:rPr>
              <w:rFonts w:cs="Calibri"/>
              <w:i/>
              <w:sz w:val="20"/>
              <w:szCs w:val="32"/>
            </w:rPr>
          </w:pPr>
          <w:r w:rsidRPr="000E5050">
            <w:rPr>
              <w:i/>
              <w:sz w:val="20"/>
              <w:szCs w:val="32"/>
            </w:rPr>
            <w:t xml:space="preserve">PJDP is implemented by the Federal Court of Australia </w:t>
          </w:r>
          <w:r w:rsidRPr="000E5050">
            <w:rPr>
              <w:rFonts w:cs="Calibri"/>
              <w:i/>
              <w:sz w:val="20"/>
              <w:szCs w:val="32"/>
            </w:rPr>
            <w:t>with fundi</w:t>
          </w:r>
          <w:r>
            <w:rPr>
              <w:rFonts w:cs="Calibri"/>
              <w:i/>
              <w:sz w:val="20"/>
              <w:szCs w:val="32"/>
            </w:rPr>
            <w:t>ng support from NZ MFAT</w:t>
          </w:r>
        </w:p>
      </w:tc>
      <w:tc>
        <w:tcPr>
          <w:tcW w:w="2743" w:type="dxa"/>
          <w:tcBorders>
            <w:top w:val="single" w:sz="4" w:space="0" w:color="000000"/>
          </w:tcBorders>
        </w:tcPr>
        <w:p w14:paraId="454F3406" w14:textId="77777777" w:rsidR="0070135D" w:rsidRPr="00554F9E" w:rsidRDefault="0070135D" w:rsidP="00912465">
          <w:pPr>
            <w:pStyle w:val="Footer"/>
            <w:spacing w:before="120"/>
            <w:ind w:right="459"/>
            <w:jc w:val="right"/>
            <w:rPr>
              <w:rFonts w:ascii="Arial Narrow" w:hAnsi="Arial Narrow"/>
              <w:sz w:val="20"/>
            </w:rPr>
          </w:pPr>
          <w:r>
            <w:rPr>
              <w:rFonts w:ascii="Arial Narrow" w:hAnsi="Arial Narrow"/>
              <w:sz w:val="20"/>
            </w:rPr>
            <w:t>A3-</w:t>
          </w:r>
          <w:r w:rsidRPr="00554F9E">
            <w:rPr>
              <w:rFonts w:ascii="Arial Narrow" w:hAnsi="Arial Narrow"/>
              <w:sz w:val="20"/>
            </w:rPr>
            <w:fldChar w:fldCharType="begin"/>
          </w:r>
          <w:r w:rsidRPr="00554F9E">
            <w:rPr>
              <w:rFonts w:ascii="Arial Narrow" w:hAnsi="Arial Narrow"/>
              <w:sz w:val="20"/>
            </w:rPr>
            <w:instrText xml:space="preserve"> PAGE   \* MERGEFORMAT </w:instrText>
          </w:r>
          <w:r w:rsidRPr="00554F9E">
            <w:rPr>
              <w:rFonts w:ascii="Arial Narrow" w:hAnsi="Arial Narrow"/>
              <w:sz w:val="20"/>
            </w:rPr>
            <w:fldChar w:fldCharType="separate"/>
          </w:r>
          <w:r w:rsidR="00135E44">
            <w:rPr>
              <w:rFonts w:ascii="Arial Narrow" w:hAnsi="Arial Narrow"/>
              <w:noProof/>
              <w:sz w:val="20"/>
            </w:rPr>
            <w:t>1</w:t>
          </w:r>
          <w:r w:rsidRPr="00554F9E">
            <w:rPr>
              <w:rFonts w:ascii="Arial Narrow" w:hAnsi="Arial Narrow"/>
              <w:sz w:val="20"/>
            </w:rPr>
            <w:fldChar w:fldCharType="end"/>
          </w:r>
        </w:p>
      </w:tc>
    </w:tr>
  </w:tbl>
  <w:p w14:paraId="2BEC10CC" w14:textId="77777777" w:rsidR="0070135D" w:rsidRPr="00510707" w:rsidRDefault="0070135D" w:rsidP="00510707">
    <w:pPr>
      <w:pStyle w:val="Footer"/>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110" w:type="dxa"/>
      <w:tblInd w:w="-601" w:type="dxa"/>
      <w:tblLayout w:type="fixed"/>
      <w:tblLook w:val="0000" w:firstRow="0" w:lastRow="0" w:firstColumn="0" w:lastColumn="0" w:noHBand="0" w:noVBand="0"/>
    </w:tblPr>
    <w:tblGrid>
      <w:gridCol w:w="12367"/>
      <w:gridCol w:w="2743"/>
    </w:tblGrid>
    <w:tr w:rsidR="0070135D" w:rsidRPr="00FA328D" w14:paraId="54A13AE7" w14:textId="77777777" w:rsidTr="007B3ED4">
      <w:trPr>
        <w:trHeight w:val="170"/>
      </w:trPr>
      <w:tc>
        <w:tcPr>
          <w:tcW w:w="12367" w:type="dxa"/>
          <w:tcBorders>
            <w:top w:val="single" w:sz="4" w:space="0" w:color="000000"/>
          </w:tcBorders>
        </w:tcPr>
        <w:p w14:paraId="6C45BF6E" w14:textId="77777777" w:rsidR="0070135D" w:rsidRPr="000E5050" w:rsidRDefault="0070135D" w:rsidP="00794CC9">
          <w:pPr>
            <w:snapToGrid w:val="0"/>
            <w:spacing w:before="120"/>
            <w:ind w:left="613" w:right="360"/>
            <w:rPr>
              <w:rFonts w:cs="Calibri"/>
              <w:i/>
              <w:sz w:val="20"/>
              <w:szCs w:val="32"/>
            </w:rPr>
          </w:pPr>
          <w:r w:rsidRPr="000E5050">
            <w:rPr>
              <w:i/>
              <w:sz w:val="20"/>
              <w:szCs w:val="32"/>
            </w:rPr>
            <w:t xml:space="preserve">PJDP is implemented by the Federal Court of Australia </w:t>
          </w:r>
          <w:r w:rsidRPr="000E5050">
            <w:rPr>
              <w:rFonts w:cs="Calibri"/>
              <w:i/>
              <w:sz w:val="20"/>
              <w:szCs w:val="32"/>
            </w:rPr>
            <w:t>with fundi</w:t>
          </w:r>
          <w:r>
            <w:rPr>
              <w:rFonts w:cs="Calibri"/>
              <w:i/>
              <w:sz w:val="20"/>
              <w:szCs w:val="32"/>
            </w:rPr>
            <w:t>ng support from NZ MFAT</w:t>
          </w:r>
        </w:p>
      </w:tc>
      <w:tc>
        <w:tcPr>
          <w:tcW w:w="2743" w:type="dxa"/>
          <w:tcBorders>
            <w:top w:val="single" w:sz="4" w:space="0" w:color="000000"/>
          </w:tcBorders>
        </w:tcPr>
        <w:p w14:paraId="4ACDCF94" w14:textId="77777777" w:rsidR="0070135D" w:rsidRPr="00554F9E" w:rsidRDefault="0070135D" w:rsidP="00702C3A">
          <w:pPr>
            <w:pStyle w:val="Footer"/>
            <w:spacing w:before="120"/>
            <w:ind w:right="459"/>
            <w:jc w:val="right"/>
            <w:rPr>
              <w:rFonts w:ascii="Arial Narrow" w:hAnsi="Arial Narrow"/>
              <w:sz w:val="20"/>
            </w:rPr>
          </w:pPr>
          <w:r>
            <w:rPr>
              <w:rFonts w:ascii="Arial Narrow" w:hAnsi="Arial Narrow"/>
              <w:sz w:val="20"/>
            </w:rPr>
            <w:t>A4-</w:t>
          </w:r>
          <w:r w:rsidRPr="00554F9E">
            <w:rPr>
              <w:rFonts w:ascii="Arial Narrow" w:hAnsi="Arial Narrow"/>
              <w:sz w:val="20"/>
            </w:rPr>
            <w:fldChar w:fldCharType="begin"/>
          </w:r>
          <w:r w:rsidRPr="00554F9E">
            <w:rPr>
              <w:rFonts w:ascii="Arial Narrow" w:hAnsi="Arial Narrow"/>
              <w:sz w:val="20"/>
            </w:rPr>
            <w:instrText xml:space="preserve"> PAGE   \* MERGEFORMAT </w:instrText>
          </w:r>
          <w:r w:rsidRPr="00554F9E">
            <w:rPr>
              <w:rFonts w:ascii="Arial Narrow" w:hAnsi="Arial Narrow"/>
              <w:sz w:val="20"/>
            </w:rPr>
            <w:fldChar w:fldCharType="separate"/>
          </w:r>
          <w:r w:rsidR="00135E44">
            <w:rPr>
              <w:rFonts w:ascii="Arial Narrow" w:hAnsi="Arial Narrow"/>
              <w:noProof/>
              <w:sz w:val="20"/>
            </w:rPr>
            <w:t>1</w:t>
          </w:r>
          <w:r w:rsidRPr="00554F9E">
            <w:rPr>
              <w:rFonts w:ascii="Arial Narrow" w:hAnsi="Arial Narrow"/>
              <w:sz w:val="20"/>
            </w:rPr>
            <w:fldChar w:fldCharType="end"/>
          </w:r>
        </w:p>
      </w:tc>
    </w:tr>
  </w:tbl>
  <w:p w14:paraId="485D9D77" w14:textId="77777777" w:rsidR="0070135D" w:rsidRPr="00510707" w:rsidRDefault="0070135D" w:rsidP="00510707">
    <w:pPr>
      <w:pStyle w:val="Footer"/>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110" w:type="dxa"/>
      <w:tblInd w:w="-601" w:type="dxa"/>
      <w:tblLayout w:type="fixed"/>
      <w:tblLook w:val="0000" w:firstRow="0" w:lastRow="0" w:firstColumn="0" w:lastColumn="0" w:noHBand="0" w:noVBand="0"/>
    </w:tblPr>
    <w:tblGrid>
      <w:gridCol w:w="12367"/>
      <w:gridCol w:w="2743"/>
    </w:tblGrid>
    <w:tr w:rsidR="0070135D" w:rsidRPr="00FA328D" w14:paraId="6F9C1620" w14:textId="77777777" w:rsidTr="007B3ED4">
      <w:trPr>
        <w:trHeight w:val="170"/>
      </w:trPr>
      <w:tc>
        <w:tcPr>
          <w:tcW w:w="12367" w:type="dxa"/>
          <w:tcBorders>
            <w:top w:val="single" w:sz="4" w:space="0" w:color="000000"/>
          </w:tcBorders>
        </w:tcPr>
        <w:p w14:paraId="120EB971" w14:textId="77777777" w:rsidR="0070135D" w:rsidRPr="000E5050" w:rsidRDefault="0070135D" w:rsidP="00794CC9">
          <w:pPr>
            <w:snapToGrid w:val="0"/>
            <w:spacing w:before="120"/>
            <w:ind w:left="613" w:right="360"/>
            <w:rPr>
              <w:rFonts w:cs="Calibri"/>
              <w:i/>
              <w:sz w:val="20"/>
              <w:szCs w:val="32"/>
            </w:rPr>
          </w:pPr>
          <w:r w:rsidRPr="000E5050">
            <w:rPr>
              <w:i/>
              <w:sz w:val="20"/>
              <w:szCs w:val="32"/>
            </w:rPr>
            <w:t xml:space="preserve">PJDP is implemented by the Federal Court of Australia </w:t>
          </w:r>
          <w:r w:rsidRPr="000E5050">
            <w:rPr>
              <w:rFonts w:cs="Calibri"/>
              <w:i/>
              <w:sz w:val="20"/>
              <w:szCs w:val="32"/>
            </w:rPr>
            <w:t>with fundi</w:t>
          </w:r>
          <w:r>
            <w:rPr>
              <w:rFonts w:cs="Calibri"/>
              <w:i/>
              <w:sz w:val="20"/>
              <w:szCs w:val="32"/>
            </w:rPr>
            <w:t>ng support from NZ MFAT</w:t>
          </w:r>
        </w:p>
      </w:tc>
      <w:tc>
        <w:tcPr>
          <w:tcW w:w="2743" w:type="dxa"/>
          <w:tcBorders>
            <w:top w:val="single" w:sz="4" w:space="0" w:color="000000"/>
          </w:tcBorders>
        </w:tcPr>
        <w:p w14:paraId="59ECE1B7" w14:textId="77777777" w:rsidR="0070135D" w:rsidRPr="00554F9E" w:rsidRDefault="0070135D" w:rsidP="004C4C6C">
          <w:pPr>
            <w:pStyle w:val="Footer"/>
            <w:spacing w:before="120"/>
            <w:ind w:right="459"/>
            <w:jc w:val="right"/>
            <w:rPr>
              <w:rFonts w:ascii="Arial Narrow" w:hAnsi="Arial Narrow"/>
              <w:sz w:val="20"/>
            </w:rPr>
          </w:pPr>
          <w:r>
            <w:rPr>
              <w:rFonts w:ascii="Arial Narrow" w:hAnsi="Arial Narrow"/>
              <w:sz w:val="20"/>
            </w:rPr>
            <w:t>A5-</w:t>
          </w:r>
          <w:r w:rsidRPr="00554F9E">
            <w:rPr>
              <w:rFonts w:ascii="Arial Narrow" w:hAnsi="Arial Narrow"/>
              <w:sz w:val="20"/>
            </w:rPr>
            <w:fldChar w:fldCharType="begin"/>
          </w:r>
          <w:r w:rsidRPr="00554F9E">
            <w:rPr>
              <w:rFonts w:ascii="Arial Narrow" w:hAnsi="Arial Narrow"/>
              <w:sz w:val="20"/>
            </w:rPr>
            <w:instrText xml:space="preserve"> PAGE   \* MERGEFORMAT </w:instrText>
          </w:r>
          <w:r w:rsidRPr="00554F9E">
            <w:rPr>
              <w:rFonts w:ascii="Arial Narrow" w:hAnsi="Arial Narrow"/>
              <w:sz w:val="20"/>
            </w:rPr>
            <w:fldChar w:fldCharType="separate"/>
          </w:r>
          <w:r w:rsidR="00135E44">
            <w:rPr>
              <w:rFonts w:ascii="Arial Narrow" w:hAnsi="Arial Narrow"/>
              <w:noProof/>
              <w:sz w:val="20"/>
            </w:rPr>
            <w:t>4</w:t>
          </w:r>
          <w:r w:rsidRPr="00554F9E">
            <w:rPr>
              <w:rFonts w:ascii="Arial Narrow" w:hAnsi="Arial Narrow"/>
              <w:sz w:val="20"/>
            </w:rPr>
            <w:fldChar w:fldCharType="end"/>
          </w:r>
        </w:p>
      </w:tc>
    </w:tr>
  </w:tbl>
  <w:p w14:paraId="5209B200" w14:textId="77777777" w:rsidR="0070135D" w:rsidRPr="00510707" w:rsidRDefault="0070135D" w:rsidP="00510707">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07321B" w14:textId="77777777" w:rsidR="00224AA1" w:rsidRDefault="00224AA1">
      <w:r>
        <w:separator/>
      </w:r>
    </w:p>
  </w:footnote>
  <w:footnote w:type="continuationSeparator" w:id="0">
    <w:p w14:paraId="2041292C" w14:textId="77777777" w:rsidR="00224AA1" w:rsidRDefault="00224AA1">
      <w:r>
        <w:continuationSeparator/>
      </w:r>
    </w:p>
  </w:footnote>
  <w:footnote w:id="1">
    <w:p w14:paraId="2EFDE5F6" w14:textId="77777777" w:rsidR="0070135D" w:rsidRPr="00AB1A56" w:rsidRDefault="0070135D" w:rsidP="00F63B06">
      <w:pPr>
        <w:pStyle w:val="FootnoteText"/>
        <w:ind w:left="284" w:hanging="284"/>
        <w:rPr>
          <w:rFonts w:ascii="Arial Narrow" w:hAnsi="Arial Narrow"/>
          <w:lang w:val="en-AU"/>
        </w:rPr>
      </w:pPr>
      <w:r w:rsidRPr="00AB1A56">
        <w:rPr>
          <w:rStyle w:val="FootnoteReference"/>
          <w:rFonts w:ascii="Arial Narrow" w:hAnsi="Arial Narrow"/>
        </w:rPr>
        <w:footnoteRef/>
      </w:r>
      <w:r w:rsidRPr="00AB1A56">
        <w:rPr>
          <w:rFonts w:ascii="Arial Narrow" w:hAnsi="Arial Narrow"/>
        </w:rPr>
        <w:t xml:space="preserve"> </w:t>
      </w:r>
      <w:r>
        <w:rPr>
          <w:rFonts w:ascii="Arial Narrow" w:hAnsi="Arial Narrow"/>
        </w:rPr>
        <w:tab/>
      </w:r>
      <w:r w:rsidRPr="00AB1A56">
        <w:rPr>
          <w:rFonts w:ascii="Arial Narrow" w:hAnsi="Arial Narrow"/>
          <w:lang w:val="en-AU"/>
        </w:rPr>
        <w:t>Note: the project summaries in the following discussion are listed in the order in which they are numbered in the head contract between MFAT and the Federal Court of Australia (as amended).</w:t>
      </w:r>
    </w:p>
  </w:footnote>
  <w:footnote w:id="2">
    <w:p w14:paraId="5D6BE6EE" w14:textId="77777777" w:rsidR="0070135D" w:rsidRPr="000550FC" w:rsidRDefault="0070135D" w:rsidP="002564DA">
      <w:pPr>
        <w:ind w:left="284" w:hanging="284"/>
        <w:rPr>
          <w:sz w:val="20"/>
        </w:rPr>
      </w:pPr>
      <w:r w:rsidRPr="000550FC">
        <w:rPr>
          <w:rStyle w:val="FootnoteReference"/>
          <w:sz w:val="20"/>
          <w:szCs w:val="18"/>
        </w:rPr>
        <w:footnoteRef/>
      </w:r>
      <w:r w:rsidRPr="000550FC">
        <w:rPr>
          <w:sz w:val="20"/>
          <w:szCs w:val="18"/>
        </w:rPr>
        <w:t xml:space="preserve"> </w:t>
      </w:r>
      <w:r w:rsidRPr="000550FC">
        <w:rPr>
          <w:sz w:val="20"/>
          <w:szCs w:val="18"/>
        </w:rPr>
        <w:tab/>
        <w:t xml:space="preserve">A </w:t>
      </w:r>
      <w:r w:rsidRPr="000550FC">
        <w:rPr>
          <w:rFonts w:cs="Arial"/>
          <w:bCs/>
          <w:kern w:val="32"/>
          <w:sz w:val="20"/>
          <w:szCs w:val="18"/>
          <w:lang w:eastAsia="en-US"/>
        </w:rPr>
        <w:t>summary of Additional, Un-costed, and Pro Bono Support Mobilised by the Federal Court of Australia for the PJDP over the period January -</w:t>
      </w:r>
      <w:r>
        <w:rPr>
          <w:rFonts w:cs="Arial"/>
          <w:bCs/>
          <w:kern w:val="32"/>
          <w:sz w:val="20"/>
          <w:szCs w:val="18"/>
          <w:lang w:eastAsia="en-US"/>
        </w:rPr>
        <w:t xml:space="preserve"> </w:t>
      </w:r>
      <w:r w:rsidRPr="000550FC">
        <w:rPr>
          <w:rFonts w:cs="Arial"/>
          <w:bCs/>
          <w:kern w:val="32"/>
          <w:sz w:val="20"/>
          <w:szCs w:val="18"/>
          <w:lang w:eastAsia="en-US"/>
        </w:rPr>
        <w:t>June 201</w:t>
      </w:r>
      <w:r>
        <w:rPr>
          <w:rFonts w:cs="Arial"/>
          <w:bCs/>
          <w:kern w:val="32"/>
          <w:sz w:val="20"/>
          <w:szCs w:val="18"/>
          <w:lang w:eastAsia="en-US"/>
        </w:rPr>
        <w:t>4</w:t>
      </w:r>
      <w:r w:rsidRPr="000550FC">
        <w:rPr>
          <w:rFonts w:cs="Arial"/>
          <w:bCs/>
          <w:kern w:val="32"/>
          <w:sz w:val="20"/>
          <w:szCs w:val="18"/>
          <w:lang w:eastAsia="en-US"/>
        </w:rPr>
        <w:t xml:space="preserve"> included as </w:t>
      </w:r>
      <w:r w:rsidRPr="000550FC">
        <w:rPr>
          <w:rFonts w:cs="Arial"/>
          <w:b/>
          <w:bCs/>
          <w:i/>
          <w:kern w:val="32"/>
          <w:sz w:val="20"/>
          <w:szCs w:val="18"/>
          <w:lang w:eastAsia="en-US"/>
        </w:rPr>
        <w:t>Annex Four</w:t>
      </w:r>
      <w:r w:rsidRPr="000550FC">
        <w:rPr>
          <w:rFonts w:cs="Arial"/>
          <w:bCs/>
          <w:kern w:val="32"/>
          <w:sz w:val="20"/>
          <w:szCs w:val="18"/>
          <w:lang w:eastAsia="en-US"/>
        </w:rPr>
        <w:t>.</w:t>
      </w:r>
    </w:p>
  </w:footnote>
  <w:footnote w:id="3">
    <w:p w14:paraId="0F872D21" w14:textId="77777777" w:rsidR="0070135D" w:rsidRPr="00DF7CD7" w:rsidRDefault="0070135D" w:rsidP="00DF7CD7">
      <w:pPr>
        <w:pStyle w:val="FootnoteText"/>
        <w:ind w:left="284" w:hanging="284"/>
        <w:rPr>
          <w:rFonts w:ascii="Arial Narrow" w:hAnsi="Arial Narrow"/>
        </w:rPr>
      </w:pPr>
      <w:r w:rsidRPr="00DF7CD7">
        <w:rPr>
          <w:rStyle w:val="FootnoteReference"/>
          <w:rFonts w:ascii="Arial Narrow" w:hAnsi="Arial Narrow"/>
        </w:rPr>
        <w:footnoteRef/>
      </w:r>
      <w:r w:rsidRPr="00DF7CD7">
        <w:rPr>
          <w:rFonts w:ascii="Arial Narrow" w:hAnsi="Arial Narrow"/>
        </w:rPr>
        <w:t xml:space="preserve"> </w:t>
      </w:r>
      <w:r w:rsidRPr="00DF7CD7">
        <w:rPr>
          <w:rFonts w:ascii="Arial Narrow" w:hAnsi="Arial Narrow"/>
        </w:rPr>
        <w:tab/>
        <w:t>Figures calculated as at 15 June,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82" w:type="dxa"/>
      <w:tblInd w:w="-601" w:type="dxa"/>
      <w:tblBorders>
        <w:bottom w:val="single" w:sz="4" w:space="0" w:color="auto"/>
      </w:tblBorders>
      <w:tblLook w:val="01E0" w:firstRow="1" w:lastRow="1" w:firstColumn="1" w:lastColumn="1" w:noHBand="0" w:noVBand="0"/>
    </w:tblPr>
    <w:tblGrid>
      <w:gridCol w:w="8931"/>
      <w:gridCol w:w="1251"/>
    </w:tblGrid>
    <w:tr w:rsidR="0070135D" w:rsidRPr="00E225D5" w14:paraId="42CDF9FE" w14:textId="77777777" w:rsidTr="00F20BAA">
      <w:trPr>
        <w:trHeight w:val="699"/>
      </w:trPr>
      <w:tc>
        <w:tcPr>
          <w:tcW w:w="8931" w:type="dxa"/>
          <w:tcBorders>
            <w:bottom w:val="single" w:sz="4" w:space="0" w:color="auto"/>
          </w:tcBorders>
          <w:vAlign w:val="bottom"/>
        </w:tcPr>
        <w:p w14:paraId="4A24BF37" w14:textId="77777777" w:rsidR="0070135D" w:rsidRPr="00156FB1" w:rsidRDefault="0070135D" w:rsidP="00921365">
          <w:pPr>
            <w:ind w:left="601"/>
            <w:rPr>
              <w:rFonts w:cs="Calibri"/>
              <w:b/>
              <w:i/>
              <w:smallCaps/>
              <w:sz w:val="20"/>
              <w:szCs w:val="21"/>
            </w:rPr>
          </w:pPr>
          <w:r w:rsidRPr="00156FB1">
            <w:rPr>
              <w:rFonts w:cs="Calibri"/>
              <w:b/>
              <w:i/>
              <w:smallCaps/>
              <w:sz w:val="20"/>
              <w:szCs w:val="21"/>
            </w:rPr>
            <w:t>Pacific Judicial Development Programme</w:t>
          </w:r>
        </w:p>
        <w:p w14:paraId="7EC877F8" w14:textId="77777777" w:rsidR="0070135D" w:rsidRPr="00230858" w:rsidRDefault="0070135D" w:rsidP="00921365">
          <w:pPr>
            <w:pStyle w:val="Header"/>
            <w:ind w:left="601"/>
            <w:rPr>
              <w:rFonts w:ascii="Arial Narrow" w:hAnsi="Arial Narrow" w:cs="Arial"/>
              <w:b/>
              <w:smallCaps/>
              <w:sz w:val="20"/>
              <w:szCs w:val="18"/>
            </w:rPr>
          </w:pPr>
          <w:r>
            <w:rPr>
              <w:rFonts w:ascii="Arial Narrow" w:hAnsi="Arial Narrow" w:cs="Calibri"/>
              <w:sz w:val="20"/>
              <w:szCs w:val="60"/>
            </w:rPr>
            <w:t>Fourth Six-monthly</w:t>
          </w:r>
          <w:r w:rsidRPr="00230858">
            <w:rPr>
              <w:rFonts w:ascii="Arial Narrow" w:hAnsi="Arial Narrow" w:cs="Calibri"/>
              <w:sz w:val="20"/>
              <w:szCs w:val="60"/>
            </w:rPr>
            <w:t xml:space="preserve"> Progress Report</w:t>
          </w:r>
        </w:p>
        <w:p w14:paraId="6BAF60DF" w14:textId="77777777" w:rsidR="0070135D" w:rsidRPr="00230858" w:rsidRDefault="0070135D" w:rsidP="00921365">
          <w:pPr>
            <w:pStyle w:val="Header"/>
            <w:ind w:left="662"/>
            <w:rPr>
              <w:rFonts w:ascii="Arial Narrow" w:hAnsi="Arial Narrow"/>
              <w:sz w:val="4"/>
              <w:szCs w:val="19"/>
            </w:rPr>
          </w:pPr>
        </w:p>
      </w:tc>
      <w:tc>
        <w:tcPr>
          <w:tcW w:w="1251" w:type="dxa"/>
          <w:vMerge w:val="restart"/>
          <w:tcBorders>
            <w:bottom w:val="nil"/>
          </w:tcBorders>
        </w:tcPr>
        <w:p w14:paraId="42244DE9" w14:textId="77777777" w:rsidR="0070135D" w:rsidRPr="00230858" w:rsidRDefault="0070135D" w:rsidP="00921365">
          <w:pPr>
            <w:pStyle w:val="Header"/>
            <w:jc w:val="right"/>
            <w:rPr>
              <w:rFonts w:ascii="Arial Narrow" w:hAnsi="Arial Narrow"/>
              <w:sz w:val="19"/>
              <w:szCs w:val="19"/>
            </w:rPr>
          </w:pPr>
          <w:r>
            <w:rPr>
              <w:noProof/>
            </w:rPr>
            <w:drawing>
              <wp:anchor distT="0" distB="0" distL="114300" distR="114300" simplePos="0" relativeHeight="251654144" behindDoc="1" locked="0" layoutInCell="1" allowOverlap="1" wp14:anchorId="05BF39EE" wp14:editId="141E2440">
                <wp:simplePos x="0" y="0"/>
                <wp:positionH relativeFrom="column">
                  <wp:posOffset>-31115</wp:posOffset>
                </wp:positionH>
                <wp:positionV relativeFrom="paragraph">
                  <wp:posOffset>24765</wp:posOffset>
                </wp:positionV>
                <wp:extent cx="824230" cy="831215"/>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24230" cy="831215"/>
                        </a:xfrm>
                        <a:prstGeom prst="rect">
                          <a:avLst/>
                        </a:prstGeom>
                        <a:solidFill>
                          <a:srgbClr val="FFFFFF"/>
                        </a:solidFill>
                      </pic:spPr>
                    </pic:pic>
                  </a:graphicData>
                </a:graphic>
              </wp:anchor>
            </w:drawing>
          </w:r>
        </w:p>
        <w:p w14:paraId="05CDCA13" w14:textId="77777777" w:rsidR="0070135D" w:rsidRPr="00230858" w:rsidRDefault="0070135D" w:rsidP="00921365">
          <w:pPr>
            <w:pStyle w:val="Header"/>
            <w:jc w:val="right"/>
            <w:rPr>
              <w:rFonts w:ascii="Arial Narrow" w:hAnsi="Arial Narrow"/>
              <w:sz w:val="19"/>
              <w:szCs w:val="19"/>
            </w:rPr>
          </w:pPr>
        </w:p>
      </w:tc>
    </w:tr>
    <w:tr w:rsidR="0070135D" w14:paraId="0B963AED" w14:textId="77777777" w:rsidTr="00F20BAA">
      <w:tc>
        <w:tcPr>
          <w:tcW w:w="8931" w:type="dxa"/>
          <w:tcBorders>
            <w:top w:val="single" w:sz="4" w:space="0" w:color="auto"/>
            <w:bottom w:val="nil"/>
          </w:tcBorders>
        </w:tcPr>
        <w:p w14:paraId="72FC5CDD" w14:textId="77777777" w:rsidR="0070135D" w:rsidRPr="00230858" w:rsidRDefault="0070135D" w:rsidP="00921365">
          <w:pPr>
            <w:pStyle w:val="Header"/>
            <w:rPr>
              <w:rFonts w:ascii="Arial Narrow" w:hAnsi="Arial Narrow"/>
            </w:rPr>
          </w:pPr>
        </w:p>
      </w:tc>
      <w:tc>
        <w:tcPr>
          <w:tcW w:w="1251" w:type="dxa"/>
          <w:vMerge/>
          <w:tcBorders>
            <w:bottom w:val="nil"/>
          </w:tcBorders>
        </w:tcPr>
        <w:p w14:paraId="56837116" w14:textId="77777777" w:rsidR="0070135D" w:rsidRPr="00230858" w:rsidRDefault="0070135D" w:rsidP="00921365">
          <w:pPr>
            <w:pStyle w:val="Header"/>
            <w:jc w:val="right"/>
            <w:rPr>
              <w:rFonts w:ascii="Arial Narrow" w:hAnsi="Arial Narrow"/>
              <w:sz w:val="6"/>
            </w:rPr>
          </w:pPr>
        </w:p>
      </w:tc>
    </w:tr>
  </w:tbl>
  <w:p w14:paraId="1D5F5916" w14:textId="77777777" w:rsidR="0070135D" w:rsidRPr="00156FB1" w:rsidRDefault="0070135D" w:rsidP="00156FB1">
    <w:pPr>
      <w:rPr>
        <w:sz w:val="16"/>
      </w:rPr>
    </w:pPr>
  </w:p>
  <w:p w14:paraId="6DE9634D" w14:textId="77777777" w:rsidR="0070135D" w:rsidRPr="00156FB1" w:rsidRDefault="0070135D" w:rsidP="00156FB1">
    <w:pP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82" w:type="dxa"/>
      <w:tblInd w:w="-601" w:type="dxa"/>
      <w:tblBorders>
        <w:bottom w:val="single" w:sz="4" w:space="0" w:color="auto"/>
      </w:tblBorders>
      <w:tblLook w:val="01E0" w:firstRow="1" w:lastRow="1" w:firstColumn="1" w:lastColumn="1" w:noHBand="0" w:noVBand="0"/>
    </w:tblPr>
    <w:tblGrid>
      <w:gridCol w:w="8931"/>
      <w:gridCol w:w="1251"/>
    </w:tblGrid>
    <w:tr w:rsidR="0070135D" w:rsidRPr="00E225D5" w14:paraId="5D7B35C5" w14:textId="77777777" w:rsidTr="000F7EA3">
      <w:trPr>
        <w:trHeight w:val="699"/>
      </w:trPr>
      <w:tc>
        <w:tcPr>
          <w:tcW w:w="8931" w:type="dxa"/>
          <w:tcBorders>
            <w:bottom w:val="single" w:sz="4" w:space="0" w:color="auto"/>
          </w:tcBorders>
          <w:vAlign w:val="bottom"/>
        </w:tcPr>
        <w:p w14:paraId="7DAEEE8F" w14:textId="77777777" w:rsidR="0070135D" w:rsidRPr="00156FB1" w:rsidRDefault="0070135D" w:rsidP="000F7EA3">
          <w:pPr>
            <w:ind w:left="601"/>
            <w:rPr>
              <w:rFonts w:cs="Calibri"/>
              <w:b/>
              <w:i/>
              <w:smallCaps/>
              <w:sz w:val="20"/>
              <w:szCs w:val="21"/>
            </w:rPr>
          </w:pPr>
          <w:r w:rsidRPr="00156FB1">
            <w:rPr>
              <w:rFonts w:cs="Calibri"/>
              <w:b/>
              <w:i/>
              <w:smallCaps/>
              <w:sz w:val="20"/>
              <w:szCs w:val="21"/>
            </w:rPr>
            <w:t>Pacific Judicial Development Programme</w:t>
          </w:r>
        </w:p>
        <w:p w14:paraId="3B02DA69" w14:textId="77777777" w:rsidR="0070135D" w:rsidRPr="00230858" w:rsidRDefault="0070135D" w:rsidP="000F7EA3">
          <w:pPr>
            <w:pStyle w:val="Header"/>
            <w:ind w:left="601"/>
            <w:rPr>
              <w:rFonts w:ascii="Arial Narrow" w:hAnsi="Arial Narrow" w:cs="Arial"/>
              <w:b/>
              <w:smallCaps/>
              <w:sz w:val="20"/>
              <w:szCs w:val="18"/>
            </w:rPr>
          </w:pPr>
          <w:r>
            <w:rPr>
              <w:rFonts w:ascii="Arial Narrow" w:hAnsi="Arial Narrow" w:cs="Calibri"/>
              <w:sz w:val="20"/>
              <w:szCs w:val="60"/>
            </w:rPr>
            <w:t>Fourth Six-monthly</w:t>
          </w:r>
          <w:r w:rsidRPr="00230858">
            <w:rPr>
              <w:rFonts w:ascii="Arial Narrow" w:hAnsi="Arial Narrow" w:cs="Calibri"/>
              <w:sz w:val="20"/>
              <w:szCs w:val="60"/>
            </w:rPr>
            <w:t xml:space="preserve"> Progress Report</w:t>
          </w:r>
        </w:p>
        <w:p w14:paraId="7781CEB9" w14:textId="77777777" w:rsidR="0070135D" w:rsidRPr="00230858" w:rsidRDefault="0070135D" w:rsidP="000F7EA3">
          <w:pPr>
            <w:pStyle w:val="Header"/>
            <w:ind w:left="662"/>
            <w:rPr>
              <w:rFonts w:ascii="Arial Narrow" w:hAnsi="Arial Narrow"/>
              <w:sz w:val="4"/>
              <w:szCs w:val="19"/>
            </w:rPr>
          </w:pPr>
        </w:p>
      </w:tc>
      <w:tc>
        <w:tcPr>
          <w:tcW w:w="1251" w:type="dxa"/>
          <w:vMerge w:val="restart"/>
          <w:tcBorders>
            <w:bottom w:val="nil"/>
          </w:tcBorders>
        </w:tcPr>
        <w:p w14:paraId="49E49494" w14:textId="77777777" w:rsidR="0070135D" w:rsidRPr="00230858" w:rsidRDefault="0070135D" w:rsidP="000F7EA3">
          <w:pPr>
            <w:pStyle w:val="Header"/>
            <w:jc w:val="right"/>
            <w:rPr>
              <w:rFonts w:ascii="Arial Narrow" w:hAnsi="Arial Narrow"/>
              <w:sz w:val="19"/>
              <w:szCs w:val="19"/>
            </w:rPr>
          </w:pPr>
          <w:r>
            <w:rPr>
              <w:noProof/>
            </w:rPr>
            <w:drawing>
              <wp:anchor distT="0" distB="0" distL="114300" distR="114300" simplePos="0" relativeHeight="251655168" behindDoc="1" locked="0" layoutInCell="1" allowOverlap="1" wp14:anchorId="636154FC" wp14:editId="2806280E">
                <wp:simplePos x="0" y="0"/>
                <wp:positionH relativeFrom="column">
                  <wp:posOffset>-31115</wp:posOffset>
                </wp:positionH>
                <wp:positionV relativeFrom="paragraph">
                  <wp:posOffset>24765</wp:posOffset>
                </wp:positionV>
                <wp:extent cx="824230" cy="83121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24230" cy="831215"/>
                        </a:xfrm>
                        <a:prstGeom prst="rect">
                          <a:avLst/>
                        </a:prstGeom>
                        <a:solidFill>
                          <a:srgbClr val="FFFFFF"/>
                        </a:solidFill>
                      </pic:spPr>
                    </pic:pic>
                  </a:graphicData>
                </a:graphic>
              </wp:anchor>
            </w:drawing>
          </w:r>
        </w:p>
        <w:p w14:paraId="6124D7E4" w14:textId="77777777" w:rsidR="0070135D" w:rsidRPr="00230858" w:rsidRDefault="0070135D" w:rsidP="000F7EA3">
          <w:pPr>
            <w:pStyle w:val="Header"/>
            <w:jc w:val="right"/>
            <w:rPr>
              <w:rFonts w:ascii="Arial Narrow" w:hAnsi="Arial Narrow"/>
              <w:sz w:val="19"/>
              <w:szCs w:val="19"/>
            </w:rPr>
          </w:pPr>
        </w:p>
      </w:tc>
    </w:tr>
    <w:tr w:rsidR="0070135D" w14:paraId="4533DDC2" w14:textId="77777777" w:rsidTr="000F7EA3">
      <w:tc>
        <w:tcPr>
          <w:tcW w:w="8931" w:type="dxa"/>
          <w:tcBorders>
            <w:top w:val="single" w:sz="4" w:space="0" w:color="auto"/>
            <w:bottom w:val="nil"/>
          </w:tcBorders>
        </w:tcPr>
        <w:p w14:paraId="5ACAAEA4" w14:textId="77777777" w:rsidR="0070135D" w:rsidRPr="00230858" w:rsidRDefault="0070135D" w:rsidP="000F7EA3">
          <w:pPr>
            <w:pStyle w:val="Header"/>
            <w:rPr>
              <w:rFonts w:ascii="Arial Narrow" w:hAnsi="Arial Narrow"/>
            </w:rPr>
          </w:pPr>
        </w:p>
      </w:tc>
      <w:tc>
        <w:tcPr>
          <w:tcW w:w="1251" w:type="dxa"/>
          <w:vMerge/>
          <w:tcBorders>
            <w:bottom w:val="nil"/>
          </w:tcBorders>
        </w:tcPr>
        <w:p w14:paraId="2C9AAEE2" w14:textId="77777777" w:rsidR="0070135D" w:rsidRPr="00230858" w:rsidRDefault="0070135D" w:rsidP="000F7EA3">
          <w:pPr>
            <w:pStyle w:val="Header"/>
            <w:jc w:val="right"/>
            <w:rPr>
              <w:rFonts w:ascii="Arial Narrow" w:hAnsi="Arial Narrow"/>
              <w:sz w:val="6"/>
            </w:rPr>
          </w:pPr>
        </w:p>
      </w:tc>
    </w:tr>
  </w:tbl>
  <w:p w14:paraId="71CF2427" w14:textId="77777777" w:rsidR="0070135D" w:rsidRDefault="0070135D" w:rsidP="00B97A11">
    <w:pPr>
      <w:pStyle w:val="Header"/>
      <w:rPr>
        <w:sz w:val="16"/>
      </w:rPr>
    </w:pPr>
  </w:p>
  <w:p w14:paraId="32AAF3B7" w14:textId="77777777" w:rsidR="0070135D" w:rsidRPr="00027BD2" w:rsidRDefault="0070135D" w:rsidP="00B97A11">
    <w:pPr>
      <w:pStyle w:val="Head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480" w:type="dxa"/>
      <w:tblInd w:w="-601" w:type="dxa"/>
      <w:tblBorders>
        <w:bottom w:val="single" w:sz="4" w:space="0" w:color="auto"/>
      </w:tblBorders>
      <w:tblLook w:val="01E0" w:firstRow="1" w:lastRow="1" w:firstColumn="1" w:lastColumn="1" w:noHBand="0" w:noVBand="0"/>
    </w:tblPr>
    <w:tblGrid>
      <w:gridCol w:w="13578"/>
      <w:gridCol w:w="1902"/>
    </w:tblGrid>
    <w:tr w:rsidR="0070135D" w:rsidRPr="00E225D5" w14:paraId="28BEFB80" w14:textId="77777777" w:rsidTr="002202A1">
      <w:trPr>
        <w:trHeight w:val="679"/>
      </w:trPr>
      <w:tc>
        <w:tcPr>
          <w:tcW w:w="13578" w:type="dxa"/>
          <w:tcBorders>
            <w:bottom w:val="single" w:sz="4" w:space="0" w:color="auto"/>
          </w:tcBorders>
          <w:vAlign w:val="bottom"/>
        </w:tcPr>
        <w:p w14:paraId="3DE6A32C" w14:textId="77777777" w:rsidR="0070135D" w:rsidRPr="00156FB1" w:rsidRDefault="0070135D" w:rsidP="000F7EA3">
          <w:pPr>
            <w:ind w:left="601"/>
            <w:rPr>
              <w:rFonts w:cs="Calibri"/>
              <w:b/>
              <w:i/>
              <w:smallCaps/>
              <w:sz w:val="20"/>
              <w:szCs w:val="21"/>
            </w:rPr>
          </w:pPr>
          <w:r w:rsidRPr="00156FB1">
            <w:rPr>
              <w:rFonts w:cs="Calibri"/>
              <w:b/>
              <w:i/>
              <w:smallCaps/>
              <w:sz w:val="20"/>
              <w:szCs w:val="21"/>
            </w:rPr>
            <w:t>Pacific Judicial Development Programme</w:t>
          </w:r>
        </w:p>
        <w:p w14:paraId="540EA3A7" w14:textId="77777777" w:rsidR="0070135D" w:rsidRPr="00230858" w:rsidRDefault="0070135D" w:rsidP="000F7EA3">
          <w:pPr>
            <w:pStyle w:val="Header"/>
            <w:ind w:left="601"/>
            <w:rPr>
              <w:rFonts w:ascii="Arial Narrow" w:hAnsi="Arial Narrow" w:cs="Arial"/>
              <w:b/>
              <w:smallCaps/>
              <w:sz w:val="20"/>
              <w:szCs w:val="18"/>
            </w:rPr>
          </w:pPr>
          <w:r>
            <w:rPr>
              <w:rFonts w:ascii="Arial Narrow" w:hAnsi="Arial Narrow" w:cs="Calibri"/>
              <w:sz w:val="20"/>
              <w:szCs w:val="60"/>
            </w:rPr>
            <w:t>Fourth Six-monthly</w:t>
          </w:r>
          <w:r w:rsidRPr="00230858">
            <w:rPr>
              <w:rFonts w:ascii="Arial Narrow" w:hAnsi="Arial Narrow" w:cs="Calibri"/>
              <w:sz w:val="20"/>
              <w:szCs w:val="60"/>
            </w:rPr>
            <w:t xml:space="preserve"> Progress Report</w:t>
          </w:r>
        </w:p>
        <w:p w14:paraId="50A9213F" w14:textId="77777777" w:rsidR="0070135D" w:rsidRPr="00230858" w:rsidRDefault="0070135D" w:rsidP="000F7EA3">
          <w:pPr>
            <w:pStyle w:val="Header"/>
            <w:ind w:left="662"/>
            <w:rPr>
              <w:rFonts w:ascii="Arial Narrow" w:hAnsi="Arial Narrow"/>
              <w:sz w:val="4"/>
              <w:szCs w:val="19"/>
            </w:rPr>
          </w:pPr>
        </w:p>
      </w:tc>
      <w:tc>
        <w:tcPr>
          <w:tcW w:w="1902" w:type="dxa"/>
          <w:vMerge w:val="restart"/>
          <w:tcBorders>
            <w:bottom w:val="nil"/>
          </w:tcBorders>
        </w:tcPr>
        <w:p w14:paraId="036D5717" w14:textId="77777777" w:rsidR="0070135D" w:rsidRPr="00230858" w:rsidRDefault="0070135D" w:rsidP="000F7EA3">
          <w:pPr>
            <w:pStyle w:val="Header"/>
            <w:jc w:val="right"/>
            <w:rPr>
              <w:rFonts w:ascii="Arial Narrow" w:hAnsi="Arial Narrow"/>
              <w:sz w:val="19"/>
              <w:szCs w:val="19"/>
            </w:rPr>
          </w:pPr>
          <w:r>
            <w:rPr>
              <w:noProof/>
            </w:rPr>
            <w:drawing>
              <wp:anchor distT="0" distB="0" distL="114300" distR="114300" simplePos="0" relativeHeight="251656192" behindDoc="1" locked="0" layoutInCell="1" allowOverlap="1" wp14:anchorId="0F3B7921" wp14:editId="77A2AADF">
                <wp:simplePos x="0" y="0"/>
                <wp:positionH relativeFrom="column">
                  <wp:posOffset>-31115</wp:posOffset>
                </wp:positionH>
                <wp:positionV relativeFrom="paragraph">
                  <wp:posOffset>24765</wp:posOffset>
                </wp:positionV>
                <wp:extent cx="824230" cy="831215"/>
                <wp:effectExtent l="1905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824230" cy="831215"/>
                        </a:xfrm>
                        <a:prstGeom prst="rect">
                          <a:avLst/>
                        </a:prstGeom>
                        <a:solidFill>
                          <a:srgbClr val="FFFFFF"/>
                        </a:solidFill>
                      </pic:spPr>
                    </pic:pic>
                  </a:graphicData>
                </a:graphic>
              </wp:anchor>
            </w:drawing>
          </w:r>
        </w:p>
        <w:p w14:paraId="14B2C1BC" w14:textId="77777777" w:rsidR="0070135D" w:rsidRPr="00230858" w:rsidRDefault="0070135D" w:rsidP="000F7EA3">
          <w:pPr>
            <w:pStyle w:val="Header"/>
            <w:jc w:val="right"/>
            <w:rPr>
              <w:rFonts w:ascii="Arial Narrow" w:hAnsi="Arial Narrow"/>
              <w:sz w:val="19"/>
              <w:szCs w:val="19"/>
            </w:rPr>
          </w:pPr>
        </w:p>
      </w:tc>
    </w:tr>
    <w:tr w:rsidR="0070135D" w14:paraId="57060926" w14:textId="77777777" w:rsidTr="002202A1">
      <w:trPr>
        <w:trHeight w:val="255"/>
      </w:trPr>
      <w:tc>
        <w:tcPr>
          <w:tcW w:w="13578" w:type="dxa"/>
          <w:tcBorders>
            <w:top w:val="single" w:sz="4" w:space="0" w:color="auto"/>
            <w:bottom w:val="nil"/>
          </w:tcBorders>
        </w:tcPr>
        <w:p w14:paraId="41C32BCD" w14:textId="77777777" w:rsidR="0070135D" w:rsidRPr="00E75E21" w:rsidRDefault="0070135D" w:rsidP="000F7EA3">
          <w:pPr>
            <w:pStyle w:val="Header"/>
            <w:rPr>
              <w:rFonts w:ascii="Arial Narrow" w:hAnsi="Arial Narrow"/>
              <w:sz w:val="32"/>
            </w:rPr>
          </w:pPr>
        </w:p>
        <w:p w14:paraId="77742A31" w14:textId="77777777" w:rsidR="0070135D" w:rsidRPr="00E75E21" w:rsidRDefault="0070135D" w:rsidP="000F7EA3">
          <w:pPr>
            <w:pStyle w:val="Header"/>
            <w:rPr>
              <w:rFonts w:ascii="Arial Narrow" w:hAnsi="Arial Narrow"/>
              <w:sz w:val="32"/>
            </w:rPr>
          </w:pPr>
        </w:p>
      </w:tc>
      <w:tc>
        <w:tcPr>
          <w:tcW w:w="1902" w:type="dxa"/>
          <w:vMerge/>
          <w:tcBorders>
            <w:bottom w:val="nil"/>
          </w:tcBorders>
        </w:tcPr>
        <w:p w14:paraId="3E838805" w14:textId="77777777" w:rsidR="0070135D" w:rsidRPr="00230858" w:rsidRDefault="0070135D" w:rsidP="000F7EA3">
          <w:pPr>
            <w:pStyle w:val="Header"/>
            <w:jc w:val="right"/>
            <w:rPr>
              <w:rFonts w:ascii="Arial Narrow" w:hAnsi="Arial Narrow"/>
              <w:sz w:val="6"/>
            </w:rPr>
          </w:pPr>
        </w:p>
      </w:tc>
    </w:tr>
  </w:tbl>
  <w:p w14:paraId="1D99CEC6" w14:textId="77777777" w:rsidR="0070135D" w:rsidRDefault="0070135D" w:rsidP="00B97A11">
    <w:pPr>
      <w:pStyle w:val="Header"/>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82" w:type="dxa"/>
      <w:tblInd w:w="-601" w:type="dxa"/>
      <w:tblBorders>
        <w:bottom w:val="single" w:sz="4" w:space="0" w:color="auto"/>
      </w:tblBorders>
      <w:tblLook w:val="01E0" w:firstRow="1" w:lastRow="1" w:firstColumn="1" w:lastColumn="1" w:noHBand="0" w:noVBand="0"/>
    </w:tblPr>
    <w:tblGrid>
      <w:gridCol w:w="8931"/>
      <w:gridCol w:w="1251"/>
    </w:tblGrid>
    <w:tr w:rsidR="0087070E" w:rsidRPr="00E225D5" w14:paraId="7EF01DEC" w14:textId="77777777" w:rsidTr="004F5CF7">
      <w:trPr>
        <w:trHeight w:val="699"/>
      </w:trPr>
      <w:tc>
        <w:tcPr>
          <w:tcW w:w="8931" w:type="dxa"/>
          <w:tcBorders>
            <w:bottom w:val="single" w:sz="4" w:space="0" w:color="auto"/>
          </w:tcBorders>
          <w:vAlign w:val="bottom"/>
        </w:tcPr>
        <w:p w14:paraId="29787D85" w14:textId="77777777" w:rsidR="0087070E" w:rsidRPr="00156FB1" w:rsidRDefault="0087070E" w:rsidP="0087070E">
          <w:pPr>
            <w:ind w:left="601"/>
            <w:rPr>
              <w:rFonts w:cs="Calibri"/>
              <w:b/>
              <w:i/>
              <w:smallCaps/>
              <w:sz w:val="20"/>
              <w:szCs w:val="21"/>
            </w:rPr>
          </w:pPr>
          <w:r w:rsidRPr="00156FB1">
            <w:rPr>
              <w:rFonts w:cs="Calibri"/>
              <w:b/>
              <w:i/>
              <w:smallCaps/>
              <w:sz w:val="20"/>
              <w:szCs w:val="21"/>
            </w:rPr>
            <w:t>Pacific Judicial Development Programme</w:t>
          </w:r>
        </w:p>
        <w:p w14:paraId="0E742240" w14:textId="77777777" w:rsidR="0087070E" w:rsidRPr="00230858" w:rsidRDefault="0087070E" w:rsidP="0087070E">
          <w:pPr>
            <w:pStyle w:val="Header"/>
            <w:ind w:left="601"/>
            <w:rPr>
              <w:rFonts w:ascii="Arial Narrow" w:hAnsi="Arial Narrow" w:cs="Arial"/>
              <w:b/>
              <w:smallCaps/>
              <w:sz w:val="20"/>
              <w:szCs w:val="18"/>
            </w:rPr>
          </w:pPr>
          <w:r>
            <w:rPr>
              <w:rFonts w:ascii="Arial Narrow" w:hAnsi="Arial Narrow" w:cs="Calibri"/>
              <w:sz w:val="20"/>
              <w:szCs w:val="60"/>
            </w:rPr>
            <w:t>Fourth Six-monthly</w:t>
          </w:r>
          <w:r w:rsidRPr="00230858">
            <w:rPr>
              <w:rFonts w:ascii="Arial Narrow" w:hAnsi="Arial Narrow" w:cs="Calibri"/>
              <w:sz w:val="20"/>
              <w:szCs w:val="60"/>
            </w:rPr>
            <w:t xml:space="preserve"> Progress Report</w:t>
          </w:r>
        </w:p>
        <w:p w14:paraId="185296F1" w14:textId="77777777" w:rsidR="0087070E" w:rsidRPr="00230858" w:rsidRDefault="0087070E" w:rsidP="0087070E">
          <w:pPr>
            <w:pStyle w:val="Header"/>
            <w:ind w:left="662"/>
            <w:rPr>
              <w:rFonts w:ascii="Arial Narrow" w:hAnsi="Arial Narrow"/>
              <w:sz w:val="4"/>
              <w:szCs w:val="19"/>
            </w:rPr>
          </w:pPr>
        </w:p>
      </w:tc>
      <w:tc>
        <w:tcPr>
          <w:tcW w:w="1251" w:type="dxa"/>
          <w:vMerge w:val="restart"/>
          <w:tcBorders>
            <w:bottom w:val="nil"/>
          </w:tcBorders>
        </w:tcPr>
        <w:p w14:paraId="33755D0A" w14:textId="77777777" w:rsidR="0087070E" w:rsidRPr="00230858" w:rsidRDefault="0087070E" w:rsidP="0087070E">
          <w:pPr>
            <w:pStyle w:val="Header"/>
            <w:jc w:val="right"/>
            <w:rPr>
              <w:rFonts w:ascii="Arial Narrow" w:hAnsi="Arial Narrow"/>
              <w:sz w:val="19"/>
              <w:szCs w:val="19"/>
            </w:rPr>
          </w:pPr>
          <w:r>
            <w:rPr>
              <w:noProof/>
            </w:rPr>
            <w:drawing>
              <wp:anchor distT="0" distB="0" distL="114300" distR="114300" simplePos="0" relativeHeight="251666432" behindDoc="1" locked="0" layoutInCell="1" allowOverlap="1" wp14:anchorId="6A6B1363" wp14:editId="28D3B2E7">
                <wp:simplePos x="0" y="0"/>
                <wp:positionH relativeFrom="column">
                  <wp:posOffset>-31115</wp:posOffset>
                </wp:positionH>
                <wp:positionV relativeFrom="paragraph">
                  <wp:posOffset>24765</wp:posOffset>
                </wp:positionV>
                <wp:extent cx="824230" cy="83121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24230" cy="831215"/>
                        </a:xfrm>
                        <a:prstGeom prst="rect">
                          <a:avLst/>
                        </a:prstGeom>
                        <a:solidFill>
                          <a:srgbClr val="FFFFFF"/>
                        </a:solidFill>
                      </pic:spPr>
                    </pic:pic>
                  </a:graphicData>
                </a:graphic>
              </wp:anchor>
            </w:drawing>
          </w:r>
        </w:p>
        <w:p w14:paraId="387F1908" w14:textId="77777777" w:rsidR="0087070E" w:rsidRPr="00230858" w:rsidRDefault="0087070E" w:rsidP="0087070E">
          <w:pPr>
            <w:pStyle w:val="Header"/>
            <w:jc w:val="right"/>
            <w:rPr>
              <w:rFonts w:ascii="Arial Narrow" w:hAnsi="Arial Narrow"/>
              <w:sz w:val="19"/>
              <w:szCs w:val="19"/>
            </w:rPr>
          </w:pPr>
        </w:p>
      </w:tc>
    </w:tr>
    <w:tr w:rsidR="0087070E" w14:paraId="077701DD" w14:textId="77777777" w:rsidTr="004F5CF7">
      <w:tc>
        <w:tcPr>
          <w:tcW w:w="8931" w:type="dxa"/>
          <w:tcBorders>
            <w:top w:val="single" w:sz="4" w:space="0" w:color="auto"/>
            <w:bottom w:val="nil"/>
          </w:tcBorders>
        </w:tcPr>
        <w:p w14:paraId="5CB8D4A7" w14:textId="77777777" w:rsidR="0087070E" w:rsidRPr="00230858" w:rsidRDefault="0087070E" w:rsidP="0087070E">
          <w:pPr>
            <w:pStyle w:val="Header"/>
            <w:rPr>
              <w:rFonts w:ascii="Arial Narrow" w:hAnsi="Arial Narrow"/>
            </w:rPr>
          </w:pPr>
        </w:p>
      </w:tc>
      <w:tc>
        <w:tcPr>
          <w:tcW w:w="1251" w:type="dxa"/>
          <w:vMerge/>
          <w:tcBorders>
            <w:bottom w:val="nil"/>
          </w:tcBorders>
        </w:tcPr>
        <w:p w14:paraId="39C2F67E" w14:textId="77777777" w:rsidR="0087070E" w:rsidRPr="00230858" w:rsidRDefault="0087070E" w:rsidP="0087070E">
          <w:pPr>
            <w:pStyle w:val="Header"/>
            <w:jc w:val="right"/>
            <w:rPr>
              <w:rFonts w:ascii="Arial Narrow" w:hAnsi="Arial Narrow"/>
              <w:sz w:val="6"/>
            </w:rPr>
          </w:pPr>
        </w:p>
      </w:tc>
    </w:tr>
  </w:tbl>
  <w:p w14:paraId="7B8F36B3" w14:textId="77777777" w:rsidR="0087070E" w:rsidRPr="00156FB1" w:rsidRDefault="0087070E" w:rsidP="0087070E">
    <w:pPr>
      <w:rPr>
        <w:sz w:val="16"/>
      </w:rPr>
    </w:pPr>
  </w:p>
  <w:p w14:paraId="403272CE" w14:textId="77777777" w:rsidR="0087070E" w:rsidRPr="00156FB1" w:rsidRDefault="0087070E" w:rsidP="0087070E">
    <w:pPr>
      <w:rPr>
        <w:sz w:val="16"/>
      </w:rPr>
    </w:pPr>
  </w:p>
  <w:p w14:paraId="0CD956C8" w14:textId="77777777" w:rsidR="0087070E" w:rsidRDefault="0087070E" w:rsidP="00B97A11">
    <w:pPr>
      <w:pStyle w:val="Header"/>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480" w:type="dxa"/>
      <w:tblInd w:w="-601" w:type="dxa"/>
      <w:tblBorders>
        <w:bottom w:val="single" w:sz="4" w:space="0" w:color="auto"/>
      </w:tblBorders>
      <w:tblLook w:val="01E0" w:firstRow="1" w:lastRow="1" w:firstColumn="1" w:lastColumn="1" w:noHBand="0" w:noVBand="0"/>
    </w:tblPr>
    <w:tblGrid>
      <w:gridCol w:w="13578"/>
      <w:gridCol w:w="1902"/>
    </w:tblGrid>
    <w:tr w:rsidR="00355914" w:rsidRPr="00E225D5" w14:paraId="515D1841" w14:textId="77777777" w:rsidTr="009035C7">
      <w:trPr>
        <w:trHeight w:val="679"/>
      </w:trPr>
      <w:tc>
        <w:tcPr>
          <w:tcW w:w="13578" w:type="dxa"/>
          <w:tcBorders>
            <w:bottom w:val="single" w:sz="4" w:space="0" w:color="auto"/>
          </w:tcBorders>
          <w:vAlign w:val="bottom"/>
        </w:tcPr>
        <w:p w14:paraId="6ED3B2B0" w14:textId="77777777" w:rsidR="00355914" w:rsidRPr="00156FB1" w:rsidRDefault="00355914" w:rsidP="00355914">
          <w:pPr>
            <w:ind w:left="601"/>
            <w:rPr>
              <w:rFonts w:cs="Calibri"/>
              <w:b/>
              <w:i/>
              <w:smallCaps/>
              <w:sz w:val="20"/>
              <w:szCs w:val="21"/>
            </w:rPr>
          </w:pPr>
          <w:r w:rsidRPr="00156FB1">
            <w:rPr>
              <w:rFonts w:cs="Calibri"/>
              <w:b/>
              <w:i/>
              <w:smallCaps/>
              <w:sz w:val="20"/>
              <w:szCs w:val="21"/>
            </w:rPr>
            <w:t>Pacific Judicial Development Programme</w:t>
          </w:r>
        </w:p>
        <w:p w14:paraId="4A7AFEFA" w14:textId="77777777" w:rsidR="00355914" w:rsidRPr="00230858" w:rsidRDefault="00355914" w:rsidP="00355914">
          <w:pPr>
            <w:pStyle w:val="Header"/>
            <w:ind w:left="601"/>
            <w:rPr>
              <w:rFonts w:ascii="Arial Narrow" w:hAnsi="Arial Narrow" w:cs="Arial"/>
              <w:b/>
              <w:smallCaps/>
              <w:sz w:val="20"/>
              <w:szCs w:val="18"/>
            </w:rPr>
          </w:pPr>
          <w:r>
            <w:rPr>
              <w:rFonts w:ascii="Arial Narrow" w:hAnsi="Arial Narrow" w:cs="Calibri"/>
              <w:sz w:val="20"/>
              <w:szCs w:val="60"/>
            </w:rPr>
            <w:t>Fourth Six-monthly</w:t>
          </w:r>
          <w:r w:rsidRPr="00230858">
            <w:rPr>
              <w:rFonts w:ascii="Arial Narrow" w:hAnsi="Arial Narrow" w:cs="Calibri"/>
              <w:sz w:val="20"/>
              <w:szCs w:val="60"/>
            </w:rPr>
            <w:t xml:space="preserve"> Progress Report</w:t>
          </w:r>
        </w:p>
        <w:p w14:paraId="6B948C2B" w14:textId="77777777" w:rsidR="00355914" w:rsidRPr="00230858" w:rsidRDefault="00355914" w:rsidP="00355914">
          <w:pPr>
            <w:pStyle w:val="Header"/>
            <w:ind w:left="662"/>
            <w:rPr>
              <w:rFonts w:ascii="Arial Narrow" w:hAnsi="Arial Narrow"/>
              <w:sz w:val="4"/>
              <w:szCs w:val="19"/>
            </w:rPr>
          </w:pPr>
        </w:p>
      </w:tc>
      <w:tc>
        <w:tcPr>
          <w:tcW w:w="1902" w:type="dxa"/>
          <w:vMerge w:val="restart"/>
          <w:tcBorders>
            <w:bottom w:val="nil"/>
          </w:tcBorders>
        </w:tcPr>
        <w:p w14:paraId="3CD2352C" w14:textId="77777777" w:rsidR="00355914" w:rsidRPr="00230858" w:rsidRDefault="00355914" w:rsidP="00355914">
          <w:pPr>
            <w:pStyle w:val="Header"/>
            <w:jc w:val="right"/>
            <w:rPr>
              <w:rFonts w:ascii="Arial Narrow" w:hAnsi="Arial Narrow"/>
              <w:sz w:val="19"/>
              <w:szCs w:val="19"/>
            </w:rPr>
          </w:pPr>
          <w:r>
            <w:rPr>
              <w:noProof/>
            </w:rPr>
            <w:drawing>
              <wp:anchor distT="0" distB="0" distL="114300" distR="114300" simplePos="0" relativeHeight="251668480" behindDoc="1" locked="0" layoutInCell="1" allowOverlap="1" wp14:anchorId="020EC490" wp14:editId="0B977FD7">
                <wp:simplePos x="0" y="0"/>
                <wp:positionH relativeFrom="column">
                  <wp:posOffset>-31115</wp:posOffset>
                </wp:positionH>
                <wp:positionV relativeFrom="paragraph">
                  <wp:posOffset>24765</wp:posOffset>
                </wp:positionV>
                <wp:extent cx="824230" cy="831215"/>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824230" cy="831215"/>
                        </a:xfrm>
                        <a:prstGeom prst="rect">
                          <a:avLst/>
                        </a:prstGeom>
                        <a:solidFill>
                          <a:srgbClr val="FFFFFF"/>
                        </a:solidFill>
                      </pic:spPr>
                    </pic:pic>
                  </a:graphicData>
                </a:graphic>
              </wp:anchor>
            </w:drawing>
          </w:r>
        </w:p>
        <w:p w14:paraId="674EB405" w14:textId="77777777" w:rsidR="00355914" w:rsidRPr="00230858" w:rsidRDefault="00355914" w:rsidP="00355914">
          <w:pPr>
            <w:pStyle w:val="Header"/>
            <w:jc w:val="right"/>
            <w:rPr>
              <w:rFonts w:ascii="Arial Narrow" w:hAnsi="Arial Narrow"/>
              <w:sz w:val="19"/>
              <w:szCs w:val="19"/>
            </w:rPr>
          </w:pPr>
        </w:p>
      </w:tc>
    </w:tr>
    <w:tr w:rsidR="00355914" w14:paraId="7158A4D8" w14:textId="77777777" w:rsidTr="009035C7">
      <w:trPr>
        <w:trHeight w:val="255"/>
      </w:trPr>
      <w:tc>
        <w:tcPr>
          <w:tcW w:w="13578" w:type="dxa"/>
          <w:tcBorders>
            <w:top w:val="single" w:sz="4" w:space="0" w:color="auto"/>
            <w:bottom w:val="nil"/>
          </w:tcBorders>
        </w:tcPr>
        <w:p w14:paraId="7B7859CA" w14:textId="77777777" w:rsidR="00355914" w:rsidRPr="00E75E21" w:rsidRDefault="00355914" w:rsidP="00355914">
          <w:pPr>
            <w:pStyle w:val="Header"/>
            <w:rPr>
              <w:rFonts w:ascii="Arial Narrow" w:hAnsi="Arial Narrow"/>
              <w:sz w:val="32"/>
            </w:rPr>
          </w:pPr>
        </w:p>
        <w:p w14:paraId="531994F7" w14:textId="77777777" w:rsidR="00355914" w:rsidRPr="00E75E21" w:rsidRDefault="00355914" w:rsidP="00355914">
          <w:pPr>
            <w:pStyle w:val="Header"/>
            <w:rPr>
              <w:rFonts w:ascii="Arial Narrow" w:hAnsi="Arial Narrow"/>
              <w:sz w:val="32"/>
            </w:rPr>
          </w:pPr>
        </w:p>
      </w:tc>
      <w:tc>
        <w:tcPr>
          <w:tcW w:w="1902" w:type="dxa"/>
          <w:vMerge/>
          <w:tcBorders>
            <w:bottom w:val="nil"/>
          </w:tcBorders>
        </w:tcPr>
        <w:p w14:paraId="1774A7DE" w14:textId="77777777" w:rsidR="00355914" w:rsidRPr="00230858" w:rsidRDefault="00355914" w:rsidP="00355914">
          <w:pPr>
            <w:pStyle w:val="Header"/>
            <w:jc w:val="right"/>
            <w:rPr>
              <w:rFonts w:ascii="Arial Narrow" w:hAnsi="Arial Narrow"/>
              <w:sz w:val="6"/>
            </w:rPr>
          </w:pPr>
        </w:p>
      </w:tc>
    </w:tr>
  </w:tbl>
  <w:p w14:paraId="70B8F152" w14:textId="77777777" w:rsidR="00355914" w:rsidRDefault="00355914" w:rsidP="00355914">
    <w:pPr>
      <w:pStyle w:val="Header"/>
      <w:rPr>
        <w:sz w:val="2"/>
      </w:rPr>
    </w:pPr>
  </w:p>
  <w:p w14:paraId="354D0D52" w14:textId="77777777" w:rsidR="00355914" w:rsidRDefault="00355914" w:rsidP="00B97A11">
    <w:pPr>
      <w:pStyle w:val="Header"/>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480" w:type="dxa"/>
      <w:tblInd w:w="-601" w:type="dxa"/>
      <w:tblBorders>
        <w:bottom w:val="single" w:sz="4" w:space="0" w:color="auto"/>
      </w:tblBorders>
      <w:tblLook w:val="01E0" w:firstRow="1" w:lastRow="1" w:firstColumn="1" w:lastColumn="1" w:noHBand="0" w:noVBand="0"/>
    </w:tblPr>
    <w:tblGrid>
      <w:gridCol w:w="13578"/>
      <w:gridCol w:w="1902"/>
    </w:tblGrid>
    <w:tr w:rsidR="0070135D" w:rsidRPr="00E225D5" w14:paraId="3D0DC339" w14:textId="77777777" w:rsidTr="002202A1">
      <w:trPr>
        <w:trHeight w:val="679"/>
      </w:trPr>
      <w:tc>
        <w:tcPr>
          <w:tcW w:w="13578" w:type="dxa"/>
          <w:tcBorders>
            <w:bottom w:val="single" w:sz="4" w:space="0" w:color="auto"/>
          </w:tcBorders>
          <w:vAlign w:val="bottom"/>
        </w:tcPr>
        <w:p w14:paraId="1EDC7825" w14:textId="77777777" w:rsidR="0070135D" w:rsidRPr="00156FB1" w:rsidRDefault="0070135D" w:rsidP="000F7EA3">
          <w:pPr>
            <w:ind w:left="601"/>
            <w:rPr>
              <w:rFonts w:cs="Calibri"/>
              <w:b/>
              <w:i/>
              <w:smallCaps/>
              <w:sz w:val="20"/>
              <w:szCs w:val="21"/>
            </w:rPr>
          </w:pPr>
          <w:r w:rsidRPr="00156FB1">
            <w:rPr>
              <w:rFonts w:cs="Calibri"/>
              <w:b/>
              <w:i/>
              <w:smallCaps/>
              <w:sz w:val="20"/>
              <w:szCs w:val="21"/>
            </w:rPr>
            <w:t>Pacific Judicial Development Programme</w:t>
          </w:r>
        </w:p>
        <w:p w14:paraId="0AF9D4D3" w14:textId="77777777" w:rsidR="0070135D" w:rsidRPr="00230858" w:rsidRDefault="0070135D" w:rsidP="000F7EA3">
          <w:pPr>
            <w:pStyle w:val="Header"/>
            <w:ind w:left="601"/>
            <w:rPr>
              <w:rFonts w:ascii="Arial Narrow" w:hAnsi="Arial Narrow" w:cs="Arial"/>
              <w:b/>
              <w:smallCaps/>
              <w:sz w:val="20"/>
              <w:szCs w:val="18"/>
            </w:rPr>
          </w:pPr>
          <w:r>
            <w:rPr>
              <w:rFonts w:ascii="Arial Narrow" w:hAnsi="Arial Narrow" w:cs="Calibri"/>
              <w:sz w:val="20"/>
              <w:szCs w:val="60"/>
            </w:rPr>
            <w:t>Fourth Six-monthly</w:t>
          </w:r>
          <w:r w:rsidRPr="00230858">
            <w:rPr>
              <w:rFonts w:ascii="Arial Narrow" w:hAnsi="Arial Narrow" w:cs="Calibri"/>
              <w:sz w:val="20"/>
              <w:szCs w:val="60"/>
            </w:rPr>
            <w:t xml:space="preserve"> Progress Report</w:t>
          </w:r>
        </w:p>
        <w:p w14:paraId="2D664AAA" w14:textId="77777777" w:rsidR="0070135D" w:rsidRPr="00230858" w:rsidRDefault="0070135D" w:rsidP="000F7EA3">
          <w:pPr>
            <w:pStyle w:val="Header"/>
            <w:ind w:left="662"/>
            <w:rPr>
              <w:rFonts w:ascii="Arial Narrow" w:hAnsi="Arial Narrow"/>
              <w:sz w:val="4"/>
              <w:szCs w:val="19"/>
            </w:rPr>
          </w:pPr>
        </w:p>
      </w:tc>
      <w:tc>
        <w:tcPr>
          <w:tcW w:w="1902" w:type="dxa"/>
          <w:vMerge w:val="restart"/>
          <w:tcBorders>
            <w:bottom w:val="nil"/>
          </w:tcBorders>
        </w:tcPr>
        <w:p w14:paraId="484B3572" w14:textId="77777777" w:rsidR="0070135D" w:rsidRPr="00230858" w:rsidRDefault="0070135D" w:rsidP="000F7EA3">
          <w:pPr>
            <w:pStyle w:val="Header"/>
            <w:jc w:val="right"/>
            <w:rPr>
              <w:rFonts w:ascii="Arial Narrow" w:hAnsi="Arial Narrow"/>
              <w:sz w:val="19"/>
              <w:szCs w:val="19"/>
            </w:rPr>
          </w:pPr>
          <w:r>
            <w:rPr>
              <w:noProof/>
            </w:rPr>
            <w:drawing>
              <wp:anchor distT="0" distB="0" distL="114300" distR="114300" simplePos="0" relativeHeight="251664384" behindDoc="1" locked="0" layoutInCell="1" allowOverlap="1" wp14:anchorId="36821C95" wp14:editId="388F4570">
                <wp:simplePos x="0" y="0"/>
                <wp:positionH relativeFrom="column">
                  <wp:posOffset>-31115</wp:posOffset>
                </wp:positionH>
                <wp:positionV relativeFrom="paragraph">
                  <wp:posOffset>24765</wp:posOffset>
                </wp:positionV>
                <wp:extent cx="824230" cy="83121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824230" cy="831215"/>
                        </a:xfrm>
                        <a:prstGeom prst="rect">
                          <a:avLst/>
                        </a:prstGeom>
                        <a:solidFill>
                          <a:srgbClr val="FFFFFF"/>
                        </a:solidFill>
                      </pic:spPr>
                    </pic:pic>
                  </a:graphicData>
                </a:graphic>
              </wp:anchor>
            </w:drawing>
          </w:r>
        </w:p>
        <w:p w14:paraId="084E4084" w14:textId="77777777" w:rsidR="0070135D" w:rsidRPr="00230858" w:rsidRDefault="0070135D" w:rsidP="000F7EA3">
          <w:pPr>
            <w:pStyle w:val="Header"/>
            <w:jc w:val="right"/>
            <w:rPr>
              <w:rFonts w:ascii="Arial Narrow" w:hAnsi="Arial Narrow"/>
              <w:sz w:val="19"/>
              <w:szCs w:val="19"/>
            </w:rPr>
          </w:pPr>
        </w:p>
      </w:tc>
    </w:tr>
    <w:tr w:rsidR="0070135D" w14:paraId="250B13E1" w14:textId="77777777" w:rsidTr="002202A1">
      <w:trPr>
        <w:trHeight w:val="255"/>
      </w:trPr>
      <w:tc>
        <w:tcPr>
          <w:tcW w:w="13578" w:type="dxa"/>
          <w:tcBorders>
            <w:top w:val="single" w:sz="4" w:space="0" w:color="auto"/>
            <w:bottom w:val="nil"/>
          </w:tcBorders>
        </w:tcPr>
        <w:p w14:paraId="54072F2F" w14:textId="77777777" w:rsidR="0070135D" w:rsidRPr="00E75E21" w:rsidRDefault="0070135D" w:rsidP="000F7EA3">
          <w:pPr>
            <w:pStyle w:val="Header"/>
            <w:rPr>
              <w:rFonts w:ascii="Arial Narrow" w:hAnsi="Arial Narrow"/>
              <w:sz w:val="32"/>
            </w:rPr>
          </w:pPr>
        </w:p>
        <w:p w14:paraId="32A9F0DF" w14:textId="77777777" w:rsidR="0070135D" w:rsidRPr="00E75E21" w:rsidRDefault="0070135D" w:rsidP="000F7EA3">
          <w:pPr>
            <w:pStyle w:val="Header"/>
            <w:rPr>
              <w:rFonts w:ascii="Arial Narrow" w:hAnsi="Arial Narrow"/>
              <w:sz w:val="32"/>
            </w:rPr>
          </w:pPr>
        </w:p>
      </w:tc>
      <w:tc>
        <w:tcPr>
          <w:tcW w:w="1902" w:type="dxa"/>
          <w:vMerge/>
          <w:tcBorders>
            <w:bottom w:val="nil"/>
          </w:tcBorders>
        </w:tcPr>
        <w:p w14:paraId="3C8A69D6" w14:textId="77777777" w:rsidR="0070135D" w:rsidRPr="00230858" w:rsidRDefault="0070135D" w:rsidP="000F7EA3">
          <w:pPr>
            <w:pStyle w:val="Header"/>
            <w:jc w:val="right"/>
            <w:rPr>
              <w:rFonts w:ascii="Arial Narrow" w:hAnsi="Arial Narrow"/>
              <w:sz w:val="6"/>
            </w:rPr>
          </w:pPr>
        </w:p>
      </w:tc>
    </w:tr>
  </w:tbl>
  <w:p w14:paraId="3506701D" w14:textId="77777777" w:rsidR="0070135D" w:rsidRDefault="0070135D" w:rsidP="00B97A11">
    <w:pPr>
      <w:pStyle w:val="Header"/>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480" w:type="dxa"/>
      <w:tblInd w:w="-601" w:type="dxa"/>
      <w:tblBorders>
        <w:bottom w:val="single" w:sz="4" w:space="0" w:color="auto"/>
      </w:tblBorders>
      <w:tblLook w:val="01E0" w:firstRow="1" w:lastRow="1" w:firstColumn="1" w:lastColumn="1" w:noHBand="0" w:noVBand="0"/>
    </w:tblPr>
    <w:tblGrid>
      <w:gridCol w:w="13578"/>
      <w:gridCol w:w="1902"/>
    </w:tblGrid>
    <w:tr w:rsidR="0070135D" w:rsidRPr="00E225D5" w14:paraId="35A21A68" w14:textId="77777777" w:rsidTr="000F7EA3">
      <w:trPr>
        <w:trHeight w:val="679"/>
      </w:trPr>
      <w:tc>
        <w:tcPr>
          <w:tcW w:w="13578" w:type="dxa"/>
          <w:tcBorders>
            <w:bottom w:val="single" w:sz="4" w:space="0" w:color="auto"/>
          </w:tcBorders>
          <w:vAlign w:val="bottom"/>
        </w:tcPr>
        <w:p w14:paraId="373CDEF8" w14:textId="77777777" w:rsidR="0070135D" w:rsidRPr="00156FB1" w:rsidRDefault="0070135D" w:rsidP="000F7EA3">
          <w:pPr>
            <w:ind w:left="601"/>
            <w:rPr>
              <w:rFonts w:cs="Calibri"/>
              <w:b/>
              <w:i/>
              <w:smallCaps/>
              <w:sz w:val="20"/>
              <w:szCs w:val="21"/>
            </w:rPr>
          </w:pPr>
          <w:r w:rsidRPr="00156FB1">
            <w:rPr>
              <w:rFonts w:cs="Calibri"/>
              <w:b/>
              <w:i/>
              <w:smallCaps/>
              <w:sz w:val="20"/>
              <w:szCs w:val="21"/>
            </w:rPr>
            <w:t>Pacific Judicial Development Programme</w:t>
          </w:r>
        </w:p>
        <w:p w14:paraId="35429627" w14:textId="77777777" w:rsidR="0070135D" w:rsidRPr="00230858" w:rsidRDefault="0070135D" w:rsidP="000F7EA3">
          <w:pPr>
            <w:pStyle w:val="Header"/>
            <w:ind w:left="601"/>
            <w:rPr>
              <w:rFonts w:ascii="Arial Narrow" w:hAnsi="Arial Narrow" w:cs="Arial"/>
              <w:b/>
              <w:smallCaps/>
              <w:sz w:val="20"/>
              <w:szCs w:val="18"/>
            </w:rPr>
          </w:pPr>
          <w:r>
            <w:rPr>
              <w:rFonts w:ascii="Arial Narrow" w:hAnsi="Arial Narrow" w:cs="Calibri"/>
              <w:sz w:val="20"/>
              <w:szCs w:val="60"/>
            </w:rPr>
            <w:t>Fourth Six-monthly</w:t>
          </w:r>
          <w:r w:rsidRPr="00230858">
            <w:rPr>
              <w:rFonts w:ascii="Arial Narrow" w:hAnsi="Arial Narrow" w:cs="Calibri"/>
              <w:sz w:val="20"/>
              <w:szCs w:val="60"/>
            </w:rPr>
            <w:t xml:space="preserve"> Progress Report</w:t>
          </w:r>
        </w:p>
        <w:p w14:paraId="568729A3" w14:textId="77777777" w:rsidR="0070135D" w:rsidRPr="00230858" w:rsidRDefault="0070135D" w:rsidP="000F7EA3">
          <w:pPr>
            <w:pStyle w:val="Header"/>
            <w:ind w:left="662"/>
            <w:rPr>
              <w:rFonts w:ascii="Arial Narrow" w:hAnsi="Arial Narrow"/>
              <w:sz w:val="4"/>
              <w:szCs w:val="19"/>
            </w:rPr>
          </w:pPr>
        </w:p>
      </w:tc>
      <w:tc>
        <w:tcPr>
          <w:tcW w:w="1902" w:type="dxa"/>
          <w:vMerge w:val="restart"/>
          <w:tcBorders>
            <w:bottom w:val="nil"/>
          </w:tcBorders>
        </w:tcPr>
        <w:p w14:paraId="1A553965" w14:textId="77777777" w:rsidR="0070135D" w:rsidRPr="00230858" w:rsidRDefault="0070135D" w:rsidP="000F7EA3">
          <w:pPr>
            <w:pStyle w:val="Header"/>
            <w:jc w:val="right"/>
            <w:rPr>
              <w:rFonts w:ascii="Arial Narrow" w:hAnsi="Arial Narrow"/>
              <w:sz w:val="19"/>
              <w:szCs w:val="19"/>
            </w:rPr>
          </w:pPr>
          <w:r>
            <w:rPr>
              <w:noProof/>
            </w:rPr>
            <w:drawing>
              <wp:anchor distT="0" distB="0" distL="114300" distR="114300" simplePos="0" relativeHeight="251662336" behindDoc="1" locked="0" layoutInCell="1" allowOverlap="1" wp14:anchorId="6B67B433" wp14:editId="0478F28E">
                <wp:simplePos x="0" y="0"/>
                <wp:positionH relativeFrom="column">
                  <wp:posOffset>-31115</wp:posOffset>
                </wp:positionH>
                <wp:positionV relativeFrom="paragraph">
                  <wp:posOffset>24765</wp:posOffset>
                </wp:positionV>
                <wp:extent cx="824230" cy="83121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824230" cy="831215"/>
                        </a:xfrm>
                        <a:prstGeom prst="rect">
                          <a:avLst/>
                        </a:prstGeom>
                        <a:solidFill>
                          <a:srgbClr val="FFFFFF"/>
                        </a:solidFill>
                      </pic:spPr>
                    </pic:pic>
                  </a:graphicData>
                </a:graphic>
              </wp:anchor>
            </w:drawing>
          </w:r>
        </w:p>
        <w:p w14:paraId="52878FBD" w14:textId="77777777" w:rsidR="0070135D" w:rsidRPr="00230858" w:rsidRDefault="0070135D" w:rsidP="000F7EA3">
          <w:pPr>
            <w:pStyle w:val="Header"/>
            <w:jc w:val="right"/>
            <w:rPr>
              <w:rFonts w:ascii="Arial Narrow" w:hAnsi="Arial Narrow"/>
              <w:sz w:val="19"/>
              <w:szCs w:val="19"/>
            </w:rPr>
          </w:pPr>
        </w:p>
      </w:tc>
    </w:tr>
    <w:tr w:rsidR="0070135D" w14:paraId="11A3511C" w14:textId="77777777" w:rsidTr="000F7EA3">
      <w:trPr>
        <w:trHeight w:val="255"/>
      </w:trPr>
      <w:tc>
        <w:tcPr>
          <w:tcW w:w="13578" w:type="dxa"/>
          <w:tcBorders>
            <w:top w:val="single" w:sz="4" w:space="0" w:color="auto"/>
            <w:bottom w:val="nil"/>
          </w:tcBorders>
        </w:tcPr>
        <w:p w14:paraId="26DBCBF8" w14:textId="77777777" w:rsidR="0070135D" w:rsidRPr="00CF58A2" w:rsidRDefault="0070135D" w:rsidP="000F7EA3">
          <w:pPr>
            <w:pStyle w:val="Header"/>
            <w:rPr>
              <w:rFonts w:ascii="Arial Narrow" w:hAnsi="Arial Narrow"/>
              <w:sz w:val="18"/>
            </w:rPr>
          </w:pPr>
        </w:p>
        <w:p w14:paraId="592CA7CF" w14:textId="77777777" w:rsidR="0070135D" w:rsidRPr="00230858" w:rsidRDefault="0070135D" w:rsidP="000F7EA3">
          <w:pPr>
            <w:pStyle w:val="Header"/>
            <w:rPr>
              <w:rFonts w:ascii="Arial Narrow" w:hAnsi="Arial Narrow"/>
            </w:rPr>
          </w:pPr>
        </w:p>
      </w:tc>
      <w:tc>
        <w:tcPr>
          <w:tcW w:w="1902" w:type="dxa"/>
          <w:vMerge/>
          <w:tcBorders>
            <w:bottom w:val="nil"/>
          </w:tcBorders>
        </w:tcPr>
        <w:p w14:paraId="212E8B50" w14:textId="77777777" w:rsidR="0070135D" w:rsidRPr="00230858" w:rsidRDefault="0070135D" w:rsidP="000F7EA3">
          <w:pPr>
            <w:pStyle w:val="Header"/>
            <w:jc w:val="right"/>
            <w:rPr>
              <w:rFonts w:ascii="Arial Narrow" w:hAnsi="Arial Narrow"/>
              <w:sz w:val="6"/>
            </w:rPr>
          </w:pPr>
        </w:p>
      </w:tc>
    </w:tr>
  </w:tbl>
  <w:p w14:paraId="416B58DE" w14:textId="77777777" w:rsidR="0070135D" w:rsidRPr="00CF58A2" w:rsidRDefault="0070135D" w:rsidP="00B97A11">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848B54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9726209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05187A"/>
    <w:multiLevelType w:val="hybridMultilevel"/>
    <w:tmpl w:val="F96437F2"/>
    <w:lvl w:ilvl="0" w:tplc="C06A27DE">
      <w:start w:val="1"/>
      <w:numFmt w:val="decimal"/>
      <w:lvlText w:val="2.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24958C9"/>
    <w:multiLevelType w:val="hybridMultilevel"/>
    <w:tmpl w:val="78A82AB4"/>
    <w:lvl w:ilvl="0" w:tplc="4202B468">
      <w:start w:val="1"/>
      <w:numFmt w:val="decimal"/>
      <w:lvlText w:val="7%1."/>
      <w:lvlJc w:val="left"/>
      <w:pPr>
        <w:ind w:left="720" w:hanging="360"/>
      </w:pPr>
      <w:rPr>
        <w:rFonts w:cs="Times New Roman" w:hint="default"/>
      </w:rPr>
    </w:lvl>
    <w:lvl w:ilvl="1" w:tplc="0C090019" w:tentative="1">
      <w:start w:val="1"/>
      <w:numFmt w:val="lowerLetter"/>
      <w:lvlText w:val="%2."/>
      <w:lvlJc w:val="left"/>
      <w:pPr>
        <w:ind w:left="1516" w:hanging="360"/>
      </w:pPr>
      <w:rPr>
        <w:rFonts w:cs="Times New Roman"/>
      </w:rPr>
    </w:lvl>
    <w:lvl w:ilvl="2" w:tplc="0C09001B" w:tentative="1">
      <w:start w:val="1"/>
      <w:numFmt w:val="lowerRoman"/>
      <w:lvlText w:val="%3."/>
      <w:lvlJc w:val="right"/>
      <w:pPr>
        <w:ind w:left="2236" w:hanging="180"/>
      </w:pPr>
      <w:rPr>
        <w:rFonts w:cs="Times New Roman"/>
      </w:rPr>
    </w:lvl>
    <w:lvl w:ilvl="3" w:tplc="0C09000F" w:tentative="1">
      <w:start w:val="1"/>
      <w:numFmt w:val="decimal"/>
      <w:lvlText w:val="%4."/>
      <w:lvlJc w:val="left"/>
      <w:pPr>
        <w:ind w:left="2956" w:hanging="360"/>
      </w:pPr>
      <w:rPr>
        <w:rFonts w:cs="Times New Roman"/>
      </w:rPr>
    </w:lvl>
    <w:lvl w:ilvl="4" w:tplc="0C090019" w:tentative="1">
      <w:start w:val="1"/>
      <w:numFmt w:val="lowerLetter"/>
      <w:lvlText w:val="%5."/>
      <w:lvlJc w:val="left"/>
      <w:pPr>
        <w:ind w:left="3676" w:hanging="360"/>
      </w:pPr>
      <w:rPr>
        <w:rFonts w:cs="Times New Roman"/>
      </w:rPr>
    </w:lvl>
    <w:lvl w:ilvl="5" w:tplc="0C09001B" w:tentative="1">
      <w:start w:val="1"/>
      <w:numFmt w:val="lowerRoman"/>
      <w:lvlText w:val="%6."/>
      <w:lvlJc w:val="right"/>
      <w:pPr>
        <w:ind w:left="4396" w:hanging="180"/>
      </w:pPr>
      <w:rPr>
        <w:rFonts w:cs="Times New Roman"/>
      </w:rPr>
    </w:lvl>
    <w:lvl w:ilvl="6" w:tplc="0C09000F" w:tentative="1">
      <w:start w:val="1"/>
      <w:numFmt w:val="decimal"/>
      <w:lvlText w:val="%7."/>
      <w:lvlJc w:val="left"/>
      <w:pPr>
        <w:ind w:left="5116" w:hanging="360"/>
      </w:pPr>
      <w:rPr>
        <w:rFonts w:cs="Times New Roman"/>
      </w:rPr>
    </w:lvl>
    <w:lvl w:ilvl="7" w:tplc="0C090019" w:tentative="1">
      <w:start w:val="1"/>
      <w:numFmt w:val="lowerLetter"/>
      <w:lvlText w:val="%8."/>
      <w:lvlJc w:val="left"/>
      <w:pPr>
        <w:ind w:left="5836" w:hanging="360"/>
      </w:pPr>
      <w:rPr>
        <w:rFonts w:cs="Times New Roman"/>
      </w:rPr>
    </w:lvl>
    <w:lvl w:ilvl="8" w:tplc="0C09001B" w:tentative="1">
      <w:start w:val="1"/>
      <w:numFmt w:val="lowerRoman"/>
      <w:lvlText w:val="%9."/>
      <w:lvlJc w:val="right"/>
      <w:pPr>
        <w:ind w:left="6556" w:hanging="180"/>
      </w:pPr>
      <w:rPr>
        <w:rFonts w:cs="Times New Roman"/>
      </w:rPr>
    </w:lvl>
  </w:abstractNum>
  <w:abstractNum w:abstractNumId="4">
    <w:nsid w:val="03E16B7F"/>
    <w:multiLevelType w:val="hybridMultilevel"/>
    <w:tmpl w:val="0F3CEA7A"/>
    <w:lvl w:ilvl="0" w:tplc="FC527C5E">
      <w:start w:val="1"/>
      <w:numFmt w:val="decimal"/>
      <w:lvlText w:val="%1.0"/>
      <w:lvlJc w:val="left"/>
      <w:pPr>
        <w:ind w:left="720" w:hanging="360"/>
      </w:pPr>
      <w:rPr>
        <w:rFonts w:cs="Times New Roman" w:hint="default"/>
        <w:b/>
        <w:sz w:val="25"/>
        <w:szCs w:val="25"/>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04141D0B"/>
    <w:multiLevelType w:val="hybridMultilevel"/>
    <w:tmpl w:val="CADA8A3C"/>
    <w:lvl w:ilvl="0" w:tplc="C5C81A8C">
      <w:start w:val="1"/>
      <w:numFmt w:val="bullet"/>
      <w:lvlText w:val=""/>
      <w:lvlJc w:val="left"/>
      <w:pPr>
        <w:ind w:left="720" w:hanging="360"/>
      </w:pPr>
      <w:rPr>
        <w:rFonts w:ascii="Symbol" w:hAnsi="Symbol" w:hint="default"/>
        <w:i/>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4166208"/>
    <w:multiLevelType w:val="hybridMultilevel"/>
    <w:tmpl w:val="197E5EE4"/>
    <w:lvl w:ilvl="0" w:tplc="B0D45542">
      <w:start w:val="1"/>
      <w:numFmt w:val="decimal"/>
      <w:lvlText w:val="%1)"/>
      <w:lvlJc w:val="left"/>
      <w:pPr>
        <w:tabs>
          <w:tab w:val="num" w:pos="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nsid w:val="043F106B"/>
    <w:multiLevelType w:val="hybridMultilevel"/>
    <w:tmpl w:val="C8F040E8"/>
    <w:lvl w:ilvl="0" w:tplc="B0D45542">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nsid w:val="064114FC"/>
    <w:multiLevelType w:val="hybridMultilevel"/>
    <w:tmpl w:val="876E13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0B50275F"/>
    <w:multiLevelType w:val="hybridMultilevel"/>
    <w:tmpl w:val="4962BB70"/>
    <w:lvl w:ilvl="0" w:tplc="4572AF64">
      <w:start w:val="1"/>
      <w:numFmt w:val="bullet"/>
      <w:lvlText w:val=""/>
      <w:lvlJc w:val="left"/>
      <w:pPr>
        <w:ind w:left="720" w:hanging="360"/>
      </w:pPr>
      <w:rPr>
        <w:rFonts w:ascii="Symbol" w:hAnsi="Symbol" w:hint="default"/>
        <w:i/>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B520BCF"/>
    <w:multiLevelType w:val="hybridMultilevel"/>
    <w:tmpl w:val="329029FC"/>
    <w:lvl w:ilvl="0" w:tplc="ED9E6FAA">
      <w:start w:val="2"/>
      <w:numFmt w:val="bullet"/>
      <w:lvlText w:val="-"/>
      <w:lvlJc w:val="left"/>
      <w:pPr>
        <w:tabs>
          <w:tab w:val="num" w:pos="720"/>
        </w:tabs>
        <w:ind w:left="720" w:hanging="360"/>
      </w:pPr>
      <w:rPr>
        <w:rFonts w:ascii="Arial Narrow" w:eastAsia="Times New Roman" w:hAnsi="Arial Narrow" w:hint="default"/>
        <w:sz w:val="21"/>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B944C02"/>
    <w:multiLevelType w:val="hybridMultilevel"/>
    <w:tmpl w:val="CD969B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DDB467E"/>
    <w:multiLevelType w:val="hybridMultilevel"/>
    <w:tmpl w:val="B5367824"/>
    <w:lvl w:ilvl="0" w:tplc="31DAEFD8">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0F7A7622"/>
    <w:multiLevelType w:val="hybridMultilevel"/>
    <w:tmpl w:val="F05CB0C8"/>
    <w:lvl w:ilvl="0" w:tplc="31DAEFD8">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nsid w:val="1060772B"/>
    <w:multiLevelType w:val="hybridMultilevel"/>
    <w:tmpl w:val="A3E0698E"/>
    <w:lvl w:ilvl="0" w:tplc="FF9CAF32">
      <w:start w:val="1"/>
      <w:numFmt w:val="decimal"/>
      <w:lvlText w:val="2.%1"/>
      <w:lvlJc w:val="left"/>
      <w:pPr>
        <w:ind w:left="720" w:hanging="360"/>
      </w:pPr>
      <w:rPr>
        <w:rFonts w:cs="Times New Roman" w:hint="default"/>
        <w:b/>
        <w:sz w:val="25"/>
        <w:szCs w:val="2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374090B"/>
    <w:multiLevelType w:val="hybridMultilevel"/>
    <w:tmpl w:val="67EC43EC"/>
    <w:lvl w:ilvl="0" w:tplc="2206BAEC">
      <w:start w:val="1"/>
      <w:numFmt w:val="bullet"/>
      <w:lvlText w:val=""/>
      <w:lvlJc w:val="left"/>
      <w:pPr>
        <w:ind w:left="720" w:hanging="360"/>
      </w:pPr>
      <w:rPr>
        <w:rFonts w:ascii="Symbol" w:hAnsi="Symbol" w:hint="default"/>
        <w:i/>
        <w:sz w:val="2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nsid w:val="13A37C1B"/>
    <w:multiLevelType w:val="hybridMultilevel"/>
    <w:tmpl w:val="D26E494C"/>
    <w:lvl w:ilvl="0" w:tplc="5D32AE8E">
      <w:start w:val="1"/>
      <w:numFmt w:val="bullet"/>
      <w:lvlText w:val=""/>
      <w:lvlJc w:val="left"/>
      <w:pPr>
        <w:ind w:left="720" w:hanging="360"/>
      </w:pPr>
      <w:rPr>
        <w:rFonts w:ascii="Symbol" w:hAnsi="Symbol" w:hint="default"/>
        <w:i/>
        <w:sz w:val="21"/>
        <w:szCs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B7E6B02"/>
    <w:multiLevelType w:val="hybridMultilevel"/>
    <w:tmpl w:val="D14C00F2"/>
    <w:lvl w:ilvl="0" w:tplc="2206BAEC">
      <w:start w:val="1"/>
      <w:numFmt w:val="bullet"/>
      <w:lvlText w:val=""/>
      <w:lvlJc w:val="left"/>
      <w:pPr>
        <w:ind w:left="720" w:hanging="360"/>
      </w:pPr>
      <w:rPr>
        <w:rFonts w:ascii="Symbol" w:hAnsi="Symbol" w:hint="default"/>
        <w:i/>
        <w:sz w:val="2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CB50CA6"/>
    <w:multiLevelType w:val="hybridMultilevel"/>
    <w:tmpl w:val="FE8041D4"/>
    <w:lvl w:ilvl="0" w:tplc="E37ED7DC">
      <w:start w:val="1"/>
      <w:numFmt w:val="bullet"/>
      <w:lvlText w:val=""/>
      <w:lvlJc w:val="left"/>
      <w:pPr>
        <w:ind w:left="720" w:hanging="360"/>
      </w:pPr>
      <w:rPr>
        <w:rFonts w:ascii="Symbol" w:hAnsi="Symbol" w:hint="default"/>
        <w:i/>
        <w:sz w:val="21"/>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DC00163"/>
    <w:multiLevelType w:val="hybridMultilevel"/>
    <w:tmpl w:val="DB084F26"/>
    <w:lvl w:ilvl="0" w:tplc="B0D45542">
      <w:start w:val="1"/>
      <w:numFmt w:val="decimal"/>
      <w:lvlText w:val="%1)"/>
      <w:lvlJc w:val="left"/>
      <w:pPr>
        <w:tabs>
          <w:tab w:val="num" w:pos="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nsid w:val="1EC70190"/>
    <w:multiLevelType w:val="hybridMultilevel"/>
    <w:tmpl w:val="49E2FB6C"/>
    <w:lvl w:ilvl="0" w:tplc="18A84CDA">
      <w:start w:val="1"/>
      <w:numFmt w:val="bullet"/>
      <w:lvlText w:val=""/>
      <w:lvlJc w:val="left"/>
      <w:pPr>
        <w:ind w:left="720" w:hanging="360"/>
      </w:pPr>
      <w:rPr>
        <w:rFonts w:ascii="Symbol" w:hAnsi="Symbol" w:hint="default"/>
        <w:i/>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15750B9"/>
    <w:multiLevelType w:val="hybridMultilevel"/>
    <w:tmpl w:val="350C759E"/>
    <w:lvl w:ilvl="0" w:tplc="42AE6E7A">
      <w:start w:val="1"/>
      <w:numFmt w:val="bullet"/>
      <w:lvlText w:val="­"/>
      <w:lvlJc w:val="left"/>
      <w:pPr>
        <w:tabs>
          <w:tab w:val="num" w:pos="0"/>
        </w:tabs>
        <w:ind w:left="1074" w:hanging="360"/>
      </w:pPr>
      <w:rPr>
        <w:rFonts w:ascii="Arial Narrow" w:hAnsi="Arial Narrow" w:hint="default"/>
        <w:i/>
        <w:sz w:val="22"/>
      </w:rPr>
    </w:lvl>
    <w:lvl w:ilvl="1" w:tplc="0C090003" w:tentative="1">
      <w:start w:val="1"/>
      <w:numFmt w:val="bullet"/>
      <w:lvlText w:val="o"/>
      <w:lvlJc w:val="left"/>
      <w:pPr>
        <w:ind w:left="2154" w:hanging="360"/>
      </w:pPr>
      <w:rPr>
        <w:rFonts w:ascii="Courier New" w:hAnsi="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2">
    <w:nsid w:val="222C3BDB"/>
    <w:multiLevelType w:val="hybridMultilevel"/>
    <w:tmpl w:val="15EA0AD8"/>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nsid w:val="22BA04DB"/>
    <w:multiLevelType w:val="hybridMultilevel"/>
    <w:tmpl w:val="98B02A0C"/>
    <w:lvl w:ilvl="0" w:tplc="3F621A26">
      <w:start w:val="1"/>
      <w:numFmt w:val="decimal"/>
      <w:lvlText w:val="2.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23E24899"/>
    <w:multiLevelType w:val="hybridMultilevel"/>
    <w:tmpl w:val="B8E6D66C"/>
    <w:lvl w:ilvl="0" w:tplc="A00A1668">
      <w:start w:val="1"/>
      <w:numFmt w:val="decimal"/>
      <w:lvlText w:val="%1."/>
      <w:lvlJc w:val="left"/>
      <w:pPr>
        <w:ind w:left="720" w:hanging="360"/>
      </w:pPr>
      <w:rPr>
        <w:rFonts w:cs="Times New Roman"/>
        <w:b/>
        <w:i/>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nsid w:val="25473D95"/>
    <w:multiLevelType w:val="hybridMultilevel"/>
    <w:tmpl w:val="68BC64C2"/>
    <w:lvl w:ilvl="0" w:tplc="00D2F52E">
      <w:start w:val="1"/>
      <w:numFmt w:val="bullet"/>
      <w:lvlText w:val=""/>
      <w:lvlJc w:val="left"/>
      <w:pPr>
        <w:ind w:left="720" w:hanging="360"/>
      </w:pPr>
      <w:rPr>
        <w:rFonts w:ascii="Symbol" w:hAnsi="Symbol" w:hint="default"/>
        <w:i/>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29364590"/>
    <w:multiLevelType w:val="hybridMultilevel"/>
    <w:tmpl w:val="DFB01FE0"/>
    <w:lvl w:ilvl="0" w:tplc="B53A0B2A">
      <w:start w:val="1"/>
      <w:numFmt w:val="decimal"/>
      <w:lvlText w:val="%1)"/>
      <w:lvlJc w:val="left"/>
      <w:pPr>
        <w:ind w:left="720" w:hanging="360"/>
      </w:pPr>
      <w:rPr>
        <w:rFonts w:ascii="Arial Narrow" w:eastAsia="Times New Roman" w:hAnsi="Arial Narrow"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7">
    <w:nsid w:val="294876CE"/>
    <w:multiLevelType w:val="hybridMultilevel"/>
    <w:tmpl w:val="CD969B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2B093585"/>
    <w:multiLevelType w:val="multilevel"/>
    <w:tmpl w:val="B9521A9A"/>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720" w:hanging="360"/>
      </w:pPr>
      <w:rPr>
        <w:rFonts w:cs="Times New Roman" w:hint="default"/>
        <w:b/>
        <w:sz w:val="25"/>
        <w:szCs w:val="25"/>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9">
    <w:nsid w:val="2EF2405B"/>
    <w:multiLevelType w:val="hybridMultilevel"/>
    <w:tmpl w:val="2FEE3DDE"/>
    <w:lvl w:ilvl="0" w:tplc="2206BAEC">
      <w:start w:val="1"/>
      <w:numFmt w:val="bullet"/>
      <w:lvlText w:val=""/>
      <w:lvlJc w:val="left"/>
      <w:pPr>
        <w:ind w:left="720" w:hanging="360"/>
      </w:pPr>
      <w:rPr>
        <w:rFonts w:ascii="Symbol" w:hAnsi="Symbol" w:hint="default"/>
        <w:i/>
        <w:sz w:val="20"/>
      </w:rPr>
    </w:lvl>
    <w:lvl w:ilvl="1" w:tplc="B5589DDC">
      <w:start w:val="1"/>
      <w:numFmt w:val="bullet"/>
      <w:lvlText w:val="-"/>
      <w:lvlJc w:val="left"/>
      <w:pPr>
        <w:ind w:left="1440" w:hanging="360"/>
      </w:pPr>
      <w:rPr>
        <w:rFonts w:ascii="Arial Narrow" w:hAnsi="Arial Narro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2F4F22E2"/>
    <w:multiLevelType w:val="hybridMultilevel"/>
    <w:tmpl w:val="E6500B96"/>
    <w:lvl w:ilvl="0" w:tplc="B5589DDC">
      <w:start w:val="1"/>
      <w:numFmt w:val="bullet"/>
      <w:lvlText w:val="-"/>
      <w:lvlJc w:val="left"/>
      <w:pPr>
        <w:ind w:left="2514" w:hanging="360"/>
      </w:pPr>
      <w:rPr>
        <w:rFonts w:ascii="Arial Narrow" w:hAnsi="Arial Narrow" w:hint="default"/>
      </w:rPr>
    </w:lvl>
    <w:lvl w:ilvl="1" w:tplc="0C090003" w:tentative="1">
      <w:start w:val="1"/>
      <w:numFmt w:val="bullet"/>
      <w:lvlText w:val="o"/>
      <w:lvlJc w:val="left"/>
      <w:pPr>
        <w:ind w:left="3234" w:hanging="360"/>
      </w:pPr>
      <w:rPr>
        <w:rFonts w:ascii="Courier New" w:hAnsi="Courier New" w:cs="Courier New" w:hint="default"/>
      </w:rPr>
    </w:lvl>
    <w:lvl w:ilvl="2" w:tplc="0C090005" w:tentative="1">
      <w:start w:val="1"/>
      <w:numFmt w:val="bullet"/>
      <w:lvlText w:val=""/>
      <w:lvlJc w:val="left"/>
      <w:pPr>
        <w:ind w:left="3954" w:hanging="360"/>
      </w:pPr>
      <w:rPr>
        <w:rFonts w:ascii="Wingdings" w:hAnsi="Wingdings" w:hint="default"/>
      </w:rPr>
    </w:lvl>
    <w:lvl w:ilvl="3" w:tplc="0C090001" w:tentative="1">
      <w:start w:val="1"/>
      <w:numFmt w:val="bullet"/>
      <w:lvlText w:val=""/>
      <w:lvlJc w:val="left"/>
      <w:pPr>
        <w:ind w:left="4674" w:hanging="360"/>
      </w:pPr>
      <w:rPr>
        <w:rFonts w:ascii="Symbol" w:hAnsi="Symbol" w:hint="default"/>
      </w:rPr>
    </w:lvl>
    <w:lvl w:ilvl="4" w:tplc="0C090003" w:tentative="1">
      <w:start w:val="1"/>
      <w:numFmt w:val="bullet"/>
      <w:lvlText w:val="o"/>
      <w:lvlJc w:val="left"/>
      <w:pPr>
        <w:ind w:left="5394" w:hanging="360"/>
      </w:pPr>
      <w:rPr>
        <w:rFonts w:ascii="Courier New" w:hAnsi="Courier New" w:cs="Courier New" w:hint="default"/>
      </w:rPr>
    </w:lvl>
    <w:lvl w:ilvl="5" w:tplc="0C090005" w:tentative="1">
      <w:start w:val="1"/>
      <w:numFmt w:val="bullet"/>
      <w:lvlText w:val=""/>
      <w:lvlJc w:val="left"/>
      <w:pPr>
        <w:ind w:left="6114" w:hanging="360"/>
      </w:pPr>
      <w:rPr>
        <w:rFonts w:ascii="Wingdings" w:hAnsi="Wingdings" w:hint="default"/>
      </w:rPr>
    </w:lvl>
    <w:lvl w:ilvl="6" w:tplc="0C090001" w:tentative="1">
      <w:start w:val="1"/>
      <w:numFmt w:val="bullet"/>
      <w:lvlText w:val=""/>
      <w:lvlJc w:val="left"/>
      <w:pPr>
        <w:ind w:left="6834" w:hanging="360"/>
      </w:pPr>
      <w:rPr>
        <w:rFonts w:ascii="Symbol" w:hAnsi="Symbol" w:hint="default"/>
      </w:rPr>
    </w:lvl>
    <w:lvl w:ilvl="7" w:tplc="0C090003" w:tentative="1">
      <w:start w:val="1"/>
      <w:numFmt w:val="bullet"/>
      <w:lvlText w:val="o"/>
      <w:lvlJc w:val="left"/>
      <w:pPr>
        <w:ind w:left="7554" w:hanging="360"/>
      </w:pPr>
      <w:rPr>
        <w:rFonts w:ascii="Courier New" w:hAnsi="Courier New" w:cs="Courier New" w:hint="default"/>
      </w:rPr>
    </w:lvl>
    <w:lvl w:ilvl="8" w:tplc="0C090005" w:tentative="1">
      <w:start w:val="1"/>
      <w:numFmt w:val="bullet"/>
      <w:lvlText w:val=""/>
      <w:lvlJc w:val="left"/>
      <w:pPr>
        <w:ind w:left="8274" w:hanging="360"/>
      </w:pPr>
      <w:rPr>
        <w:rFonts w:ascii="Wingdings" w:hAnsi="Wingdings" w:hint="default"/>
      </w:rPr>
    </w:lvl>
  </w:abstractNum>
  <w:abstractNum w:abstractNumId="31">
    <w:nsid w:val="30A617C1"/>
    <w:multiLevelType w:val="hybridMultilevel"/>
    <w:tmpl w:val="09C4E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30C70C49"/>
    <w:multiLevelType w:val="hybridMultilevel"/>
    <w:tmpl w:val="8EA60E56"/>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nsid w:val="314D1900"/>
    <w:multiLevelType w:val="hybridMultilevel"/>
    <w:tmpl w:val="B650B636"/>
    <w:lvl w:ilvl="0" w:tplc="43E05262">
      <w:start w:val="1"/>
      <w:numFmt w:val="bullet"/>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358C6F62"/>
    <w:multiLevelType w:val="hybridMultilevel"/>
    <w:tmpl w:val="E1A65A9E"/>
    <w:lvl w:ilvl="0" w:tplc="F7700542">
      <w:start w:val="1"/>
      <w:numFmt w:val="bullet"/>
      <w:lvlText w:val=""/>
      <w:lvlJc w:val="left"/>
      <w:pPr>
        <w:ind w:left="720" w:hanging="360"/>
      </w:pPr>
      <w:rPr>
        <w:rFonts w:ascii="Symbol" w:hAnsi="Symbol" w:hint="default"/>
        <w:i/>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37D659C8"/>
    <w:multiLevelType w:val="hybridMultilevel"/>
    <w:tmpl w:val="8ED037E8"/>
    <w:lvl w:ilvl="0" w:tplc="B41E925A">
      <w:start w:val="1"/>
      <w:numFmt w:val="decimal"/>
      <w:lvlText w:val="2.5.%1"/>
      <w:lvlJc w:val="left"/>
      <w:pPr>
        <w:ind w:left="720" w:hanging="360"/>
      </w:pPr>
      <w:rPr>
        <w:rFonts w:cs="Times New Roman" w:hint="default"/>
        <w:b/>
        <w:sz w:val="23"/>
        <w:szCs w:val="23"/>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6">
    <w:nsid w:val="393854A6"/>
    <w:multiLevelType w:val="hybridMultilevel"/>
    <w:tmpl w:val="6570E064"/>
    <w:lvl w:ilvl="0" w:tplc="18A84CDA">
      <w:start w:val="1"/>
      <w:numFmt w:val="bullet"/>
      <w:lvlText w:val=""/>
      <w:lvlJc w:val="left"/>
      <w:pPr>
        <w:tabs>
          <w:tab w:val="num" w:pos="0"/>
        </w:tabs>
        <w:ind w:left="720" w:hanging="360"/>
      </w:pPr>
      <w:rPr>
        <w:rFonts w:ascii="Symbol" w:hAnsi="Symbol" w:hint="default"/>
        <w:i/>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7">
    <w:nsid w:val="39897107"/>
    <w:multiLevelType w:val="hybridMultilevel"/>
    <w:tmpl w:val="6C3E1250"/>
    <w:lvl w:ilvl="0" w:tplc="043CEEA8">
      <w:start w:val="1"/>
      <w:numFmt w:val="decimal"/>
      <w:lvlText w:val="%1.0"/>
      <w:lvlJc w:val="left"/>
      <w:pPr>
        <w:ind w:left="720" w:hanging="360"/>
      </w:pPr>
      <w:rPr>
        <w:rFonts w:cs="Times New Roman" w:hint="default"/>
        <w:b/>
        <w:sz w:val="26"/>
        <w:szCs w:val="26"/>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8">
    <w:nsid w:val="3D510A08"/>
    <w:multiLevelType w:val="hybridMultilevel"/>
    <w:tmpl w:val="7A081BD0"/>
    <w:lvl w:ilvl="0" w:tplc="B07279FC">
      <w:start w:val="1"/>
      <w:numFmt w:val="bullet"/>
      <w:lvlText w:val=""/>
      <w:lvlJc w:val="left"/>
      <w:pPr>
        <w:ind w:left="720" w:hanging="360"/>
      </w:pPr>
      <w:rPr>
        <w:rFonts w:ascii="Symbol" w:hAnsi="Symbol" w:hint="default"/>
        <w:i/>
        <w:sz w:val="21"/>
      </w:rPr>
    </w:lvl>
    <w:lvl w:ilvl="1" w:tplc="B5589DDC">
      <w:start w:val="1"/>
      <w:numFmt w:val="bullet"/>
      <w:lvlText w:val="-"/>
      <w:lvlJc w:val="left"/>
      <w:pPr>
        <w:ind w:left="1440" w:hanging="360"/>
      </w:pPr>
      <w:rPr>
        <w:rFonts w:ascii="Arial Narrow" w:hAnsi="Arial Narro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3ECA1004"/>
    <w:multiLevelType w:val="hybridMultilevel"/>
    <w:tmpl w:val="01845B8A"/>
    <w:lvl w:ilvl="0" w:tplc="2EBA0A80">
      <w:start w:val="1"/>
      <w:numFmt w:val="bullet"/>
      <w:lvlText w:val=""/>
      <w:lvlJc w:val="left"/>
      <w:pPr>
        <w:ind w:left="720" w:hanging="360"/>
      </w:pPr>
      <w:rPr>
        <w:rFonts w:ascii="Symbol" w:hAnsi="Symbol" w:hint="default"/>
        <w:i/>
        <w:sz w:val="22"/>
        <w:szCs w:val="22"/>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43B54677"/>
    <w:multiLevelType w:val="hybridMultilevel"/>
    <w:tmpl w:val="F3AC985E"/>
    <w:lvl w:ilvl="0" w:tplc="2206BAEC">
      <w:start w:val="1"/>
      <w:numFmt w:val="bullet"/>
      <w:lvlText w:val=""/>
      <w:lvlJc w:val="left"/>
      <w:pPr>
        <w:ind w:left="1429" w:hanging="360"/>
      </w:pPr>
      <w:rPr>
        <w:rFonts w:ascii="Symbol" w:hAnsi="Symbol" w:hint="default"/>
        <w:i/>
        <w:sz w:val="20"/>
      </w:rPr>
    </w:lvl>
    <w:lvl w:ilvl="1" w:tplc="0C090003">
      <w:start w:val="1"/>
      <w:numFmt w:val="bullet"/>
      <w:lvlText w:val="o"/>
      <w:lvlJc w:val="left"/>
      <w:pPr>
        <w:ind w:left="2149" w:hanging="360"/>
      </w:pPr>
      <w:rPr>
        <w:rFonts w:ascii="Courier New" w:hAnsi="Courier New" w:hint="default"/>
      </w:rPr>
    </w:lvl>
    <w:lvl w:ilvl="2" w:tplc="0C090005">
      <w:start w:val="1"/>
      <w:numFmt w:val="bullet"/>
      <w:lvlText w:val=""/>
      <w:lvlJc w:val="left"/>
      <w:pPr>
        <w:ind w:left="2869" w:hanging="360"/>
      </w:pPr>
      <w:rPr>
        <w:rFonts w:ascii="Wingdings" w:hAnsi="Wingdings" w:hint="default"/>
      </w:rPr>
    </w:lvl>
    <w:lvl w:ilvl="3" w:tplc="0C090001">
      <w:start w:val="1"/>
      <w:numFmt w:val="bullet"/>
      <w:lvlText w:val=""/>
      <w:lvlJc w:val="left"/>
      <w:pPr>
        <w:ind w:left="3589" w:hanging="360"/>
      </w:pPr>
      <w:rPr>
        <w:rFonts w:ascii="Symbol" w:hAnsi="Symbol" w:hint="default"/>
      </w:rPr>
    </w:lvl>
    <w:lvl w:ilvl="4" w:tplc="0C090003">
      <w:start w:val="1"/>
      <w:numFmt w:val="bullet"/>
      <w:lvlText w:val="o"/>
      <w:lvlJc w:val="left"/>
      <w:pPr>
        <w:ind w:left="4309" w:hanging="360"/>
      </w:pPr>
      <w:rPr>
        <w:rFonts w:ascii="Courier New" w:hAnsi="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1">
    <w:nsid w:val="44AD5FE9"/>
    <w:multiLevelType w:val="hybridMultilevel"/>
    <w:tmpl w:val="EDAC8852"/>
    <w:lvl w:ilvl="0" w:tplc="1BDAD4E2">
      <w:start w:val="1"/>
      <w:numFmt w:val="bullet"/>
      <w:lvlText w:val=""/>
      <w:lvlJc w:val="left"/>
      <w:pPr>
        <w:ind w:left="1086" w:hanging="360"/>
      </w:pPr>
      <w:rPr>
        <w:rFonts w:ascii="Symbol" w:hAnsi="Symbol" w:hint="default"/>
        <w:i/>
        <w:sz w:val="20"/>
      </w:rPr>
    </w:lvl>
    <w:lvl w:ilvl="1" w:tplc="0C090019" w:tentative="1">
      <w:start w:val="1"/>
      <w:numFmt w:val="lowerLetter"/>
      <w:lvlText w:val="%2."/>
      <w:lvlJc w:val="left"/>
      <w:pPr>
        <w:ind w:left="1806" w:hanging="360"/>
      </w:pPr>
      <w:rPr>
        <w:rFonts w:cs="Times New Roman"/>
      </w:rPr>
    </w:lvl>
    <w:lvl w:ilvl="2" w:tplc="0C09001B" w:tentative="1">
      <w:start w:val="1"/>
      <w:numFmt w:val="lowerRoman"/>
      <w:lvlText w:val="%3."/>
      <w:lvlJc w:val="right"/>
      <w:pPr>
        <w:ind w:left="2526" w:hanging="180"/>
      </w:pPr>
      <w:rPr>
        <w:rFonts w:cs="Times New Roman"/>
      </w:rPr>
    </w:lvl>
    <w:lvl w:ilvl="3" w:tplc="0C09000F" w:tentative="1">
      <w:start w:val="1"/>
      <w:numFmt w:val="decimal"/>
      <w:lvlText w:val="%4."/>
      <w:lvlJc w:val="left"/>
      <w:pPr>
        <w:ind w:left="3246" w:hanging="360"/>
      </w:pPr>
      <w:rPr>
        <w:rFonts w:cs="Times New Roman"/>
      </w:rPr>
    </w:lvl>
    <w:lvl w:ilvl="4" w:tplc="0C090019" w:tentative="1">
      <w:start w:val="1"/>
      <w:numFmt w:val="lowerLetter"/>
      <w:lvlText w:val="%5."/>
      <w:lvlJc w:val="left"/>
      <w:pPr>
        <w:ind w:left="3966" w:hanging="360"/>
      </w:pPr>
      <w:rPr>
        <w:rFonts w:cs="Times New Roman"/>
      </w:rPr>
    </w:lvl>
    <w:lvl w:ilvl="5" w:tplc="0C09001B" w:tentative="1">
      <w:start w:val="1"/>
      <w:numFmt w:val="lowerRoman"/>
      <w:lvlText w:val="%6."/>
      <w:lvlJc w:val="right"/>
      <w:pPr>
        <w:ind w:left="4686" w:hanging="180"/>
      </w:pPr>
      <w:rPr>
        <w:rFonts w:cs="Times New Roman"/>
      </w:rPr>
    </w:lvl>
    <w:lvl w:ilvl="6" w:tplc="0C09000F" w:tentative="1">
      <w:start w:val="1"/>
      <w:numFmt w:val="decimal"/>
      <w:lvlText w:val="%7."/>
      <w:lvlJc w:val="left"/>
      <w:pPr>
        <w:ind w:left="5406" w:hanging="360"/>
      </w:pPr>
      <w:rPr>
        <w:rFonts w:cs="Times New Roman"/>
      </w:rPr>
    </w:lvl>
    <w:lvl w:ilvl="7" w:tplc="0C090019" w:tentative="1">
      <w:start w:val="1"/>
      <w:numFmt w:val="lowerLetter"/>
      <w:lvlText w:val="%8."/>
      <w:lvlJc w:val="left"/>
      <w:pPr>
        <w:ind w:left="6126" w:hanging="360"/>
      </w:pPr>
      <w:rPr>
        <w:rFonts w:cs="Times New Roman"/>
      </w:rPr>
    </w:lvl>
    <w:lvl w:ilvl="8" w:tplc="0C09001B" w:tentative="1">
      <w:start w:val="1"/>
      <w:numFmt w:val="lowerRoman"/>
      <w:lvlText w:val="%9."/>
      <w:lvlJc w:val="right"/>
      <w:pPr>
        <w:ind w:left="6846" w:hanging="180"/>
      </w:pPr>
      <w:rPr>
        <w:rFonts w:cs="Times New Roman"/>
      </w:rPr>
    </w:lvl>
  </w:abstractNum>
  <w:abstractNum w:abstractNumId="42">
    <w:nsid w:val="4502309C"/>
    <w:multiLevelType w:val="hybridMultilevel"/>
    <w:tmpl w:val="039611EA"/>
    <w:lvl w:ilvl="0" w:tplc="2206BAEC">
      <w:start w:val="1"/>
      <w:numFmt w:val="bullet"/>
      <w:lvlText w:val=""/>
      <w:lvlJc w:val="left"/>
      <w:pPr>
        <w:ind w:left="720" w:hanging="360"/>
      </w:pPr>
      <w:rPr>
        <w:rFonts w:ascii="Symbol" w:hAnsi="Symbol" w:hint="default"/>
        <w:i/>
        <w:sz w:val="20"/>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496C7127"/>
    <w:multiLevelType w:val="hybridMultilevel"/>
    <w:tmpl w:val="4B00CFB4"/>
    <w:lvl w:ilvl="0" w:tplc="B5589DDC">
      <w:start w:val="1"/>
      <w:numFmt w:val="bullet"/>
      <w:lvlText w:val="-"/>
      <w:lvlJc w:val="left"/>
      <w:pPr>
        <w:ind w:left="817" w:hanging="360"/>
      </w:pPr>
      <w:rPr>
        <w:rFonts w:ascii="Arial Narrow" w:hAnsi="Arial Narrow" w:hint="default"/>
      </w:rPr>
    </w:lvl>
    <w:lvl w:ilvl="1" w:tplc="0C090003" w:tentative="1">
      <w:start w:val="1"/>
      <w:numFmt w:val="bullet"/>
      <w:lvlText w:val="o"/>
      <w:lvlJc w:val="left"/>
      <w:pPr>
        <w:ind w:left="1537" w:hanging="360"/>
      </w:pPr>
      <w:rPr>
        <w:rFonts w:ascii="Courier New" w:hAnsi="Courier New" w:hint="default"/>
      </w:rPr>
    </w:lvl>
    <w:lvl w:ilvl="2" w:tplc="0C090005" w:tentative="1">
      <w:start w:val="1"/>
      <w:numFmt w:val="bullet"/>
      <w:lvlText w:val=""/>
      <w:lvlJc w:val="left"/>
      <w:pPr>
        <w:ind w:left="2257" w:hanging="360"/>
      </w:pPr>
      <w:rPr>
        <w:rFonts w:ascii="Wingdings" w:hAnsi="Wingdings" w:hint="default"/>
      </w:rPr>
    </w:lvl>
    <w:lvl w:ilvl="3" w:tplc="0C090001" w:tentative="1">
      <w:start w:val="1"/>
      <w:numFmt w:val="bullet"/>
      <w:lvlText w:val=""/>
      <w:lvlJc w:val="left"/>
      <w:pPr>
        <w:ind w:left="2977" w:hanging="360"/>
      </w:pPr>
      <w:rPr>
        <w:rFonts w:ascii="Symbol" w:hAnsi="Symbol" w:hint="default"/>
      </w:rPr>
    </w:lvl>
    <w:lvl w:ilvl="4" w:tplc="0C090003" w:tentative="1">
      <w:start w:val="1"/>
      <w:numFmt w:val="bullet"/>
      <w:lvlText w:val="o"/>
      <w:lvlJc w:val="left"/>
      <w:pPr>
        <w:ind w:left="3697" w:hanging="360"/>
      </w:pPr>
      <w:rPr>
        <w:rFonts w:ascii="Courier New" w:hAnsi="Courier New" w:hint="default"/>
      </w:rPr>
    </w:lvl>
    <w:lvl w:ilvl="5" w:tplc="0C090005" w:tentative="1">
      <w:start w:val="1"/>
      <w:numFmt w:val="bullet"/>
      <w:lvlText w:val=""/>
      <w:lvlJc w:val="left"/>
      <w:pPr>
        <w:ind w:left="4417" w:hanging="360"/>
      </w:pPr>
      <w:rPr>
        <w:rFonts w:ascii="Wingdings" w:hAnsi="Wingdings" w:hint="default"/>
      </w:rPr>
    </w:lvl>
    <w:lvl w:ilvl="6" w:tplc="0C090001" w:tentative="1">
      <w:start w:val="1"/>
      <w:numFmt w:val="bullet"/>
      <w:lvlText w:val=""/>
      <w:lvlJc w:val="left"/>
      <w:pPr>
        <w:ind w:left="5137" w:hanging="360"/>
      </w:pPr>
      <w:rPr>
        <w:rFonts w:ascii="Symbol" w:hAnsi="Symbol" w:hint="default"/>
      </w:rPr>
    </w:lvl>
    <w:lvl w:ilvl="7" w:tplc="0C090003" w:tentative="1">
      <w:start w:val="1"/>
      <w:numFmt w:val="bullet"/>
      <w:lvlText w:val="o"/>
      <w:lvlJc w:val="left"/>
      <w:pPr>
        <w:ind w:left="5857" w:hanging="360"/>
      </w:pPr>
      <w:rPr>
        <w:rFonts w:ascii="Courier New" w:hAnsi="Courier New" w:hint="default"/>
      </w:rPr>
    </w:lvl>
    <w:lvl w:ilvl="8" w:tplc="0C090005" w:tentative="1">
      <w:start w:val="1"/>
      <w:numFmt w:val="bullet"/>
      <w:lvlText w:val=""/>
      <w:lvlJc w:val="left"/>
      <w:pPr>
        <w:ind w:left="6577" w:hanging="360"/>
      </w:pPr>
      <w:rPr>
        <w:rFonts w:ascii="Wingdings" w:hAnsi="Wingdings" w:hint="default"/>
      </w:rPr>
    </w:lvl>
  </w:abstractNum>
  <w:abstractNum w:abstractNumId="44">
    <w:nsid w:val="49EB6E96"/>
    <w:multiLevelType w:val="hybridMultilevel"/>
    <w:tmpl w:val="99861B56"/>
    <w:lvl w:ilvl="0" w:tplc="18A84CDA">
      <w:start w:val="1"/>
      <w:numFmt w:val="bullet"/>
      <w:lvlText w:val=""/>
      <w:lvlJc w:val="left"/>
      <w:pPr>
        <w:ind w:left="720" w:hanging="360"/>
      </w:pPr>
      <w:rPr>
        <w:rFonts w:ascii="Symbol" w:hAnsi="Symbol" w:hint="default"/>
        <w:i/>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4CD30DD5"/>
    <w:multiLevelType w:val="hybridMultilevel"/>
    <w:tmpl w:val="D80A748E"/>
    <w:lvl w:ilvl="0" w:tplc="08C2601E">
      <w:start w:val="1"/>
      <w:numFmt w:val="decimal"/>
      <w:lvlText w:val="2.%1"/>
      <w:lvlJc w:val="left"/>
      <w:pPr>
        <w:ind w:left="720" w:hanging="360"/>
      </w:pPr>
      <w:rPr>
        <w:rFonts w:cs="Times New Roman" w:hint="default"/>
        <w:b/>
        <w:sz w:val="25"/>
        <w:szCs w:val="25"/>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6">
    <w:nsid w:val="51196188"/>
    <w:multiLevelType w:val="hybridMultilevel"/>
    <w:tmpl w:val="D6FC1480"/>
    <w:lvl w:ilvl="0" w:tplc="18A84CDA">
      <w:start w:val="1"/>
      <w:numFmt w:val="bullet"/>
      <w:lvlText w:val=""/>
      <w:lvlJc w:val="left"/>
      <w:pPr>
        <w:ind w:left="720" w:hanging="360"/>
      </w:pPr>
      <w:rPr>
        <w:rFonts w:ascii="Symbol" w:hAnsi="Symbol" w:hint="default"/>
        <w:i/>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53693BBA"/>
    <w:multiLevelType w:val="hybridMultilevel"/>
    <w:tmpl w:val="8CD8A7E0"/>
    <w:lvl w:ilvl="0" w:tplc="B53A0B2A">
      <w:start w:val="1"/>
      <w:numFmt w:val="decimal"/>
      <w:lvlText w:val="%1)"/>
      <w:lvlJc w:val="left"/>
      <w:pPr>
        <w:ind w:left="720" w:hanging="360"/>
      </w:pPr>
      <w:rPr>
        <w:rFonts w:ascii="Arial Narrow" w:eastAsia="Times New Roman" w:hAnsi="Arial Narrow"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8">
    <w:nsid w:val="564E3F5D"/>
    <w:multiLevelType w:val="multilevel"/>
    <w:tmpl w:val="0AF6F842"/>
    <w:styleLink w:val="WWNum2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9">
    <w:nsid w:val="56DE3EC0"/>
    <w:multiLevelType w:val="hybridMultilevel"/>
    <w:tmpl w:val="0F3CEA7A"/>
    <w:lvl w:ilvl="0" w:tplc="FC527C5E">
      <w:start w:val="1"/>
      <w:numFmt w:val="decimal"/>
      <w:lvlText w:val="%1.0"/>
      <w:lvlJc w:val="left"/>
      <w:pPr>
        <w:ind w:left="720" w:hanging="360"/>
      </w:pPr>
      <w:rPr>
        <w:rFonts w:cs="Times New Roman" w:hint="default"/>
        <w:b/>
        <w:sz w:val="25"/>
        <w:szCs w:val="25"/>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0">
    <w:nsid w:val="599D3116"/>
    <w:multiLevelType w:val="hybridMultilevel"/>
    <w:tmpl w:val="898E91D0"/>
    <w:lvl w:ilvl="0" w:tplc="FC525DF4">
      <w:start w:val="1"/>
      <w:numFmt w:val="bullet"/>
      <w:pStyle w:val="BulletPoints"/>
      <w:lvlText w:val=""/>
      <w:lvlJc w:val="left"/>
      <w:pPr>
        <w:tabs>
          <w:tab w:val="num" w:pos="720"/>
        </w:tabs>
        <w:ind w:left="720" w:hanging="720"/>
      </w:pPr>
      <w:rPr>
        <w:rFonts w:ascii="Symbol" w:hAnsi="Symbol" w:hint="default"/>
        <w:b w:val="0"/>
        <w:i w:val="0"/>
        <w:sz w:val="16"/>
      </w:rPr>
    </w:lvl>
    <w:lvl w:ilvl="1" w:tplc="04090003">
      <w:start w:val="1"/>
      <w:numFmt w:val="bullet"/>
      <w:lvlText w:val="o"/>
      <w:lvlJc w:val="left"/>
      <w:pPr>
        <w:tabs>
          <w:tab w:val="num" w:pos="5040"/>
        </w:tabs>
        <w:ind w:left="5040" w:hanging="360"/>
      </w:pPr>
      <w:rPr>
        <w:rFonts w:ascii="Courier New" w:hAnsi="Courier New" w:hint="default"/>
      </w:rPr>
    </w:lvl>
    <w:lvl w:ilvl="2" w:tplc="04090005">
      <w:start w:val="1"/>
      <w:numFmt w:val="bullet"/>
      <w:lvlText w:val=""/>
      <w:lvlJc w:val="left"/>
      <w:pPr>
        <w:tabs>
          <w:tab w:val="num" w:pos="5760"/>
        </w:tabs>
        <w:ind w:left="5760" w:hanging="360"/>
      </w:pPr>
      <w:rPr>
        <w:rFonts w:ascii="Wingdings" w:hAnsi="Wingdings" w:hint="default"/>
      </w:rPr>
    </w:lvl>
    <w:lvl w:ilvl="3" w:tplc="04090001">
      <w:start w:val="1"/>
      <w:numFmt w:val="bullet"/>
      <w:lvlText w:val=""/>
      <w:lvlJc w:val="left"/>
      <w:pPr>
        <w:tabs>
          <w:tab w:val="num" w:pos="6480"/>
        </w:tabs>
        <w:ind w:left="6480" w:hanging="360"/>
      </w:pPr>
      <w:rPr>
        <w:rFonts w:ascii="Symbol" w:hAnsi="Symbol" w:hint="default"/>
      </w:rPr>
    </w:lvl>
    <w:lvl w:ilvl="4" w:tplc="04090003">
      <w:start w:val="1"/>
      <w:numFmt w:val="bullet"/>
      <w:lvlText w:val="o"/>
      <w:lvlJc w:val="left"/>
      <w:pPr>
        <w:tabs>
          <w:tab w:val="num" w:pos="7200"/>
        </w:tabs>
        <w:ind w:left="7200" w:hanging="360"/>
      </w:pPr>
      <w:rPr>
        <w:rFonts w:ascii="Courier New" w:hAnsi="Courier New" w:hint="default"/>
      </w:rPr>
    </w:lvl>
    <w:lvl w:ilvl="5" w:tplc="04090005">
      <w:start w:val="1"/>
      <w:numFmt w:val="bullet"/>
      <w:lvlText w:val=""/>
      <w:lvlJc w:val="left"/>
      <w:pPr>
        <w:tabs>
          <w:tab w:val="num" w:pos="7920"/>
        </w:tabs>
        <w:ind w:left="7920" w:hanging="360"/>
      </w:pPr>
      <w:rPr>
        <w:rFonts w:ascii="Wingdings" w:hAnsi="Wingdings" w:hint="default"/>
      </w:rPr>
    </w:lvl>
    <w:lvl w:ilvl="6" w:tplc="04090001">
      <w:start w:val="1"/>
      <w:numFmt w:val="bullet"/>
      <w:lvlText w:val=""/>
      <w:lvlJc w:val="left"/>
      <w:pPr>
        <w:tabs>
          <w:tab w:val="num" w:pos="8640"/>
        </w:tabs>
        <w:ind w:left="8640" w:hanging="360"/>
      </w:pPr>
      <w:rPr>
        <w:rFonts w:ascii="Symbol" w:hAnsi="Symbol" w:hint="default"/>
      </w:rPr>
    </w:lvl>
    <w:lvl w:ilvl="7" w:tplc="04090003">
      <w:start w:val="1"/>
      <w:numFmt w:val="bullet"/>
      <w:lvlText w:val="o"/>
      <w:lvlJc w:val="left"/>
      <w:pPr>
        <w:tabs>
          <w:tab w:val="num" w:pos="9360"/>
        </w:tabs>
        <w:ind w:left="9360" w:hanging="360"/>
      </w:pPr>
      <w:rPr>
        <w:rFonts w:ascii="Courier New" w:hAnsi="Courier New" w:hint="default"/>
      </w:rPr>
    </w:lvl>
    <w:lvl w:ilvl="8" w:tplc="04090005">
      <w:start w:val="1"/>
      <w:numFmt w:val="bullet"/>
      <w:lvlText w:val=""/>
      <w:lvlJc w:val="left"/>
      <w:pPr>
        <w:tabs>
          <w:tab w:val="num" w:pos="10080"/>
        </w:tabs>
        <w:ind w:left="10080" w:hanging="360"/>
      </w:pPr>
      <w:rPr>
        <w:rFonts w:ascii="Wingdings" w:hAnsi="Wingdings" w:hint="default"/>
      </w:rPr>
    </w:lvl>
  </w:abstractNum>
  <w:abstractNum w:abstractNumId="51">
    <w:nsid w:val="5ABC2171"/>
    <w:multiLevelType w:val="hybridMultilevel"/>
    <w:tmpl w:val="26446158"/>
    <w:lvl w:ilvl="0" w:tplc="43E05262">
      <w:start w:val="1"/>
      <w:numFmt w:val="bullet"/>
      <w:lvlText w:val="-"/>
      <w:lvlJc w:val="left"/>
      <w:pPr>
        <w:ind w:left="1074" w:hanging="360"/>
      </w:pPr>
      <w:rPr>
        <w:rFonts w:ascii="Arial Narrow" w:hAnsi="Arial Narrow"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52">
    <w:nsid w:val="5D275A21"/>
    <w:multiLevelType w:val="hybridMultilevel"/>
    <w:tmpl w:val="74823A5A"/>
    <w:lvl w:ilvl="0" w:tplc="88B4CE28">
      <w:start w:val="1"/>
      <w:numFmt w:val="decimal"/>
      <w:lvlText w:val="2.2.%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5D88619E"/>
    <w:multiLevelType w:val="hybridMultilevel"/>
    <w:tmpl w:val="7BB664BE"/>
    <w:lvl w:ilvl="0" w:tplc="18A84CDA">
      <w:start w:val="1"/>
      <w:numFmt w:val="bullet"/>
      <w:lvlText w:val=""/>
      <w:lvlJc w:val="left"/>
      <w:pPr>
        <w:ind w:left="720" w:hanging="360"/>
      </w:pPr>
      <w:rPr>
        <w:rFonts w:ascii="Symbol" w:hAnsi="Symbol" w:hint="default"/>
        <w:i/>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630C7DAE"/>
    <w:multiLevelType w:val="hybridMultilevel"/>
    <w:tmpl w:val="85C2EAB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5">
    <w:nsid w:val="63213D9A"/>
    <w:multiLevelType w:val="hybridMultilevel"/>
    <w:tmpl w:val="14BE001C"/>
    <w:lvl w:ilvl="0" w:tplc="A9C47016">
      <w:start w:val="1"/>
      <w:numFmt w:val="decimal"/>
      <w:lvlText w:val="2.1.%1"/>
      <w:lvlJc w:val="left"/>
      <w:pPr>
        <w:ind w:left="720" w:hanging="360"/>
      </w:pPr>
      <w:rPr>
        <w:rFonts w:hint="default"/>
        <w:lang w:val="en-AU"/>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650F3E1C"/>
    <w:multiLevelType w:val="multilevel"/>
    <w:tmpl w:val="83C8F8D2"/>
    <w:lvl w:ilvl="0">
      <w:start w:val="6"/>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720" w:hanging="360"/>
      </w:pPr>
      <w:rPr>
        <w:rFonts w:cs="Times New Roman" w:hint="default"/>
      </w:rPr>
    </w:lvl>
    <w:lvl w:ilvl="2">
      <w:start w:val="1"/>
      <w:numFmt w:val="decimal"/>
      <w:lvlText w:val="4.4.%3"/>
      <w:lvlJc w:val="left"/>
      <w:pPr>
        <w:tabs>
          <w:tab w:val="num" w:pos="0"/>
        </w:tabs>
        <w:ind w:left="1440" w:hanging="720"/>
      </w:pPr>
      <w:rPr>
        <w:rFonts w:cs="Times New Roman" w:hint="default"/>
        <w:color w:val="auto"/>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57">
    <w:nsid w:val="656105A1"/>
    <w:multiLevelType w:val="hybridMultilevel"/>
    <w:tmpl w:val="5276DD7A"/>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8">
    <w:nsid w:val="69DF677F"/>
    <w:multiLevelType w:val="hybridMultilevel"/>
    <w:tmpl w:val="260E3368"/>
    <w:lvl w:ilvl="0" w:tplc="239A29A0">
      <w:start w:val="1"/>
      <w:numFmt w:val="lowerLetter"/>
      <w:lvlText w:val="%1."/>
      <w:lvlJc w:val="left"/>
      <w:pPr>
        <w:ind w:left="1086" w:hanging="360"/>
      </w:pPr>
      <w:rPr>
        <w:rFonts w:cs="Times New Roman" w:hint="default"/>
        <w:sz w:val="22"/>
      </w:rPr>
    </w:lvl>
    <w:lvl w:ilvl="1" w:tplc="0C090019" w:tentative="1">
      <w:start w:val="1"/>
      <w:numFmt w:val="lowerLetter"/>
      <w:lvlText w:val="%2."/>
      <w:lvlJc w:val="left"/>
      <w:pPr>
        <w:ind w:left="1806" w:hanging="360"/>
      </w:pPr>
      <w:rPr>
        <w:rFonts w:cs="Times New Roman"/>
      </w:rPr>
    </w:lvl>
    <w:lvl w:ilvl="2" w:tplc="0C09001B" w:tentative="1">
      <w:start w:val="1"/>
      <w:numFmt w:val="lowerRoman"/>
      <w:lvlText w:val="%3."/>
      <w:lvlJc w:val="right"/>
      <w:pPr>
        <w:ind w:left="2526" w:hanging="180"/>
      </w:pPr>
      <w:rPr>
        <w:rFonts w:cs="Times New Roman"/>
      </w:rPr>
    </w:lvl>
    <w:lvl w:ilvl="3" w:tplc="0C09000F" w:tentative="1">
      <w:start w:val="1"/>
      <w:numFmt w:val="decimal"/>
      <w:lvlText w:val="%4."/>
      <w:lvlJc w:val="left"/>
      <w:pPr>
        <w:ind w:left="3246" w:hanging="360"/>
      </w:pPr>
      <w:rPr>
        <w:rFonts w:cs="Times New Roman"/>
      </w:rPr>
    </w:lvl>
    <w:lvl w:ilvl="4" w:tplc="0C090019" w:tentative="1">
      <w:start w:val="1"/>
      <w:numFmt w:val="lowerLetter"/>
      <w:lvlText w:val="%5."/>
      <w:lvlJc w:val="left"/>
      <w:pPr>
        <w:ind w:left="3966" w:hanging="360"/>
      </w:pPr>
      <w:rPr>
        <w:rFonts w:cs="Times New Roman"/>
      </w:rPr>
    </w:lvl>
    <w:lvl w:ilvl="5" w:tplc="0C09001B" w:tentative="1">
      <w:start w:val="1"/>
      <w:numFmt w:val="lowerRoman"/>
      <w:lvlText w:val="%6."/>
      <w:lvlJc w:val="right"/>
      <w:pPr>
        <w:ind w:left="4686" w:hanging="180"/>
      </w:pPr>
      <w:rPr>
        <w:rFonts w:cs="Times New Roman"/>
      </w:rPr>
    </w:lvl>
    <w:lvl w:ilvl="6" w:tplc="0C09000F" w:tentative="1">
      <w:start w:val="1"/>
      <w:numFmt w:val="decimal"/>
      <w:lvlText w:val="%7."/>
      <w:lvlJc w:val="left"/>
      <w:pPr>
        <w:ind w:left="5406" w:hanging="360"/>
      </w:pPr>
      <w:rPr>
        <w:rFonts w:cs="Times New Roman"/>
      </w:rPr>
    </w:lvl>
    <w:lvl w:ilvl="7" w:tplc="0C090019" w:tentative="1">
      <w:start w:val="1"/>
      <w:numFmt w:val="lowerLetter"/>
      <w:lvlText w:val="%8."/>
      <w:lvlJc w:val="left"/>
      <w:pPr>
        <w:ind w:left="6126" w:hanging="360"/>
      </w:pPr>
      <w:rPr>
        <w:rFonts w:cs="Times New Roman"/>
      </w:rPr>
    </w:lvl>
    <w:lvl w:ilvl="8" w:tplc="0C09001B" w:tentative="1">
      <w:start w:val="1"/>
      <w:numFmt w:val="lowerRoman"/>
      <w:lvlText w:val="%9."/>
      <w:lvlJc w:val="right"/>
      <w:pPr>
        <w:ind w:left="6846" w:hanging="180"/>
      </w:pPr>
      <w:rPr>
        <w:rFonts w:cs="Times New Roman"/>
      </w:rPr>
    </w:lvl>
  </w:abstractNum>
  <w:abstractNum w:abstractNumId="59">
    <w:nsid w:val="6A4F25C2"/>
    <w:multiLevelType w:val="hybridMultilevel"/>
    <w:tmpl w:val="20DC22D2"/>
    <w:lvl w:ilvl="0" w:tplc="18A84CDA">
      <w:start w:val="1"/>
      <w:numFmt w:val="bullet"/>
      <w:lvlText w:val=""/>
      <w:lvlJc w:val="left"/>
      <w:pPr>
        <w:ind w:left="1074" w:hanging="360"/>
      </w:pPr>
      <w:rPr>
        <w:rFonts w:ascii="Symbol" w:hAnsi="Symbol" w:hint="default"/>
        <w:i/>
        <w:sz w:val="22"/>
      </w:rPr>
    </w:lvl>
    <w:lvl w:ilvl="1" w:tplc="0C090003">
      <w:start w:val="1"/>
      <w:numFmt w:val="bullet"/>
      <w:lvlText w:val="o"/>
      <w:lvlJc w:val="left"/>
      <w:pPr>
        <w:ind w:left="2154" w:hanging="360"/>
      </w:pPr>
      <w:rPr>
        <w:rFonts w:ascii="Courier New" w:hAnsi="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60">
    <w:nsid w:val="6BA56F9D"/>
    <w:multiLevelType w:val="hybridMultilevel"/>
    <w:tmpl w:val="52560BE6"/>
    <w:lvl w:ilvl="0" w:tplc="B07279FC">
      <w:start w:val="1"/>
      <w:numFmt w:val="bullet"/>
      <w:lvlText w:val=""/>
      <w:lvlJc w:val="left"/>
      <w:pPr>
        <w:ind w:left="720" w:hanging="360"/>
      </w:pPr>
      <w:rPr>
        <w:rFonts w:ascii="Symbol" w:hAnsi="Symbol" w:hint="default"/>
        <w:i/>
        <w:sz w:val="21"/>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6F0F5AFE"/>
    <w:multiLevelType w:val="hybridMultilevel"/>
    <w:tmpl w:val="073491B8"/>
    <w:lvl w:ilvl="0" w:tplc="42AE6E7A">
      <w:start w:val="1"/>
      <w:numFmt w:val="bullet"/>
      <w:lvlText w:val="­"/>
      <w:lvlJc w:val="left"/>
      <w:pPr>
        <w:ind w:left="1794" w:hanging="360"/>
      </w:pPr>
      <w:rPr>
        <w:rFonts w:ascii="Arial Narrow" w:hAnsi="Arial Narrow" w:hint="default"/>
        <w:i/>
        <w:sz w:val="22"/>
      </w:rPr>
    </w:lvl>
    <w:lvl w:ilvl="1" w:tplc="E4983870">
      <w:start w:val="1"/>
      <w:numFmt w:val="lowerLetter"/>
      <w:lvlText w:val="%2."/>
      <w:lvlJc w:val="left"/>
      <w:pPr>
        <w:ind w:left="2514" w:hanging="360"/>
      </w:pPr>
      <w:rPr>
        <w:rFonts w:hint="default"/>
        <w:b w:val="0"/>
        <w:i w:val="0"/>
      </w:rPr>
    </w:lvl>
    <w:lvl w:ilvl="2" w:tplc="0C090005" w:tentative="1">
      <w:start w:val="1"/>
      <w:numFmt w:val="bullet"/>
      <w:lvlText w:val=""/>
      <w:lvlJc w:val="left"/>
      <w:pPr>
        <w:ind w:left="3234" w:hanging="360"/>
      </w:pPr>
      <w:rPr>
        <w:rFonts w:ascii="Wingdings" w:hAnsi="Wingdings" w:hint="default"/>
      </w:rPr>
    </w:lvl>
    <w:lvl w:ilvl="3" w:tplc="0C090001" w:tentative="1">
      <w:start w:val="1"/>
      <w:numFmt w:val="bullet"/>
      <w:lvlText w:val=""/>
      <w:lvlJc w:val="left"/>
      <w:pPr>
        <w:ind w:left="3954" w:hanging="360"/>
      </w:pPr>
      <w:rPr>
        <w:rFonts w:ascii="Symbol" w:hAnsi="Symbol" w:hint="default"/>
      </w:rPr>
    </w:lvl>
    <w:lvl w:ilvl="4" w:tplc="0C090003" w:tentative="1">
      <w:start w:val="1"/>
      <w:numFmt w:val="bullet"/>
      <w:lvlText w:val="o"/>
      <w:lvlJc w:val="left"/>
      <w:pPr>
        <w:ind w:left="4674" w:hanging="360"/>
      </w:pPr>
      <w:rPr>
        <w:rFonts w:ascii="Courier New" w:hAnsi="Courier New" w:cs="Courier New" w:hint="default"/>
      </w:rPr>
    </w:lvl>
    <w:lvl w:ilvl="5" w:tplc="0C090005" w:tentative="1">
      <w:start w:val="1"/>
      <w:numFmt w:val="bullet"/>
      <w:lvlText w:val=""/>
      <w:lvlJc w:val="left"/>
      <w:pPr>
        <w:ind w:left="5394" w:hanging="360"/>
      </w:pPr>
      <w:rPr>
        <w:rFonts w:ascii="Wingdings" w:hAnsi="Wingdings" w:hint="default"/>
      </w:rPr>
    </w:lvl>
    <w:lvl w:ilvl="6" w:tplc="0C090001" w:tentative="1">
      <w:start w:val="1"/>
      <w:numFmt w:val="bullet"/>
      <w:lvlText w:val=""/>
      <w:lvlJc w:val="left"/>
      <w:pPr>
        <w:ind w:left="6114" w:hanging="360"/>
      </w:pPr>
      <w:rPr>
        <w:rFonts w:ascii="Symbol" w:hAnsi="Symbol" w:hint="default"/>
      </w:rPr>
    </w:lvl>
    <w:lvl w:ilvl="7" w:tplc="0C090003" w:tentative="1">
      <w:start w:val="1"/>
      <w:numFmt w:val="bullet"/>
      <w:lvlText w:val="o"/>
      <w:lvlJc w:val="left"/>
      <w:pPr>
        <w:ind w:left="6834" w:hanging="360"/>
      </w:pPr>
      <w:rPr>
        <w:rFonts w:ascii="Courier New" w:hAnsi="Courier New" w:cs="Courier New" w:hint="default"/>
      </w:rPr>
    </w:lvl>
    <w:lvl w:ilvl="8" w:tplc="0C090005" w:tentative="1">
      <w:start w:val="1"/>
      <w:numFmt w:val="bullet"/>
      <w:lvlText w:val=""/>
      <w:lvlJc w:val="left"/>
      <w:pPr>
        <w:ind w:left="7554" w:hanging="360"/>
      </w:pPr>
      <w:rPr>
        <w:rFonts w:ascii="Wingdings" w:hAnsi="Wingdings" w:hint="default"/>
      </w:rPr>
    </w:lvl>
  </w:abstractNum>
  <w:abstractNum w:abstractNumId="62">
    <w:nsid w:val="76707E68"/>
    <w:multiLevelType w:val="hybridMultilevel"/>
    <w:tmpl w:val="7020F47E"/>
    <w:lvl w:ilvl="0" w:tplc="18A84CDA">
      <w:start w:val="1"/>
      <w:numFmt w:val="bullet"/>
      <w:lvlText w:val=""/>
      <w:lvlJc w:val="left"/>
      <w:pPr>
        <w:ind w:left="720" w:hanging="360"/>
      </w:pPr>
      <w:rPr>
        <w:rFonts w:ascii="Symbol" w:hAnsi="Symbol" w:hint="default"/>
        <w:i/>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78F066FD"/>
    <w:multiLevelType w:val="hybridMultilevel"/>
    <w:tmpl w:val="8EA25C12"/>
    <w:lvl w:ilvl="0" w:tplc="B53A0B2A">
      <w:start w:val="1"/>
      <w:numFmt w:val="decimal"/>
      <w:lvlText w:val="%1)"/>
      <w:lvlJc w:val="left"/>
      <w:pPr>
        <w:ind w:left="720" w:hanging="360"/>
      </w:pPr>
      <w:rPr>
        <w:rFonts w:ascii="Arial Narrow" w:eastAsia="Times New Roman" w:hAnsi="Arial Narrow"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4">
    <w:nsid w:val="7B5950F9"/>
    <w:multiLevelType w:val="hybridMultilevel"/>
    <w:tmpl w:val="6848046A"/>
    <w:lvl w:ilvl="0" w:tplc="31142494">
      <w:start w:val="1"/>
      <w:numFmt w:val="bullet"/>
      <w:lvlText w:val=""/>
      <w:lvlJc w:val="left"/>
      <w:pPr>
        <w:ind w:left="1034" w:hanging="360"/>
      </w:pPr>
      <w:rPr>
        <w:rFonts w:ascii="Symbol" w:hAnsi="Symbol" w:hint="default"/>
        <w:i/>
        <w:sz w:val="21"/>
      </w:rPr>
    </w:lvl>
    <w:lvl w:ilvl="1" w:tplc="0C090003" w:tentative="1">
      <w:start w:val="1"/>
      <w:numFmt w:val="bullet"/>
      <w:lvlText w:val="o"/>
      <w:lvlJc w:val="left"/>
      <w:pPr>
        <w:ind w:left="1754" w:hanging="360"/>
      </w:pPr>
      <w:rPr>
        <w:rFonts w:ascii="Courier New" w:hAnsi="Courier New" w:hint="default"/>
      </w:rPr>
    </w:lvl>
    <w:lvl w:ilvl="2" w:tplc="0C090005" w:tentative="1">
      <w:start w:val="1"/>
      <w:numFmt w:val="bullet"/>
      <w:lvlText w:val=""/>
      <w:lvlJc w:val="left"/>
      <w:pPr>
        <w:ind w:left="2474" w:hanging="360"/>
      </w:pPr>
      <w:rPr>
        <w:rFonts w:ascii="Wingdings" w:hAnsi="Wingdings" w:hint="default"/>
      </w:rPr>
    </w:lvl>
    <w:lvl w:ilvl="3" w:tplc="0C090001" w:tentative="1">
      <w:start w:val="1"/>
      <w:numFmt w:val="bullet"/>
      <w:lvlText w:val=""/>
      <w:lvlJc w:val="left"/>
      <w:pPr>
        <w:ind w:left="3194" w:hanging="360"/>
      </w:pPr>
      <w:rPr>
        <w:rFonts w:ascii="Symbol" w:hAnsi="Symbol" w:hint="default"/>
      </w:rPr>
    </w:lvl>
    <w:lvl w:ilvl="4" w:tplc="0C090003" w:tentative="1">
      <w:start w:val="1"/>
      <w:numFmt w:val="bullet"/>
      <w:lvlText w:val="o"/>
      <w:lvlJc w:val="left"/>
      <w:pPr>
        <w:ind w:left="3914" w:hanging="360"/>
      </w:pPr>
      <w:rPr>
        <w:rFonts w:ascii="Courier New" w:hAnsi="Courier New" w:hint="default"/>
      </w:rPr>
    </w:lvl>
    <w:lvl w:ilvl="5" w:tplc="0C090005" w:tentative="1">
      <w:start w:val="1"/>
      <w:numFmt w:val="bullet"/>
      <w:lvlText w:val=""/>
      <w:lvlJc w:val="left"/>
      <w:pPr>
        <w:ind w:left="4634" w:hanging="360"/>
      </w:pPr>
      <w:rPr>
        <w:rFonts w:ascii="Wingdings" w:hAnsi="Wingdings" w:hint="default"/>
      </w:rPr>
    </w:lvl>
    <w:lvl w:ilvl="6" w:tplc="0C090001" w:tentative="1">
      <w:start w:val="1"/>
      <w:numFmt w:val="bullet"/>
      <w:lvlText w:val=""/>
      <w:lvlJc w:val="left"/>
      <w:pPr>
        <w:ind w:left="5354" w:hanging="360"/>
      </w:pPr>
      <w:rPr>
        <w:rFonts w:ascii="Symbol" w:hAnsi="Symbol" w:hint="default"/>
      </w:rPr>
    </w:lvl>
    <w:lvl w:ilvl="7" w:tplc="0C090003" w:tentative="1">
      <w:start w:val="1"/>
      <w:numFmt w:val="bullet"/>
      <w:lvlText w:val="o"/>
      <w:lvlJc w:val="left"/>
      <w:pPr>
        <w:ind w:left="6074" w:hanging="360"/>
      </w:pPr>
      <w:rPr>
        <w:rFonts w:ascii="Courier New" w:hAnsi="Courier New" w:hint="default"/>
      </w:rPr>
    </w:lvl>
    <w:lvl w:ilvl="8" w:tplc="0C090005" w:tentative="1">
      <w:start w:val="1"/>
      <w:numFmt w:val="bullet"/>
      <w:lvlText w:val=""/>
      <w:lvlJc w:val="left"/>
      <w:pPr>
        <w:ind w:left="6794" w:hanging="360"/>
      </w:pPr>
      <w:rPr>
        <w:rFonts w:ascii="Wingdings" w:hAnsi="Wingdings" w:hint="default"/>
      </w:rPr>
    </w:lvl>
  </w:abstractNum>
  <w:abstractNum w:abstractNumId="65">
    <w:nsid w:val="7D266104"/>
    <w:multiLevelType w:val="hybridMultilevel"/>
    <w:tmpl w:val="C674F260"/>
    <w:lvl w:ilvl="0" w:tplc="E652811A">
      <w:start w:val="1"/>
      <w:numFmt w:val="bullet"/>
      <w:lvlText w:val=""/>
      <w:lvlJc w:val="left"/>
      <w:pPr>
        <w:ind w:left="720" w:hanging="360"/>
      </w:pPr>
      <w:rPr>
        <w:rFonts w:ascii="Symbol" w:hAnsi="Symbol" w:hint="default"/>
        <w:i/>
        <w:sz w:val="22"/>
        <w:szCs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7"/>
  </w:num>
  <w:num w:numId="4">
    <w:abstractNumId w:val="59"/>
  </w:num>
  <w:num w:numId="5">
    <w:abstractNumId w:val="50"/>
  </w:num>
  <w:num w:numId="6">
    <w:abstractNumId w:val="15"/>
  </w:num>
  <w:num w:numId="7">
    <w:abstractNumId w:val="54"/>
  </w:num>
  <w:num w:numId="8">
    <w:abstractNumId w:val="43"/>
  </w:num>
  <w:num w:numId="9">
    <w:abstractNumId w:val="38"/>
  </w:num>
  <w:num w:numId="10">
    <w:abstractNumId w:val="42"/>
  </w:num>
  <w:num w:numId="11">
    <w:abstractNumId w:val="24"/>
  </w:num>
  <w:num w:numId="12">
    <w:abstractNumId w:val="17"/>
  </w:num>
  <w:num w:numId="13">
    <w:abstractNumId w:val="40"/>
  </w:num>
  <w:num w:numId="14">
    <w:abstractNumId w:val="4"/>
  </w:num>
  <w:num w:numId="15">
    <w:abstractNumId w:val="64"/>
  </w:num>
  <w:num w:numId="16">
    <w:abstractNumId w:val="13"/>
  </w:num>
  <w:num w:numId="17">
    <w:abstractNumId w:val="12"/>
  </w:num>
  <w:num w:numId="18">
    <w:abstractNumId w:val="49"/>
  </w:num>
  <w:num w:numId="19">
    <w:abstractNumId w:val="48"/>
  </w:num>
  <w:num w:numId="20">
    <w:abstractNumId w:val="65"/>
  </w:num>
  <w:num w:numId="21">
    <w:abstractNumId w:val="3"/>
  </w:num>
  <w:num w:numId="22">
    <w:abstractNumId w:val="10"/>
  </w:num>
  <w:num w:numId="23">
    <w:abstractNumId w:val="19"/>
  </w:num>
  <w:num w:numId="24">
    <w:abstractNumId w:val="7"/>
  </w:num>
  <w:num w:numId="25">
    <w:abstractNumId w:val="6"/>
  </w:num>
  <w:num w:numId="26">
    <w:abstractNumId w:val="47"/>
  </w:num>
  <w:num w:numId="27">
    <w:abstractNumId w:val="63"/>
  </w:num>
  <w:num w:numId="28">
    <w:abstractNumId w:val="26"/>
  </w:num>
  <w:num w:numId="29">
    <w:abstractNumId w:val="57"/>
  </w:num>
  <w:num w:numId="30">
    <w:abstractNumId w:val="22"/>
  </w:num>
  <w:num w:numId="31">
    <w:abstractNumId w:val="58"/>
  </w:num>
  <w:num w:numId="32">
    <w:abstractNumId w:val="41"/>
  </w:num>
  <w:num w:numId="33">
    <w:abstractNumId w:val="21"/>
  </w:num>
  <w:num w:numId="34">
    <w:abstractNumId w:val="39"/>
  </w:num>
  <w:num w:numId="35">
    <w:abstractNumId w:val="35"/>
  </w:num>
  <w:num w:numId="36">
    <w:abstractNumId w:val="18"/>
  </w:num>
  <w:num w:numId="37">
    <w:abstractNumId w:val="29"/>
  </w:num>
  <w:num w:numId="38">
    <w:abstractNumId w:val="28"/>
  </w:num>
  <w:num w:numId="39">
    <w:abstractNumId w:val="56"/>
  </w:num>
  <w:num w:numId="40">
    <w:abstractNumId w:val="45"/>
  </w:num>
  <w:num w:numId="41">
    <w:abstractNumId w:val="60"/>
  </w:num>
  <w:num w:numId="42">
    <w:abstractNumId w:val="36"/>
  </w:num>
  <w:num w:numId="43">
    <w:abstractNumId w:val="62"/>
  </w:num>
  <w:num w:numId="44">
    <w:abstractNumId w:val="27"/>
  </w:num>
  <w:num w:numId="45">
    <w:abstractNumId w:val="31"/>
  </w:num>
  <w:num w:numId="46">
    <w:abstractNumId w:val="9"/>
  </w:num>
  <w:num w:numId="47">
    <w:abstractNumId w:val="2"/>
  </w:num>
  <w:num w:numId="48">
    <w:abstractNumId w:val="23"/>
  </w:num>
  <w:num w:numId="49">
    <w:abstractNumId w:val="55"/>
  </w:num>
  <w:num w:numId="50">
    <w:abstractNumId w:val="52"/>
  </w:num>
  <w:num w:numId="51">
    <w:abstractNumId w:val="14"/>
  </w:num>
  <w:num w:numId="52">
    <w:abstractNumId w:val="11"/>
  </w:num>
  <w:num w:numId="53">
    <w:abstractNumId w:val="30"/>
  </w:num>
  <w:num w:numId="54">
    <w:abstractNumId w:val="32"/>
  </w:num>
  <w:num w:numId="55">
    <w:abstractNumId w:val="8"/>
  </w:num>
  <w:num w:numId="56">
    <w:abstractNumId w:val="61"/>
  </w:num>
  <w:num w:numId="57">
    <w:abstractNumId w:val="5"/>
  </w:num>
  <w:num w:numId="58">
    <w:abstractNumId w:val="34"/>
  </w:num>
  <w:num w:numId="59">
    <w:abstractNumId w:val="51"/>
  </w:num>
  <w:num w:numId="60">
    <w:abstractNumId w:val="33"/>
  </w:num>
  <w:num w:numId="61">
    <w:abstractNumId w:val="25"/>
  </w:num>
  <w:num w:numId="62">
    <w:abstractNumId w:val="44"/>
  </w:num>
  <w:num w:numId="63">
    <w:abstractNumId w:val="53"/>
  </w:num>
  <w:num w:numId="64">
    <w:abstractNumId w:val="46"/>
  </w:num>
  <w:num w:numId="65">
    <w:abstractNumId w:val="20"/>
  </w:num>
  <w:num w:numId="66">
    <w:abstractNumId w:val="1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556"/>
    <w:rsid w:val="0000075E"/>
    <w:rsid w:val="00000795"/>
    <w:rsid w:val="00001A3F"/>
    <w:rsid w:val="00003B26"/>
    <w:rsid w:val="00003C39"/>
    <w:rsid w:val="00003F29"/>
    <w:rsid w:val="000042B1"/>
    <w:rsid w:val="000052A0"/>
    <w:rsid w:val="00005FC9"/>
    <w:rsid w:val="000076C8"/>
    <w:rsid w:val="00007DBC"/>
    <w:rsid w:val="00011391"/>
    <w:rsid w:val="000114BC"/>
    <w:rsid w:val="000141D5"/>
    <w:rsid w:val="000142D4"/>
    <w:rsid w:val="00014675"/>
    <w:rsid w:val="0001555E"/>
    <w:rsid w:val="00016A7C"/>
    <w:rsid w:val="00016DA6"/>
    <w:rsid w:val="00016EBA"/>
    <w:rsid w:val="00016ED9"/>
    <w:rsid w:val="00017399"/>
    <w:rsid w:val="00017E41"/>
    <w:rsid w:val="00020226"/>
    <w:rsid w:val="00020850"/>
    <w:rsid w:val="00021A70"/>
    <w:rsid w:val="00021C91"/>
    <w:rsid w:val="00022616"/>
    <w:rsid w:val="00022CD3"/>
    <w:rsid w:val="00023F72"/>
    <w:rsid w:val="00024414"/>
    <w:rsid w:val="0002513D"/>
    <w:rsid w:val="000255E8"/>
    <w:rsid w:val="00027BD2"/>
    <w:rsid w:val="000309E5"/>
    <w:rsid w:val="0003368E"/>
    <w:rsid w:val="00034028"/>
    <w:rsid w:val="0004011D"/>
    <w:rsid w:val="0004079B"/>
    <w:rsid w:val="00040E92"/>
    <w:rsid w:val="0004151C"/>
    <w:rsid w:val="0004223B"/>
    <w:rsid w:val="0004264A"/>
    <w:rsid w:val="00042EF2"/>
    <w:rsid w:val="00042FDC"/>
    <w:rsid w:val="0004367E"/>
    <w:rsid w:val="00043937"/>
    <w:rsid w:val="00043D19"/>
    <w:rsid w:val="00044012"/>
    <w:rsid w:val="00044DCB"/>
    <w:rsid w:val="00045272"/>
    <w:rsid w:val="00045F4D"/>
    <w:rsid w:val="00046293"/>
    <w:rsid w:val="000478EE"/>
    <w:rsid w:val="00047C53"/>
    <w:rsid w:val="000506B9"/>
    <w:rsid w:val="000534EC"/>
    <w:rsid w:val="000543E7"/>
    <w:rsid w:val="000549A2"/>
    <w:rsid w:val="00054B56"/>
    <w:rsid w:val="000550FC"/>
    <w:rsid w:val="00056FDD"/>
    <w:rsid w:val="0005706D"/>
    <w:rsid w:val="000572E4"/>
    <w:rsid w:val="000577BB"/>
    <w:rsid w:val="00057C6E"/>
    <w:rsid w:val="000605F8"/>
    <w:rsid w:val="000644B2"/>
    <w:rsid w:val="00065D36"/>
    <w:rsid w:val="00066CAD"/>
    <w:rsid w:val="00067849"/>
    <w:rsid w:val="00067AAA"/>
    <w:rsid w:val="00071D65"/>
    <w:rsid w:val="000727EA"/>
    <w:rsid w:val="00073225"/>
    <w:rsid w:val="00073920"/>
    <w:rsid w:val="00073995"/>
    <w:rsid w:val="00073AAB"/>
    <w:rsid w:val="00073E46"/>
    <w:rsid w:val="00075C17"/>
    <w:rsid w:val="000761EA"/>
    <w:rsid w:val="00076BFB"/>
    <w:rsid w:val="00077AD4"/>
    <w:rsid w:val="00080C8F"/>
    <w:rsid w:val="00080D94"/>
    <w:rsid w:val="00080F9C"/>
    <w:rsid w:val="00082B9E"/>
    <w:rsid w:val="000832A1"/>
    <w:rsid w:val="00083F68"/>
    <w:rsid w:val="00085414"/>
    <w:rsid w:val="00085ADB"/>
    <w:rsid w:val="000864B2"/>
    <w:rsid w:val="00086716"/>
    <w:rsid w:val="0008730C"/>
    <w:rsid w:val="000879C7"/>
    <w:rsid w:val="00091AFC"/>
    <w:rsid w:val="00091B38"/>
    <w:rsid w:val="000928C9"/>
    <w:rsid w:val="00092983"/>
    <w:rsid w:val="00094130"/>
    <w:rsid w:val="000947C6"/>
    <w:rsid w:val="000958A4"/>
    <w:rsid w:val="00096CC8"/>
    <w:rsid w:val="0009704C"/>
    <w:rsid w:val="0009762F"/>
    <w:rsid w:val="00097974"/>
    <w:rsid w:val="000A19BC"/>
    <w:rsid w:val="000A1FE8"/>
    <w:rsid w:val="000A3A5E"/>
    <w:rsid w:val="000A5B1D"/>
    <w:rsid w:val="000A613D"/>
    <w:rsid w:val="000A66F6"/>
    <w:rsid w:val="000B0343"/>
    <w:rsid w:val="000B0660"/>
    <w:rsid w:val="000B0A46"/>
    <w:rsid w:val="000B13F5"/>
    <w:rsid w:val="000B1592"/>
    <w:rsid w:val="000B1D2A"/>
    <w:rsid w:val="000B28A4"/>
    <w:rsid w:val="000B3556"/>
    <w:rsid w:val="000B514D"/>
    <w:rsid w:val="000B586D"/>
    <w:rsid w:val="000B596B"/>
    <w:rsid w:val="000B5C03"/>
    <w:rsid w:val="000B6A44"/>
    <w:rsid w:val="000B72ED"/>
    <w:rsid w:val="000C11B2"/>
    <w:rsid w:val="000C1A05"/>
    <w:rsid w:val="000C23B0"/>
    <w:rsid w:val="000C4505"/>
    <w:rsid w:val="000C4BC0"/>
    <w:rsid w:val="000C4E64"/>
    <w:rsid w:val="000C51D8"/>
    <w:rsid w:val="000C540B"/>
    <w:rsid w:val="000C5602"/>
    <w:rsid w:val="000C56D9"/>
    <w:rsid w:val="000C5976"/>
    <w:rsid w:val="000C71B6"/>
    <w:rsid w:val="000D080B"/>
    <w:rsid w:val="000D1552"/>
    <w:rsid w:val="000D17C8"/>
    <w:rsid w:val="000D18A1"/>
    <w:rsid w:val="000D19AB"/>
    <w:rsid w:val="000D1B3D"/>
    <w:rsid w:val="000D31A0"/>
    <w:rsid w:val="000D3A0F"/>
    <w:rsid w:val="000D4048"/>
    <w:rsid w:val="000D433F"/>
    <w:rsid w:val="000D4D40"/>
    <w:rsid w:val="000D4E14"/>
    <w:rsid w:val="000D4EA0"/>
    <w:rsid w:val="000D5F6B"/>
    <w:rsid w:val="000D6DAC"/>
    <w:rsid w:val="000D7508"/>
    <w:rsid w:val="000D7609"/>
    <w:rsid w:val="000E0286"/>
    <w:rsid w:val="000E0353"/>
    <w:rsid w:val="000E056A"/>
    <w:rsid w:val="000E0AB5"/>
    <w:rsid w:val="000E129E"/>
    <w:rsid w:val="000E2ACF"/>
    <w:rsid w:val="000E3AD7"/>
    <w:rsid w:val="000E3B90"/>
    <w:rsid w:val="000E4873"/>
    <w:rsid w:val="000E5050"/>
    <w:rsid w:val="000E5FE4"/>
    <w:rsid w:val="000E70C3"/>
    <w:rsid w:val="000E714B"/>
    <w:rsid w:val="000E7F56"/>
    <w:rsid w:val="000F0295"/>
    <w:rsid w:val="000F1D58"/>
    <w:rsid w:val="000F236F"/>
    <w:rsid w:val="000F25D7"/>
    <w:rsid w:val="000F3543"/>
    <w:rsid w:val="000F39CB"/>
    <w:rsid w:val="000F5472"/>
    <w:rsid w:val="000F576F"/>
    <w:rsid w:val="000F6360"/>
    <w:rsid w:val="000F6835"/>
    <w:rsid w:val="000F74D2"/>
    <w:rsid w:val="000F7EA3"/>
    <w:rsid w:val="00101F2B"/>
    <w:rsid w:val="00102CB8"/>
    <w:rsid w:val="00102E5A"/>
    <w:rsid w:val="0010318F"/>
    <w:rsid w:val="001033CF"/>
    <w:rsid w:val="001039AD"/>
    <w:rsid w:val="0010466A"/>
    <w:rsid w:val="00104B8A"/>
    <w:rsid w:val="00104D00"/>
    <w:rsid w:val="001050E4"/>
    <w:rsid w:val="00105E50"/>
    <w:rsid w:val="0010625E"/>
    <w:rsid w:val="00107A2D"/>
    <w:rsid w:val="001101E7"/>
    <w:rsid w:val="001127A1"/>
    <w:rsid w:val="0011296A"/>
    <w:rsid w:val="0011368F"/>
    <w:rsid w:val="0011499E"/>
    <w:rsid w:val="00115065"/>
    <w:rsid w:val="0011507C"/>
    <w:rsid w:val="00115620"/>
    <w:rsid w:val="00117C69"/>
    <w:rsid w:val="001203F9"/>
    <w:rsid w:val="0012129F"/>
    <w:rsid w:val="00121632"/>
    <w:rsid w:val="00121736"/>
    <w:rsid w:val="00121CE5"/>
    <w:rsid w:val="00121F56"/>
    <w:rsid w:val="00121F57"/>
    <w:rsid w:val="00122219"/>
    <w:rsid w:val="0012499C"/>
    <w:rsid w:val="00124DB3"/>
    <w:rsid w:val="00125334"/>
    <w:rsid w:val="00127FF5"/>
    <w:rsid w:val="0013018C"/>
    <w:rsid w:val="00130B42"/>
    <w:rsid w:val="00132229"/>
    <w:rsid w:val="00132898"/>
    <w:rsid w:val="001347C6"/>
    <w:rsid w:val="001359B5"/>
    <w:rsid w:val="00135E44"/>
    <w:rsid w:val="00136B8F"/>
    <w:rsid w:val="0013773E"/>
    <w:rsid w:val="00137F5B"/>
    <w:rsid w:val="00140467"/>
    <w:rsid w:val="00143949"/>
    <w:rsid w:val="00143EC1"/>
    <w:rsid w:val="0014495B"/>
    <w:rsid w:val="0014539F"/>
    <w:rsid w:val="00146CE8"/>
    <w:rsid w:val="00150103"/>
    <w:rsid w:val="001502FB"/>
    <w:rsid w:val="00150797"/>
    <w:rsid w:val="00150DC4"/>
    <w:rsid w:val="00153826"/>
    <w:rsid w:val="00153E50"/>
    <w:rsid w:val="0015422A"/>
    <w:rsid w:val="0015497F"/>
    <w:rsid w:val="00154E3D"/>
    <w:rsid w:val="00156FB1"/>
    <w:rsid w:val="00157248"/>
    <w:rsid w:val="001574F0"/>
    <w:rsid w:val="001575EA"/>
    <w:rsid w:val="00157832"/>
    <w:rsid w:val="00157A9E"/>
    <w:rsid w:val="001624A2"/>
    <w:rsid w:val="00164095"/>
    <w:rsid w:val="001640F7"/>
    <w:rsid w:val="00164E63"/>
    <w:rsid w:val="00165957"/>
    <w:rsid w:val="001662AD"/>
    <w:rsid w:val="00166666"/>
    <w:rsid w:val="00166F9C"/>
    <w:rsid w:val="0016706C"/>
    <w:rsid w:val="00167202"/>
    <w:rsid w:val="00167BE7"/>
    <w:rsid w:val="00170098"/>
    <w:rsid w:val="00171DB8"/>
    <w:rsid w:val="00172122"/>
    <w:rsid w:val="001731C9"/>
    <w:rsid w:val="00173B28"/>
    <w:rsid w:val="001746C1"/>
    <w:rsid w:val="00174975"/>
    <w:rsid w:val="00175031"/>
    <w:rsid w:val="001751A8"/>
    <w:rsid w:val="001768B8"/>
    <w:rsid w:val="001773DA"/>
    <w:rsid w:val="0018009E"/>
    <w:rsid w:val="00183FC6"/>
    <w:rsid w:val="0018420E"/>
    <w:rsid w:val="00184248"/>
    <w:rsid w:val="001846E1"/>
    <w:rsid w:val="00184EA1"/>
    <w:rsid w:val="00185F29"/>
    <w:rsid w:val="00186751"/>
    <w:rsid w:val="00187FE9"/>
    <w:rsid w:val="00190C0B"/>
    <w:rsid w:val="00193D82"/>
    <w:rsid w:val="001957B8"/>
    <w:rsid w:val="0019588D"/>
    <w:rsid w:val="00195A99"/>
    <w:rsid w:val="00197A47"/>
    <w:rsid w:val="001A417C"/>
    <w:rsid w:val="001A6036"/>
    <w:rsid w:val="001A60F7"/>
    <w:rsid w:val="001A687D"/>
    <w:rsid w:val="001A6D39"/>
    <w:rsid w:val="001A79E1"/>
    <w:rsid w:val="001B12BA"/>
    <w:rsid w:val="001B19F1"/>
    <w:rsid w:val="001B2AD0"/>
    <w:rsid w:val="001B41CA"/>
    <w:rsid w:val="001B6F34"/>
    <w:rsid w:val="001B7319"/>
    <w:rsid w:val="001C152E"/>
    <w:rsid w:val="001C1AFA"/>
    <w:rsid w:val="001C1E2C"/>
    <w:rsid w:val="001C42CD"/>
    <w:rsid w:val="001C49CE"/>
    <w:rsid w:val="001C559D"/>
    <w:rsid w:val="001C75FD"/>
    <w:rsid w:val="001D0139"/>
    <w:rsid w:val="001D1236"/>
    <w:rsid w:val="001D1853"/>
    <w:rsid w:val="001D29E6"/>
    <w:rsid w:val="001D2AC0"/>
    <w:rsid w:val="001D2B6A"/>
    <w:rsid w:val="001D31D0"/>
    <w:rsid w:val="001D3601"/>
    <w:rsid w:val="001D47C4"/>
    <w:rsid w:val="001D54FB"/>
    <w:rsid w:val="001D5B98"/>
    <w:rsid w:val="001D5CAC"/>
    <w:rsid w:val="001D63CC"/>
    <w:rsid w:val="001D6DD9"/>
    <w:rsid w:val="001D6FF0"/>
    <w:rsid w:val="001E0418"/>
    <w:rsid w:val="001E05D7"/>
    <w:rsid w:val="001E06A9"/>
    <w:rsid w:val="001E0D7B"/>
    <w:rsid w:val="001E17B3"/>
    <w:rsid w:val="001E3DDF"/>
    <w:rsid w:val="001E5C77"/>
    <w:rsid w:val="001E5FF5"/>
    <w:rsid w:val="001E6722"/>
    <w:rsid w:val="001F0862"/>
    <w:rsid w:val="001F0CE2"/>
    <w:rsid w:val="001F129D"/>
    <w:rsid w:val="001F1701"/>
    <w:rsid w:val="001F278D"/>
    <w:rsid w:val="001F27C1"/>
    <w:rsid w:val="001F47BC"/>
    <w:rsid w:val="001F4E47"/>
    <w:rsid w:val="001F500C"/>
    <w:rsid w:val="001F6B7D"/>
    <w:rsid w:val="0020377C"/>
    <w:rsid w:val="00203806"/>
    <w:rsid w:val="00203818"/>
    <w:rsid w:val="0020513F"/>
    <w:rsid w:val="002052D0"/>
    <w:rsid w:val="00206542"/>
    <w:rsid w:val="002066E9"/>
    <w:rsid w:val="00206892"/>
    <w:rsid w:val="0020758B"/>
    <w:rsid w:val="00207E0B"/>
    <w:rsid w:val="00211D2E"/>
    <w:rsid w:val="00212E64"/>
    <w:rsid w:val="00212ED6"/>
    <w:rsid w:val="00215E89"/>
    <w:rsid w:val="00216B90"/>
    <w:rsid w:val="00216EB0"/>
    <w:rsid w:val="00217E8E"/>
    <w:rsid w:val="002202A1"/>
    <w:rsid w:val="00220905"/>
    <w:rsid w:val="00220DC2"/>
    <w:rsid w:val="0022119E"/>
    <w:rsid w:val="002212A7"/>
    <w:rsid w:val="002242AD"/>
    <w:rsid w:val="00224AA1"/>
    <w:rsid w:val="002262C0"/>
    <w:rsid w:val="0022660A"/>
    <w:rsid w:val="00226AB0"/>
    <w:rsid w:val="002272B1"/>
    <w:rsid w:val="0022796E"/>
    <w:rsid w:val="0023032F"/>
    <w:rsid w:val="00230842"/>
    <w:rsid w:val="00230858"/>
    <w:rsid w:val="00231381"/>
    <w:rsid w:val="00232C12"/>
    <w:rsid w:val="00233B1A"/>
    <w:rsid w:val="00233BF1"/>
    <w:rsid w:val="00235624"/>
    <w:rsid w:val="0023595F"/>
    <w:rsid w:val="00236BF7"/>
    <w:rsid w:val="00237A69"/>
    <w:rsid w:val="00237B45"/>
    <w:rsid w:val="002404A4"/>
    <w:rsid w:val="002413F5"/>
    <w:rsid w:val="002421E9"/>
    <w:rsid w:val="002441C1"/>
    <w:rsid w:val="002449DB"/>
    <w:rsid w:val="00244C21"/>
    <w:rsid w:val="0024542C"/>
    <w:rsid w:val="002456A5"/>
    <w:rsid w:val="00245FDC"/>
    <w:rsid w:val="0024628E"/>
    <w:rsid w:val="002462BB"/>
    <w:rsid w:val="00246348"/>
    <w:rsid w:val="002467F3"/>
    <w:rsid w:val="00246EB4"/>
    <w:rsid w:val="0024739D"/>
    <w:rsid w:val="0024741A"/>
    <w:rsid w:val="00247871"/>
    <w:rsid w:val="002478F3"/>
    <w:rsid w:val="0025119E"/>
    <w:rsid w:val="002518D2"/>
    <w:rsid w:val="00253540"/>
    <w:rsid w:val="0025355C"/>
    <w:rsid w:val="0025476A"/>
    <w:rsid w:val="00254F81"/>
    <w:rsid w:val="002553E5"/>
    <w:rsid w:val="002560A4"/>
    <w:rsid w:val="002564DA"/>
    <w:rsid w:val="002612DE"/>
    <w:rsid w:val="002621E5"/>
    <w:rsid w:val="00264145"/>
    <w:rsid w:val="00264798"/>
    <w:rsid w:val="00264B46"/>
    <w:rsid w:val="002653BB"/>
    <w:rsid w:val="00266793"/>
    <w:rsid w:val="00266F57"/>
    <w:rsid w:val="00270841"/>
    <w:rsid w:val="00270E1B"/>
    <w:rsid w:val="002713CA"/>
    <w:rsid w:val="00272D90"/>
    <w:rsid w:val="002741BC"/>
    <w:rsid w:val="002744C0"/>
    <w:rsid w:val="00277D77"/>
    <w:rsid w:val="002819A7"/>
    <w:rsid w:val="00281FC6"/>
    <w:rsid w:val="00282EEE"/>
    <w:rsid w:val="0028342A"/>
    <w:rsid w:val="00285141"/>
    <w:rsid w:val="0028650A"/>
    <w:rsid w:val="00286F9A"/>
    <w:rsid w:val="00287B79"/>
    <w:rsid w:val="00291753"/>
    <w:rsid w:val="00291F9F"/>
    <w:rsid w:val="00292DC0"/>
    <w:rsid w:val="002939DB"/>
    <w:rsid w:val="0029417F"/>
    <w:rsid w:val="00294CDB"/>
    <w:rsid w:val="00295033"/>
    <w:rsid w:val="002951F6"/>
    <w:rsid w:val="00295BDE"/>
    <w:rsid w:val="0029629A"/>
    <w:rsid w:val="00296BDC"/>
    <w:rsid w:val="00297B05"/>
    <w:rsid w:val="002A05A2"/>
    <w:rsid w:val="002A0B71"/>
    <w:rsid w:val="002A44FE"/>
    <w:rsid w:val="002A490C"/>
    <w:rsid w:val="002A5554"/>
    <w:rsid w:val="002A5861"/>
    <w:rsid w:val="002A66E2"/>
    <w:rsid w:val="002A6A36"/>
    <w:rsid w:val="002A7256"/>
    <w:rsid w:val="002A7CB3"/>
    <w:rsid w:val="002A7D34"/>
    <w:rsid w:val="002B0A3C"/>
    <w:rsid w:val="002B2A7C"/>
    <w:rsid w:val="002B2EBB"/>
    <w:rsid w:val="002B3B18"/>
    <w:rsid w:val="002B496A"/>
    <w:rsid w:val="002B59A5"/>
    <w:rsid w:val="002B66B1"/>
    <w:rsid w:val="002B6743"/>
    <w:rsid w:val="002B79CC"/>
    <w:rsid w:val="002C0BBA"/>
    <w:rsid w:val="002C0CE9"/>
    <w:rsid w:val="002C13E5"/>
    <w:rsid w:val="002C194E"/>
    <w:rsid w:val="002C26DA"/>
    <w:rsid w:val="002C28B8"/>
    <w:rsid w:val="002C2DB9"/>
    <w:rsid w:val="002C379A"/>
    <w:rsid w:val="002C487C"/>
    <w:rsid w:val="002C48F5"/>
    <w:rsid w:val="002C4AD9"/>
    <w:rsid w:val="002C511B"/>
    <w:rsid w:val="002C5249"/>
    <w:rsid w:val="002C5A50"/>
    <w:rsid w:val="002C5B86"/>
    <w:rsid w:val="002C6409"/>
    <w:rsid w:val="002C72CB"/>
    <w:rsid w:val="002D1AC3"/>
    <w:rsid w:val="002D1DC7"/>
    <w:rsid w:val="002D3A31"/>
    <w:rsid w:val="002D3A6A"/>
    <w:rsid w:val="002D4087"/>
    <w:rsid w:val="002D4518"/>
    <w:rsid w:val="002D5422"/>
    <w:rsid w:val="002D5797"/>
    <w:rsid w:val="002D6166"/>
    <w:rsid w:val="002D6237"/>
    <w:rsid w:val="002D6B31"/>
    <w:rsid w:val="002D6B88"/>
    <w:rsid w:val="002D7105"/>
    <w:rsid w:val="002E0A46"/>
    <w:rsid w:val="002E0AA9"/>
    <w:rsid w:val="002E1A2A"/>
    <w:rsid w:val="002E3739"/>
    <w:rsid w:val="002E3DA1"/>
    <w:rsid w:val="002E57B1"/>
    <w:rsid w:val="002E6019"/>
    <w:rsid w:val="002F48D6"/>
    <w:rsid w:val="002F4CBB"/>
    <w:rsid w:val="002F641D"/>
    <w:rsid w:val="002F77BC"/>
    <w:rsid w:val="00300DF8"/>
    <w:rsid w:val="00300E9B"/>
    <w:rsid w:val="003013DE"/>
    <w:rsid w:val="00303A76"/>
    <w:rsid w:val="00303EE4"/>
    <w:rsid w:val="00304FE9"/>
    <w:rsid w:val="00305AC8"/>
    <w:rsid w:val="00306996"/>
    <w:rsid w:val="0030736E"/>
    <w:rsid w:val="003106C5"/>
    <w:rsid w:val="00312299"/>
    <w:rsid w:val="00312579"/>
    <w:rsid w:val="003134DE"/>
    <w:rsid w:val="00313514"/>
    <w:rsid w:val="00313C1F"/>
    <w:rsid w:val="00313FEE"/>
    <w:rsid w:val="00314571"/>
    <w:rsid w:val="00314BD1"/>
    <w:rsid w:val="003167EB"/>
    <w:rsid w:val="00317134"/>
    <w:rsid w:val="00317567"/>
    <w:rsid w:val="00317C48"/>
    <w:rsid w:val="00320502"/>
    <w:rsid w:val="00320F51"/>
    <w:rsid w:val="00321470"/>
    <w:rsid w:val="00323536"/>
    <w:rsid w:val="003238F1"/>
    <w:rsid w:val="00323CF4"/>
    <w:rsid w:val="00324AF6"/>
    <w:rsid w:val="003251B0"/>
    <w:rsid w:val="00327598"/>
    <w:rsid w:val="00330B91"/>
    <w:rsid w:val="003331E0"/>
    <w:rsid w:val="00333900"/>
    <w:rsid w:val="00334B51"/>
    <w:rsid w:val="00334FCF"/>
    <w:rsid w:val="00335930"/>
    <w:rsid w:val="00340920"/>
    <w:rsid w:val="0034183C"/>
    <w:rsid w:val="0034269E"/>
    <w:rsid w:val="00343498"/>
    <w:rsid w:val="003436E9"/>
    <w:rsid w:val="00343B4E"/>
    <w:rsid w:val="00343BAA"/>
    <w:rsid w:val="00344091"/>
    <w:rsid w:val="00344B07"/>
    <w:rsid w:val="00344C9F"/>
    <w:rsid w:val="00345486"/>
    <w:rsid w:val="0034645E"/>
    <w:rsid w:val="0034683B"/>
    <w:rsid w:val="0034693A"/>
    <w:rsid w:val="00346DDF"/>
    <w:rsid w:val="00346E64"/>
    <w:rsid w:val="00347472"/>
    <w:rsid w:val="00351003"/>
    <w:rsid w:val="003513DE"/>
    <w:rsid w:val="00351F03"/>
    <w:rsid w:val="003524CA"/>
    <w:rsid w:val="003527B0"/>
    <w:rsid w:val="0035293D"/>
    <w:rsid w:val="003529F3"/>
    <w:rsid w:val="00352F87"/>
    <w:rsid w:val="00353D7A"/>
    <w:rsid w:val="00354042"/>
    <w:rsid w:val="00355330"/>
    <w:rsid w:val="00355914"/>
    <w:rsid w:val="003560AD"/>
    <w:rsid w:val="0035680B"/>
    <w:rsid w:val="00356F8F"/>
    <w:rsid w:val="003609E5"/>
    <w:rsid w:val="003620FB"/>
    <w:rsid w:val="0036418A"/>
    <w:rsid w:val="00365F4A"/>
    <w:rsid w:val="003665D4"/>
    <w:rsid w:val="003665E7"/>
    <w:rsid w:val="003709D0"/>
    <w:rsid w:val="00371127"/>
    <w:rsid w:val="00371D21"/>
    <w:rsid w:val="00371F83"/>
    <w:rsid w:val="003730A7"/>
    <w:rsid w:val="0037382F"/>
    <w:rsid w:val="00373F90"/>
    <w:rsid w:val="003745DA"/>
    <w:rsid w:val="00374F5D"/>
    <w:rsid w:val="003761C9"/>
    <w:rsid w:val="0037675C"/>
    <w:rsid w:val="00377382"/>
    <w:rsid w:val="00377A99"/>
    <w:rsid w:val="00380FB1"/>
    <w:rsid w:val="00381241"/>
    <w:rsid w:val="003813F2"/>
    <w:rsid w:val="0038295E"/>
    <w:rsid w:val="00382E36"/>
    <w:rsid w:val="0038340A"/>
    <w:rsid w:val="003848E2"/>
    <w:rsid w:val="00387696"/>
    <w:rsid w:val="0039021B"/>
    <w:rsid w:val="0039141E"/>
    <w:rsid w:val="0039180E"/>
    <w:rsid w:val="00391BB8"/>
    <w:rsid w:val="003921A3"/>
    <w:rsid w:val="00393C6F"/>
    <w:rsid w:val="0039412B"/>
    <w:rsid w:val="0039451B"/>
    <w:rsid w:val="00397AED"/>
    <w:rsid w:val="00397CA9"/>
    <w:rsid w:val="00397EE1"/>
    <w:rsid w:val="003A0809"/>
    <w:rsid w:val="003A5325"/>
    <w:rsid w:val="003A56E0"/>
    <w:rsid w:val="003A60E7"/>
    <w:rsid w:val="003A6287"/>
    <w:rsid w:val="003A78AF"/>
    <w:rsid w:val="003B00B0"/>
    <w:rsid w:val="003B3ED1"/>
    <w:rsid w:val="003B4576"/>
    <w:rsid w:val="003B51C7"/>
    <w:rsid w:val="003B57C0"/>
    <w:rsid w:val="003B60C1"/>
    <w:rsid w:val="003B6916"/>
    <w:rsid w:val="003B6CCE"/>
    <w:rsid w:val="003B6E1D"/>
    <w:rsid w:val="003B6EA0"/>
    <w:rsid w:val="003B71C8"/>
    <w:rsid w:val="003B7510"/>
    <w:rsid w:val="003C02A1"/>
    <w:rsid w:val="003C1359"/>
    <w:rsid w:val="003C15D1"/>
    <w:rsid w:val="003C17F9"/>
    <w:rsid w:val="003C2839"/>
    <w:rsid w:val="003C3317"/>
    <w:rsid w:val="003C3C0F"/>
    <w:rsid w:val="003C560F"/>
    <w:rsid w:val="003C6022"/>
    <w:rsid w:val="003C72AD"/>
    <w:rsid w:val="003C796B"/>
    <w:rsid w:val="003C7E25"/>
    <w:rsid w:val="003D0414"/>
    <w:rsid w:val="003D1E25"/>
    <w:rsid w:val="003D2474"/>
    <w:rsid w:val="003D2770"/>
    <w:rsid w:val="003D28F6"/>
    <w:rsid w:val="003D2ACB"/>
    <w:rsid w:val="003D2F4D"/>
    <w:rsid w:val="003D36C4"/>
    <w:rsid w:val="003D40ED"/>
    <w:rsid w:val="003D42B8"/>
    <w:rsid w:val="003D530E"/>
    <w:rsid w:val="003D7053"/>
    <w:rsid w:val="003D7164"/>
    <w:rsid w:val="003E0CCE"/>
    <w:rsid w:val="003E10E8"/>
    <w:rsid w:val="003E18ED"/>
    <w:rsid w:val="003E19DF"/>
    <w:rsid w:val="003E2691"/>
    <w:rsid w:val="003E37B8"/>
    <w:rsid w:val="003E423E"/>
    <w:rsid w:val="003E4663"/>
    <w:rsid w:val="003E5425"/>
    <w:rsid w:val="003E5AB5"/>
    <w:rsid w:val="003E6C04"/>
    <w:rsid w:val="003E7458"/>
    <w:rsid w:val="003E7DAE"/>
    <w:rsid w:val="003F0396"/>
    <w:rsid w:val="003F104C"/>
    <w:rsid w:val="003F1571"/>
    <w:rsid w:val="003F1A18"/>
    <w:rsid w:val="003F389F"/>
    <w:rsid w:val="003F4647"/>
    <w:rsid w:val="003F690F"/>
    <w:rsid w:val="003F7049"/>
    <w:rsid w:val="004008B2"/>
    <w:rsid w:val="00401707"/>
    <w:rsid w:val="00401A7A"/>
    <w:rsid w:val="00401B47"/>
    <w:rsid w:val="004037ED"/>
    <w:rsid w:val="00405A03"/>
    <w:rsid w:val="00406F7A"/>
    <w:rsid w:val="00410614"/>
    <w:rsid w:val="004121D5"/>
    <w:rsid w:val="004128C2"/>
    <w:rsid w:val="00413319"/>
    <w:rsid w:val="0041349C"/>
    <w:rsid w:val="0041370D"/>
    <w:rsid w:val="004145AA"/>
    <w:rsid w:val="004147AF"/>
    <w:rsid w:val="00414EA1"/>
    <w:rsid w:val="00416AAC"/>
    <w:rsid w:val="004174C7"/>
    <w:rsid w:val="00417F75"/>
    <w:rsid w:val="00420574"/>
    <w:rsid w:val="004205D6"/>
    <w:rsid w:val="00421865"/>
    <w:rsid w:val="00421AE1"/>
    <w:rsid w:val="00421FA5"/>
    <w:rsid w:val="00423490"/>
    <w:rsid w:val="00424AFD"/>
    <w:rsid w:val="00425001"/>
    <w:rsid w:val="004269DC"/>
    <w:rsid w:val="00426EE6"/>
    <w:rsid w:val="00427D11"/>
    <w:rsid w:val="00430D30"/>
    <w:rsid w:val="00431BE2"/>
    <w:rsid w:val="004322D3"/>
    <w:rsid w:val="004331AB"/>
    <w:rsid w:val="0043393B"/>
    <w:rsid w:val="0043394B"/>
    <w:rsid w:val="0043429D"/>
    <w:rsid w:val="00434CDA"/>
    <w:rsid w:val="004357AC"/>
    <w:rsid w:val="00436208"/>
    <w:rsid w:val="00437FE3"/>
    <w:rsid w:val="00440753"/>
    <w:rsid w:val="004408C4"/>
    <w:rsid w:val="00440D50"/>
    <w:rsid w:val="00441C6B"/>
    <w:rsid w:val="00441E66"/>
    <w:rsid w:val="004424F3"/>
    <w:rsid w:val="00442EA3"/>
    <w:rsid w:val="00444AE4"/>
    <w:rsid w:val="00450535"/>
    <w:rsid w:val="0045061F"/>
    <w:rsid w:val="00451666"/>
    <w:rsid w:val="004522C3"/>
    <w:rsid w:val="00453E22"/>
    <w:rsid w:val="00454355"/>
    <w:rsid w:val="0045459B"/>
    <w:rsid w:val="00454B36"/>
    <w:rsid w:val="004555DB"/>
    <w:rsid w:val="00455667"/>
    <w:rsid w:val="00456EB9"/>
    <w:rsid w:val="004573F0"/>
    <w:rsid w:val="00460030"/>
    <w:rsid w:val="00460613"/>
    <w:rsid w:val="004610C2"/>
    <w:rsid w:val="0046215A"/>
    <w:rsid w:val="00462339"/>
    <w:rsid w:val="0046254E"/>
    <w:rsid w:val="00462ABF"/>
    <w:rsid w:val="00462FD0"/>
    <w:rsid w:val="004640EB"/>
    <w:rsid w:val="004649EE"/>
    <w:rsid w:val="00464A64"/>
    <w:rsid w:val="004661EF"/>
    <w:rsid w:val="0046626E"/>
    <w:rsid w:val="00466C1D"/>
    <w:rsid w:val="00466C70"/>
    <w:rsid w:val="00471FAD"/>
    <w:rsid w:val="0047420A"/>
    <w:rsid w:val="00474BBE"/>
    <w:rsid w:val="0047633A"/>
    <w:rsid w:val="00477301"/>
    <w:rsid w:val="00477B9A"/>
    <w:rsid w:val="00480475"/>
    <w:rsid w:val="004817B5"/>
    <w:rsid w:val="00481C85"/>
    <w:rsid w:val="00482C62"/>
    <w:rsid w:val="00483AB5"/>
    <w:rsid w:val="004851FB"/>
    <w:rsid w:val="0048567F"/>
    <w:rsid w:val="00486095"/>
    <w:rsid w:val="004868D5"/>
    <w:rsid w:val="00486B45"/>
    <w:rsid w:val="00487198"/>
    <w:rsid w:val="004877B0"/>
    <w:rsid w:val="00487E73"/>
    <w:rsid w:val="00490710"/>
    <w:rsid w:val="004909BC"/>
    <w:rsid w:val="00490B83"/>
    <w:rsid w:val="00491E64"/>
    <w:rsid w:val="0049411F"/>
    <w:rsid w:val="00494D01"/>
    <w:rsid w:val="00495022"/>
    <w:rsid w:val="004957CA"/>
    <w:rsid w:val="004957DA"/>
    <w:rsid w:val="0049644C"/>
    <w:rsid w:val="004968C9"/>
    <w:rsid w:val="00496ACB"/>
    <w:rsid w:val="0049738B"/>
    <w:rsid w:val="004A208E"/>
    <w:rsid w:val="004A274B"/>
    <w:rsid w:val="004A3653"/>
    <w:rsid w:val="004A5413"/>
    <w:rsid w:val="004A58D6"/>
    <w:rsid w:val="004A689F"/>
    <w:rsid w:val="004A7140"/>
    <w:rsid w:val="004A7296"/>
    <w:rsid w:val="004B0EB8"/>
    <w:rsid w:val="004B1AEA"/>
    <w:rsid w:val="004B2340"/>
    <w:rsid w:val="004B2ABD"/>
    <w:rsid w:val="004B4FC0"/>
    <w:rsid w:val="004B56B6"/>
    <w:rsid w:val="004B5C20"/>
    <w:rsid w:val="004B6A80"/>
    <w:rsid w:val="004C09FC"/>
    <w:rsid w:val="004C0E86"/>
    <w:rsid w:val="004C1F1D"/>
    <w:rsid w:val="004C2583"/>
    <w:rsid w:val="004C2B55"/>
    <w:rsid w:val="004C3117"/>
    <w:rsid w:val="004C3386"/>
    <w:rsid w:val="004C3766"/>
    <w:rsid w:val="004C4C6C"/>
    <w:rsid w:val="004C7564"/>
    <w:rsid w:val="004C7E55"/>
    <w:rsid w:val="004D08B0"/>
    <w:rsid w:val="004D0D0F"/>
    <w:rsid w:val="004D1A2B"/>
    <w:rsid w:val="004D1C80"/>
    <w:rsid w:val="004D2BC5"/>
    <w:rsid w:val="004D2CF3"/>
    <w:rsid w:val="004D2DB3"/>
    <w:rsid w:val="004D3B35"/>
    <w:rsid w:val="004D3C36"/>
    <w:rsid w:val="004D4028"/>
    <w:rsid w:val="004D5027"/>
    <w:rsid w:val="004D5839"/>
    <w:rsid w:val="004D5C78"/>
    <w:rsid w:val="004D68F3"/>
    <w:rsid w:val="004D6E8E"/>
    <w:rsid w:val="004D7555"/>
    <w:rsid w:val="004E1275"/>
    <w:rsid w:val="004E22C0"/>
    <w:rsid w:val="004E24E8"/>
    <w:rsid w:val="004E29D0"/>
    <w:rsid w:val="004E4280"/>
    <w:rsid w:val="004E4B81"/>
    <w:rsid w:val="004E5BD0"/>
    <w:rsid w:val="004E645E"/>
    <w:rsid w:val="004E68C0"/>
    <w:rsid w:val="004E73AD"/>
    <w:rsid w:val="004E79B1"/>
    <w:rsid w:val="004E7B85"/>
    <w:rsid w:val="004E7DE4"/>
    <w:rsid w:val="004F0258"/>
    <w:rsid w:val="004F08C7"/>
    <w:rsid w:val="004F0E0D"/>
    <w:rsid w:val="004F124E"/>
    <w:rsid w:val="004F313C"/>
    <w:rsid w:val="004F3930"/>
    <w:rsid w:val="004F515A"/>
    <w:rsid w:val="004F5D41"/>
    <w:rsid w:val="004F632A"/>
    <w:rsid w:val="004F74B0"/>
    <w:rsid w:val="00501E1C"/>
    <w:rsid w:val="00502A86"/>
    <w:rsid w:val="005044C4"/>
    <w:rsid w:val="0050570F"/>
    <w:rsid w:val="00505733"/>
    <w:rsid w:val="00505929"/>
    <w:rsid w:val="0050616E"/>
    <w:rsid w:val="00506DCD"/>
    <w:rsid w:val="00507463"/>
    <w:rsid w:val="005074AC"/>
    <w:rsid w:val="00507A63"/>
    <w:rsid w:val="005103A5"/>
    <w:rsid w:val="00510707"/>
    <w:rsid w:val="005109B0"/>
    <w:rsid w:val="00510DC7"/>
    <w:rsid w:val="00510DF6"/>
    <w:rsid w:val="00511841"/>
    <w:rsid w:val="00511948"/>
    <w:rsid w:val="00511DB1"/>
    <w:rsid w:val="00511EC3"/>
    <w:rsid w:val="00512089"/>
    <w:rsid w:val="00512F52"/>
    <w:rsid w:val="005135B6"/>
    <w:rsid w:val="00514458"/>
    <w:rsid w:val="00515119"/>
    <w:rsid w:val="00515360"/>
    <w:rsid w:val="0051712E"/>
    <w:rsid w:val="00520318"/>
    <w:rsid w:val="00520376"/>
    <w:rsid w:val="0052057D"/>
    <w:rsid w:val="00520A8E"/>
    <w:rsid w:val="00521DD5"/>
    <w:rsid w:val="005220E7"/>
    <w:rsid w:val="005225F1"/>
    <w:rsid w:val="005231DB"/>
    <w:rsid w:val="00524599"/>
    <w:rsid w:val="00524B56"/>
    <w:rsid w:val="00524DFA"/>
    <w:rsid w:val="005272FE"/>
    <w:rsid w:val="005315C8"/>
    <w:rsid w:val="00533434"/>
    <w:rsid w:val="00533BA1"/>
    <w:rsid w:val="00533F01"/>
    <w:rsid w:val="0053435B"/>
    <w:rsid w:val="005343FA"/>
    <w:rsid w:val="00534987"/>
    <w:rsid w:val="00535062"/>
    <w:rsid w:val="00535D41"/>
    <w:rsid w:val="0053649D"/>
    <w:rsid w:val="00537072"/>
    <w:rsid w:val="00537529"/>
    <w:rsid w:val="00537E92"/>
    <w:rsid w:val="005411DB"/>
    <w:rsid w:val="005425D1"/>
    <w:rsid w:val="00542B80"/>
    <w:rsid w:val="00542E32"/>
    <w:rsid w:val="00543B45"/>
    <w:rsid w:val="00544AFD"/>
    <w:rsid w:val="00544CCC"/>
    <w:rsid w:val="00544D0A"/>
    <w:rsid w:val="00546382"/>
    <w:rsid w:val="005466BB"/>
    <w:rsid w:val="0054697F"/>
    <w:rsid w:val="00546B89"/>
    <w:rsid w:val="00547D63"/>
    <w:rsid w:val="00550218"/>
    <w:rsid w:val="005506F9"/>
    <w:rsid w:val="005512DC"/>
    <w:rsid w:val="00552764"/>
    <w:rsid w:val="00553476"/>
    <w:rsid w:val="005534C1"/>
    <w:rsid w:val="00554F9E"/>
    <w:rsid w:val="00556B1A"/>
    <w:rsid w:val="0055752D"/>
    <w:rsid w:val="00557556"/>
    <w:rsid w:val="00557B26"/>
    <w:rsid w:val="0056168A"/>
    <w:rsid w:val="00561922"/>
    <w:rsid w:val="00561C8E"/>
    <w:rsid w:val="00562324"/>
    <w:rsid w:val="005623FC"/>
    <w:rsid w:val="005626A6"/>
    <w:rsid w:val="00562748"/>
    <w:rsid w:val="00562EEA"/>
    <w:rsid w:val="0056305D"/>
    <w:rsid w:val="00564053"/>
    <w:rsid w:val="005648E1"/>
    <w:rsid w:val="005659A3"/>
    <w:rsid w:val="0056600C"/>
    <w:rsid w:val="005664F7"/>
    <w:rsid w:val="0056752E"/>
    <w:rsid w:val="00567662"/>
    <w:rsid w:val="00567D4F"/>
    <w:rsid w:val="00571BCC"/>
    <w:rsid w:val="005739FD"/>
    <w:rsid w:val="00574B5E"/>
    <w:rsid w:val="00576BD8"/>
    <w:rsid w:val="00576DDE"/>
    <w:rsid w:val="00576F85"/>
    <w:rsid w:val="005778B4"/>
    <w:rsid w:val="005815AD"/>
    <w:rsid w:val="00581600"/>
    <w:rsid w:val="00582C84"/>
    <w:rsid w:val="00584197"/>
    <w:rsid w:val="00584708"/>
    <w:rsid w:val="00584A0B"/>
    <w:rsid w:val="00584D47"/>
    <w:rsid w:val="005864C8"/>
    <w:rsid w:val="00587127"/>
    <w:rsid w:val="00587389"/>
    <w:rsid w:val="00587E6E"/>
    <w:rsid w:val="00590871"/>
    <w:rsid w:val="00590C59"/>
    <w:rsid w:val="00590DBD"/>
    <w:rsid w:val="00591C86"/>
    <w:rsid w:val="00591CE6"/>
    <w:rsid w:val="00592314"/>
    <w:rsid w:val="005932E7"/>
    <w:rsid w:val="00593468"/>
    <w:rsid w:val="00593647"/>
    <w:rsid w:val="00593856"/>
    <w:rsid w:val="005945BB"/>
    <w:rsid w:val="005A0434"/>
    <w:rsid w:val="005A0A9A"/>
    <w:rsid w:val="005A0E75"/>
    <w:rsid w:val="005A13C7"/>
    <w:rsid w:val="005A1EB4"/>
    <w:rsid w:val="005A2613"/>
    <w:rsid w:val="005A2F7F"/>
    <w:rsid w:val="005A4E0E"/>
    <w:rsid w:val="005A673A"/>
    <w:rsid w:val="005B0C1F"/>
    <w:rsid w:val="005B0EF9"/>
    <w:rsid w:val="005B2E79"/>
    <w:rsid w:val="005B31A5"/>
    <w:rsid w:val="005B31DB"/>
    <w:rsid w:val="005B5050"/>
    <w:rsid w:val="005B51F2"/>
    <w:rsid w:val="005B533A"/>
    <w:rsid w:val="005B643B"/>
    <w:rsid w:val="005C0122"/>
    <w:rsid w:val="005C01F1"/>
    <w:rsid w:val="005C16BB"/>
    <w:rsid w:val="005C2283"/>
    <w:rsid w:val="005C23AF"/>
    <w:rsid w:val="005C49BE"/>
    <w:rsid w:val="005C4B62"/>
    <w:rsid w:val="005C528B"/>
    <w:rsid w:val="005C5F37"/>
    <w:rsid w:val="005C654B"/>
    <w:rsid w:val="005C7D71"/>
    <w:rsid w:val="005D15A6"/>
    <w:rsid w:val="005D6C52"/>
    <w:rsid w:val="005D7061"/>
    <w:rsid w:val="005D7601"/>
    <w:rsid w:val="005D7A09"/>
    <w:rsid w:val="005D7EAB"/>
    <w:rsid w:val="005E07EE"/>
    <w:rsid w:val="005E0897"/>
    <w:rsid w:val="005E142C"/>
    <w:rsid w:val="005E3FEC"/>
    <w:rsid w:val="005E4381"/>
    <w:rsid w:val="005E657B"/>
    <w:rsid w:val="005E6AD5"/>
    <w:rsid w:val="005E7CED"/>
    <w:rsid w:val="005F038C"/>
    <w:rsid w:val="005F0A74"/>
    <w:rsid w:val="005F0BCC"/>
    <w:rsid w:val="005F1B15"/>
    <w:rsid w:val="005F2D97"/>
    <w:rsid w:val="005F3478"/>
    <w:rsid w:val="005F4C29"/>
    <w:rsid w:val="005F591C"/>
    <w:rsid w:val="006002E8"/>
    <w:rsid w:val="00601229"/>
    <w:rsid w:val="006018E4"/>
    <w:rsid w:val="0060220B"/>
    <w:rsid w:val="0060320D"/>
    <w:rsid w:val="00603BDD"/>
    <w:rsid w:val="0060417D"/>
    <w:rsid w:val="0060424A"/>
    <w:rsid w:val="00604306"/>
    <w:rsid w:val="00604D49"/>
    <w:rsid w:val="00605FB0"/>
    <w:rsid w:val="00606269"/>
    <w:rsid w:val="00607361"/>
    <w:rsid w:val="00607B66"/>
    <w:rsid w:val="00611196"/>
    <w:rsid w:val="006113D0"/>
    <w:rsid w:val="006116C5"/>
    <w:rsid w:val="00614FE7"/>
    <w:rsid w:val="00615C4E"/>
    <w:rsid w:val="00615D6D"/>
    <w:rsid w:val="00615ED7"/>
    <w:rsid w:val="006164A5"/>
    <w:rsid w:val="00616728"/>
    <w:rsid w:val="00617602"/>
    <w:rsid w:val="006207D6"/>
    <w:rsid w:val="00620CC8"/>
    <w:rsid w:val="0062311C"/>
    <w:rsid w:val="006234DE"/>
    <w:rsid w:val="006239EF"/>
    <w:rsid w:val="00623AD0"/>
    <w:rsid w:val="006240DF"/>
    <w:rsid w:val="006255F9"/>
    <w:rsid w:val="00625C9C"/>
    <w:rsid w:val="00626D33"/>
    <w:rsid w:val="006278E7"/>
    <w:rsid w:val="0063066C"/>
    <w:rsid w:val="00630834"/>
    <w:rsid w:val="00630E09"/>
    <w:rsid w:val="0063231B"/>
    <w:rsid w:val="0063245B"/>
    <w:rsid w:val="006324AA"/>
    <w:rsid w:val="00633A46"/>
    <w:rsid w:val="00634F6A"/>
    <w:rsid w:val="006359F3"/>
    <w:rsid w:val="006369FA"/>
    <w:rsid w:val="00636D71"/>
    <w:rsid w:val="0063772C"/>
    <w:rsid w:val="00640B85"/>
    <w:rsid w:val="00640BE9"/>
    <w:rsid w:val="00641171"/>
    <w:rsid w:val="00641394"/>
    <w:rsid w:val="006427FA"/>
    <w:rsid w:val="006449D5"/>
    <w:rsid w:val="00644BAF"/>
    <w:rsid w:val="00646643"/>
    <w:rsid w:val="00647A5A"/>
    <w:rsid w:val="00647F60"/>
    <w:rsid w:val="00650570"/>
    <w:rsid w:val="0065101E"/>
    <w:rsid w:val="00651266"/>
    <w:rsid w:val="00652D59"/>
    <w:rsid w:val="0065360D"/>
    <w:rsid w:val="00657BA2"/>
    <w:rsid w:val="00657BE8"/>
    <w:rsid w:val="00657EEA"/>
    <w:rsid w:val="006607B5"/>
    <w:rsid w:val="00661B5E"/>
    <w:rsid w:val="0066585F"/>
    <w:rsid w:val="006660FA"/>
    <w:rsid w:val="0066661F"/>
    <w:rsid w:val="006674EF"/>
    <w:rsid w:val="00670805"/>
    <w:rsid w:val="00670AE3"/>
    <w:rsid w:val="00670C31"/>
    <w:rsid w:val="006712A7"/>
    <w:rsid w:val="00671709"/>
    <w:rsid w:val="00675874"/>
    <w:rsid w:val="00675F7C"/>
    <w:rsid w:val="0067701D"/>
    <w:rsid w:val="0067760C"/>
    <w:rsid w:val="00677B47"/>
    <w:rsid w:val="00681BD5"/>
    <w:rsid w:val="00683D33"/>
    <w:rsid w:val="00684743"/>
    <w:rsid w:val="00684BDA"/>
    <w:rsid w:val="00684C1F"/>
    <w:rsid w:val="00685ED5"/>
    <w:rsid w:val="00686590"/>
    <w:rsid w:val="00687281"/>
    <w:rsid w:val="00687D32"/>
    <w:rsid w:val="006900CC"/>
    <w:rsid w:val="0069387E"/>
    <w:rsid w:val="0069393F"/>
    <w:rsid w:val="00693AC6"/>
    <w:rsid w:val="00694064"/>
    <w:rsid w:val="0069512F"/>
    <w:rsid w:val="0069521D"/>
    <w:rsid w:val="00695622"/>
    <w:rsid w:val="006966DF"/>
    <w:rsid w:val="006A5533"/>
    <w:rsid w:val="006A5B14"/>
    <w:rsid w:val="006A75D7"/>
    <w:rsid w:val="006B0DFE"/>
    <w:rsid w:val="006B16AF"/>
    <w:rsid w:val="006B215A"/>
    <w:rsid w:val="006B2201"/>
    <w:rsid w:val="006B22DF"/>
    <w:rsid w:val="006B41E1"/>
    <w:rsid w:val="006B43EB"/>
    <w:rsid w:val="006B46D7"/>
    <w:rsid w:val="006B4B1F"/>
    <w:rsid w:val="006B4C29"/>
    <w:rsid w:val="006B507D"/>
    <w:rsid w:val="006B5668"/>
    <w:rsid w:val="006B591A"/>
    <w:rsid w:val="006B728A"/>
    <w:rsid w:val="006C0D18"/>
    <w:rsid w:val="006C0F58"/>
    <w:rsid w:val="006C118C"/>
    <w:rsid w:val="006C26FF"/>
    <w:rsid w:val="006C341F"/>
    <w:rsid w:val="006C5FEA"/>
    <w:rsid w:val="006C60E4"/>
    <w:rsid w:val="006C63F5"/>
    <w:rsid w:val="006C75B8"/>
    <w:rsid w:val="006D015C"/>
    <w:rsid w:val="006D1000"/>
    <w:rsid w:val="006D2678"/>
    <w:rsid w:val="006D44E4"/>
    <w:rsid w:val="006D5136"/>
    <w:rsid w:val="006D5596"/>
    <w:rsid w:val="006D56C3"/>
    <w:rsid w:val="006D7204"/>
    <w:rsid w:val="006D7D53"/>
    <w:rsid w:val="006E014A"/>
    <w:rsid w:val="006E05D4"/>
    <w:rsid w:val="006E1D0D"/>
    <w:rsid w:val="006E1D37"/>
    <w:rsid w:val="006E200B"/>
    <w:rsid w:val="006E433D"/>
    <w:rsid w:val="006E59D9"/>
    <w:rsid w:val="006E5B12"/>
    <w:rsid w:val="006E73F2"/>
    <w:rsid w:val="006E7EED"/>
    <w:rsid w:val="006F0271"/>
    <w:rsid w:val="006F1AFA"/>
    <w:rsid w:val="006F2660"/>
    <w:rsid w:val="006F26AB"/>
    <w:rsid w:val="006F335E"/>
    <w:rsid w:val="006F4063"/>
    <w:rsid w:val="006F43FA"/>
    <w:rsid w:val="006F53DC"/>
    <w:rsid w:val="006F56B5"/>
    <w:rsid w:val="006F574A"/>
    <w:rsid w:val="0070090A"/>
    <w:rsid w:val="0070135D"/>
    <w:rsid w:val="0070136C"/>
    <w:rsid w:val="00701576"/>
    <w:rsid w:val="00701679"/>
    <w:rsid w:val="007026C2"/>
    <w:rsid w:val="0070293A"/>
    <w:rsid w:val="007029F3"/>
    <w:rsid w:val="00702C3A"/>
    <w:rsid w:val="00702F70"/>
    <w:rsid w:val="00703B8A"/>
    <w:rsid w:val="00705193"/>
    <w:rsid w:val="00706621"/>
    <w:rsid w:val="00706B52"/>
    <w:rsid w:val="00710EB3"/>
    <w:rsid w:val="007123D7"/>
    <w:rsid w:val="007167DC"/>
    <w:rsid w:val="00716E91"/>
    <w:rsid w:val="0072182B"/>
    <w:rsid w:val="00722AF0"/>
    <w:rsid w:val="007236DE"/>
    <w:rsid w:val="00723890"/>
    <w:rsid w:val="00724308"/>
    <w:rsid w:val="00726CE9"/>
    <w:rsid w:val="00727659"/>
    <w:rsid w:val="00727893"/>
    <w:rsid w:val="007304E2"/>
    <w:rsid w:val="00730BA0"/>
    <w:rsid w:val="00731832"/>
    <w:rsid w:val="00731D5B"/>
    <w:rsid w:val="0073353C"/>
    <w:rsid w:val="00734B12"/>
    <w:rsid w:val="00734B53"/>
    <w:rsid w:val="00735604"/>
    <w:rsid w:val="00735F2A"/>
    <w:rsid w:val="00737C11"/>
    <w:rsid w:val="00737C37"/>
    <w:rsid w:val="007403ED"/>
    <w:rsid w:val="007422E9"/>
    <w:rsid w:val="00742836"/>
    <w:rsid w:val="00742B0F"/>
    <w:rsid w:val="00742F59"/>
    <w:rsid w:val="007431B1"/>
    <w:rsid w:val="00744BDD"/>
    <w:rsid w:val="00746008"/>
    <w:rsid w:val="007469EF"/>
    <w:rsid w:val="007476EF"/>
    <w:rsid w:val="00750B9B"/>
    <w:rsid w:val="00750DB1"/>
    <w:rsid w:val="007529E8"/>
    <w:rsid w:val="00753F3C"/>
    <w:rsid w:val="007552C0"/>
    <w:rsid w:val="00755DFB"/>
    <w:rsid w:val="00756788"/>
    <w:rsid w:val="00756B2D"/>
    <w:rsid w:val="00756DBF"/>
    <w:rsid w:val="00757C5C"/>
    <w:rsid w:val="007600DF"/>
    <w:rsid w:val="00760703"/>
    <w:rsid w:val="00760CC4"/>
    <w:rsid w:val="00760DA3"/>
    <w:rsid w:val="00760EA7"/>
    <w:rsid w:val="007610CF"/>
    <w:rsid w:val="007613CD"/>
    <w:rsid w:val="00761A7D"/>
    <w:rsid w:val="00762177"/>
    <w:rsid w:val="007629AF"/>
    <w:rsid w:val="00763ADE"/>
    <w:rsid w:val="0076419C"/>
    <w:rsid w:val="00764481"/>
    <w:rsid w:val="00765E8A"/>
    <w:rsid w:val="007663AD"/>
    <w:rsid w:val="00766BD1"/>
    <w:rsid w:val="00767D43"/>
    <w:rsid w:val="007712FC"/>
    <w:rsid w:val="00772676"/>
    <w:rsid w:val="00773A59"/>
    <w:rsid w:val="0077420C"/>
    <w:rsid w:val="00775344"/>
    <w:rsid w:val="00776AA5"/>
    <w:rsid w:val="0077703E"/>
    <w:rsid w:val="0078005F"/>
    <w:rsid w:val="007839E8"/>
    <w:rsid w:val="00784107"/>
    <w:rsid w:val="00784B4C"/>
    <w:rsid w:val="00784C2B"/>
    <w:rsid w:val="00785258"/>
    <w:rsid w:val="007855FF"/>
    <w:rsid w:val="00785614"/>
    <w:rsid w:val="00785F27"/>
    <w:rsid w:val="00790352"/>
    <w:rsid w:val="00790408"/>
    <w:rsid w:val="007928B7"/>
    <w:rsid w:val="00793D20"/>
    <w:rsid w:val="007942C1"/>
    <w:rsid w:val="00794CC9"/>
    <w:rsid w:val="007976CD"/>
    <w:rsid w:val="007A0517"/>
    <w:rsid w:val="007A1B92"/>
    <w:rsid w:val="007A22B0"/>
    <w:rsid w:val="007A2AD2"/>
    <w:rsid w:val="007A3320"/>
    <w:rsid w:val="007A4240"/>
    <w:rsid w:val="007A4794"/>
    <w:rsid w:val="007A4D38"/>
    <w:rsid w:val="007A4F72"/>
    <w:rsid w:val="007A579D"/>
    <w:rsid w:val="007A7FB7"/>
    <w:rsid w:val="007B0B20"/>
    <w:rsid w:val="007B1CDD"/>
    <w:rsid w:val="007B30F5"/>
    <w:rsid w:val="007B334E"/>
    <w:rsid w:val="007B3503"/>
    <w:rsid w:val="007B351C"/>
    <w:rsid w:val="007B3ED4"/>
    <w:rsid w:val="007B42C4"/>
    <w:rsid w:val="007B456B"/>
    <w:rsid w:val="007B5489"/>
    <w:rsid w:val="007B5E30"/>
    <w:rsid w:val="007B70F4"/>
    <w:rsid w:val="007B7371"/>
    <w:rsid w:val="007B7614"/>
    <w:rsid w:val="007C0431"/>
    <w:rsid w:val="007C16EE"/>
    <w:rsid w:val="007C2881"/>
    <w:rsid w:val="007C5714"/>
    <w:rsid w:val="007C666C"/>
    <w:rsid w:val="007C7D0B"/>
    <w:rsid w:val="007D03D7"/>
    <w:rsid w:val="007D26DC"/>
    <w:rsid w:val="007D5CB9"/>
    <w:rsid w:val="007E1599"/>
    <w:rsid w:val="007E1B96"/>
    <w:rsid w:val="007E363E"/>
    <w:rsid w:val="007E5E99"/>
    <w:rsid w:val="007E5EBD"/>
    <w:rsid w:val="007E628D"/>
    <w:rsid w:val="007E6C82"/>
    <w:rsid w:val="007E751A"/>
    <w:rsid w:val="007E788C"/>
    <w:rsid w:val="007F0113"/>
    <w:rsid w:val="007F08DC"/>
    <w:rsid w:val="007F1B26"/>
    <w:rsid w:val="007F22E9"/>
    <w:rsid w:val="007F267F"/>
    <w:rsid w:val="007F29DB"/>
    <w:rsid w:val="007F3DA1"/>
    <w:rsid w:val="007F48A2"/>
    <w:rsid w:val="007F49F6"/>
    <w:rsid w:val="007F4CAB"/>
    <w:rsid w:val="007F52AD"/>
    <w:rsid w:val="007F5A5D"/>
    <w:rsid w:val="007F5D44"/>
    <w:rsid w:val="007F6122"/>
    <w:rsid w:val="007F659B"/>
    <w:rsid w:val="00800ABC"/>
    <w:rsid w:val="00800C8E"/>
    <w:rsid w:val="008015B8"/>
    <w:rsid w:val="008017EB"/>
    <w:rsid w:val="00802C7B"/>
    <w:rsid w:val="00804DA9"/>
    <w:rsid w:val="00805B16"/>
    <w:rsid w:val="00805E32"/>
    <w:rsid w:val="00805FA9"/>
    <w:rsid w:val="00805FFE"/>
    <w:rsid w:val="00806EED"/>
    <w:rsid w:val="0080734D"/>
    <w:rsid w:val="00807764"/>
    <w:rsid w:val="00807E3B"/>
    <w:rsid w:val="00807EA8"/>
    <w:rsid w:val="008102BD"/>
    <w:rsid w:val="00810EE3"/>
    <w:rsid w:val="008110D4"/>
    <w:rsid w:val="00811246"/>
    <w:rsid w:val="00811F89"/>
    <w:rsid w:val="00812890"/>
    <w:rsid w:val="00813693"/>
    <w:rsid w:val="00813875"/>
    <w:rsid w:val="008139F7"/>
    <w:rsid w:val="00813F45"/>
    <w:rsid w:val="0081570C"/>
    <w:rsid w:val="00815BDB"/>
    <w:rsid w:val="0081613F"/>
    <w:rsid w:val="00817B18"/>
    <w:rsid w:val="00817D39"/>
    <w:rsid w:val="0082021E"/>
    <w:rsid w:val="00820436"/>
    <w:rsid w:val="0082061A"/>
    <w:rsid w:val="00821B1D"/>
    <w:rsid w:val="008221BA"/>
    <w:rsid w:val="00823EE1"/>
    <w:rsid w:val="00824B2C"/>
    <w:rsid w:val="00826AE2"/>
    <w:rsid w:val="00826F5C"/>
    <w:rsid w:val="00830B25"/>
    <w:rsid w:val="00830EAD"/>
    <w:rsid w:val="00832001"/>
    <w:rsid w:val="00832182"/>
    <w:rsid w:val="00832CAA"/>
    <w:rsid w:val="00833428"/>
    <w:rsid w:val="008344A7"/>
    <w:rsid w:val="0083608A"/>
    <w:rsid w:val="0083636B"/>
    <w:rsid w:val="008365A2"/>
    <w:rsid w:val="00837054"/>
    <w:rsid w:val="00840D5E"/>
    <w:rsid w:val="008412D9"/>
    <w:rsid w:val="00843A3F"/>
    <w:rsid w:val="00843F50"/>
    <w:rsid w:val="00845601"/>
    <w:rsid w:val="00845B76"/>
    <w:rsid w:val="008475D5"/>
    <w:rsid w:val="008476CB"/>
    <w:rsid w:val="00847C0A"/>
    <w:rsid w:val="008528F5"/>
    <w:rsid w:val="00853536"/>
    <w:rsid w:val="0085470F"/>
    <w:rsid w:val="00854B66"/>
    <w:rsid w:val="00855231"/>
    <w:rsid w:val="008578A0"/>
    <w:rsid w:val="00857A11"/>
    <w:rsid w:val="00857BCB"/>
    <w:rsid w:val="008610F5"/>
    <w:rsid w:val="00861944"/>
    <w:rsid w:val="00861D9F"/>
    <w:rsid w:val="0086261C"/>
    <w:rsid w:val="00864480"/>
    <w:rsid w:val="00864C7C"/>
    <w:rsid w:val="008653E8"/>
    <w:rsid w:val="008657D4"/>
    <w:rsid w:val="00866330"/>
    <w:rsid w:val="0086695D"/>
    <w:rsid w:val="00866B1B"/>
    <w:rsid w:val="0087070E"/>
    <w:rsid w:val="00870DB7"/>
    <w:rsid w:val="00870ED3"/>
    <w:rsid w:val="008711C4"/>
    <w:rsid w:val="008721EE"/>
    <w:rsid w:val="0087365F"/>
    <w:rsid w:val="00875D85"/>
    <w:rsid w:val="00876B1B"/>
    <w:rsid w:val="00876D4E"/>
    <w:rsid w:val="008770C5"/>
    <w:rsid w:val="0087743A"/>
    <w:rsid w:val="00877EF2"/>
    <w:rsid w:val="00880B7E"/>
    <w:rsid w:val="00881BBE"/>
    <w:rsid w:val="008820D8"/>
    <w:rsid w:val="008825E7"/>
    <w:rsid w:val="00882C4C"/>
    <w:rsid w:val="00883048"/>
    <w:rsid w:val="00884E64"/>
    <w:rsid w:val="00885950"/>
    <w:rsid w:val="00886AD9"/>
    <w:rsid w:val="0089169F"/>
    <w:rsid w:val="00891BCC"/>
    <w:rsid w:val="0089379F"/>
    <w:rsid w:val="00893D56"/>
    <w:rsid w:val="00894649"/>
    <w:rsid w:val="00895626"/>
    <w:rsid w:val="00895EA9"/>
    <w:rsid w:val="008967F4"/>
    <w:rsid w:val="00896C22"/>
    <w:rsid w:val="0089789E"/>
    <w:rsid w:val="008A0122"/>
    <w:rsid w:val="008A0B45"/>
    <w:rsid w:val="008A1627"/>
    <w:rsid w:val="008A17B7"/>
    <w:rsid w:val="008A1F95"/>
    <w:rsid w:val="008A2438"/>
    <w:rsid w:val="008A305E"/>
    <w:rsid w:val="008A396C"/>
    <w:rsid w:val="008A4049"/>
    <w:rsid w:val="008A4F0D"/>
    <w:rsid w:val="008A5729"/>
    <w:rsid w:val="008A68C4"/>
    <w:rsid w:val="008B0E22"/>
    <w:rsid w:val="008B1184"/>
    <w:rsid w:val="008B1B3E"/>
    <w:rsid w:val="008B2D4F"/>
    <w:rsid w:val="008B4257"/>
    <w:rsid w:val="008B4DC9"/>
    <w:rsid w:val="008B5073"/>
    <w:rsid w:val="008B639C"/>
    <w:rsid w:val="008B63E1"/>
    <w:rsid w:val="008B65F1"/>
    <w:rsid w:val="008B6839"/>
    <w:rsid w:val="008B74C0"/>
    <w:rsid w:val="008B7A4C"/>
    <w:rsid w:val="008C0070"/>
    <w:rsid w:val="008C068C"/>
    <w:rsid w:val="008C137D"/>
    <w:rsid w:val="008C173B"/>
    <w:rsid w:val="008C178C"/>
    <w:rsid w:val="008C1D3D"/>
    <w:rsid w:val="008C24DA"/>
    <w:rsid w:val="008C271E"/>
    <w:rsid w:val="008C2C45"/>
    <w:rsid w:val="008C41B3"/>
    <w:rsid w:val="008C41CC"/>
    <w:rsid w:val="008C584B"/>
    <w:rsid w:val="008C613B"/>
    <w:rsid w:val="008C62DE"/>
    <w:rsid w:val="008C672A"/>
    <w:rsid w:val="008C6ACC"/>
    <w:rsid w:val="008C6CB3"/>
    <w:rsid w:val="008C7495"/>
    <w:rsid w:val="008C76CE"/>
    <w:rsid w:val="008D0E3D"/>
    <w:rsid w:val="008D126F"/>
    <w:rsid w:val="008D14E4"/>
    <w:rsid w:val="008D267F"/>
    <w:rsid w:val="008D2CF5"/>
    <w:rsid w:val="008D2DAE"/>
    <w:rsid w:val="008D3605"/>
    <w:rsid w:val="008D68BB"/>
    <w:rsid w:val="008E14B6"/>
    <w:rsid w:val="008E2095"/>
    <w:rsid w:val="008E2530"/>
    <w:rsid w:val="008E2E49"/>
    <w:rsid w:val="008E4363"/>
    <w:rsid w:val="008E50E4"/>
    <w:rsid w:val="008E5248"/>
    <w:rsid w:val="008E53B6"/>
    <w:rsid w:val="008E547A"/>
    <w:rsid w:val="008E5A17"/>
    <w:rsid w:val="008E780E"/>
    <w:rsid w:val="008E7814"/>
    <w:rsid w:val="008F14E7"/>
    <w:rsid w:val="008F1704"/>
    <w:rsid w:val="008F276A"/>
    <w:rsid w:val="008F31E2"/>
    <w:rsid w:val="008F3C9A"/>
    <w:rsid w:val="008F415D"/>
    <w:rsid w:val="008F51A7"/>
    <w:rsid w:val="008F524F"/>
    <w:rsid w:val="008F53BA"/>
    <w:rsid w:val="008F61A4"/>
    <w:rsid w:val="008F6A14"/>
    <w:rsid w:val="008F743C"/>
    <w:rsid w:val="008F7514"/>
    <w:rsid w:val="009000F4"/>
    <w:rsid w:val="00900776"/>
    <w:rsid w:val="00900DAF"/>
    <w:rsid w:val="0090160B"/>
    <w:rsid w:val="009058A5"/>
    <w:rsid w:val="00905A2A"/>
    <w:rsid w:val="00905AEF"/>
    <w:rsid w:val="00905B7A"/>
    <w:rsid w:val="009060ED"/>
    <w:rsid w:val="0090651D"/>
    <w:rsid w:val="009106D3"/>
    <w:rsid w:val="00911277"/>
    <w:rsid w:val="0091157A"/>
    <w:rsid w:val="00911A71"/>
    <w:rsid w:val="00911BFF"/>
    <w:rsid w:val="009123FF"/>
    <w:rsid w:val="00912465"/>
    <w:rsid w:val="00912A15"/>
    <w:rsid w:val="0091474A"/>
    <w:rsid w:val="00914CF2"/>
    <w:rsid w:val="009150AD"/>
    <w:rsid w:val="00915274"/>
    <w:rsid w:val="00915939"/>
    <w:rsid w:val="009166D6"/>
    <w:rsid w:val="0091678A"/>
    <w:rsid w:val="00916FEE"/>
    <w:rsid w:val="0092092F"/>
    <w:rsid w:val="00921365"/>
    <w:rsid w:val="009214DF"/>
    <w:rsid w:val="0092199A"/>
    <w:rsid w:val="00921EB4"/>
    <w:rsid w:val="009234AE"/>
    <w:rsid w:val="00923BF1"/>
    <w:rsid w:val="00923DAD"/>
    <w:rsid w:val="00923ED3"/>
    <w:rsid w:val="00923FE4"/>
    <w:rsid w:val="00924C16"/>
    <w:rsid w:val="009250B0"/>
    <w:rsid w:val="00926055"/>
    <w:rsid w:val="00927A24"/>
    <w:rsid w:val="00927CA0"/>
    <w:rsid w:val="0093081B"/>
    <w:rsid w:val="00931366"/>
    <w:rsid w:val="009321F7"/>
    <w:rsid w:val="009325DE"/>
    <w:rsid w:val="00933D73"/>
    <w:rsid w:val="0093492B"/>
    <w:rsid w:val="009349F8"/>
    <w:rsid w:val="00934B53"/>
    <w:rsid w:val="00935F45"/>
    <w:rsid w:val="009367C9"/>
    <w:rsid w:val="009369A8"/>
    <w:rsid w:val="009375DD"/>
    <w:rsid w:val="00937841"/>
    <w:rsid w:val="00937F13"/>
    <w:rsid w:val="00941702"/>
    <w:rsid w:val="0094189D"/>
    <w:rsid w:val="00942E16"/>
    <w:rsid w:val="00942EE1"/>
    <w:rsid w:val="009437D6"/>
    <w:rsid w:val="00944403"/>
    <w:rsid w:val="00947494"/>
    <w:rsid w:val="00947877"/>
    <w:rsid w:val="00950814"/>
    <w:rsid w:val="00951090"/>
    <w:rsid w:val="00951EB5"/>
    <w:rsid w:val="00951FCB"/>
    <w:rsid w:val="00952187"/>
    <w:rsid w:val="00952C77"/>
    <w:rsid w:val="00953CCF"/>
    <w:rsid w:val="00954373"/>
    <w:rsid w:val="00954AB1"/>
    <w:rsid w:val="00955264"/>
    <w:rsid w:val="00955D8A"/>
    <w:rsid w:val="00956B3B"/>
    <w:rsid w:val="00960044"/>
    <w:rsid w:val="00961589"/>
    <w:rsid w:val="00961F83"/>
    <w:rsid w:val="009642B9"/>
    <w:rsid w:val="00965AF7"/>
    <w:rsid w:val="00965BA8"/>
    <w:rsid w:val="009662A1"/>
    <w:rsid w:val="00966743"/>
    <w:rsid w:val="0096751D"/>
    <w:rsid w:val="00970A88"/>
    <w:rsid w:val="0097123B"/>
    <w:rsid w:val="00971A17"/>
    <w:rsid w:val="00971F5C"/>
    <w:rsid w:val="0097242C"/>
    <w:rsid w:val="00972B3E"/>
    <w:rsid w:val="009749F7"/>
    <w:rsid w:val="00976582"/>
    <w:rsid w:val="00976B27"/>
    <w:rsid w:val="00976F6E"/>
    <w:rsid w:val="00980585"/>
    <w:rsid w:val="009818DC"/>
    <w:rsid w:val="009826CC"/>
    <w:rsid w:val="009827B5"/>
    <w:rsid w:val="00982AD9"/>
    <w:rsid w:val="00983117"/>
    <w:rsid w:val="00984C5A"/>
    <w:rsid w:val="0098710F"/>
    <w:rsid w:val="009877B6"/>
    <w:rsid w:val="00990C7C"/>
    <w:rsid w:val="009917C1"/>
    <w:rsid w:val="0099587B"/>
    <w:rsid w:val="00995A9C"/>
    <w:rsid w:val="00995B60"/>
    <w:rsid w:val="0099601F"/>
    <w:rsid w:val="00996A24"/>
    <w:rsid w:val="00996D48"/>
    <w:rsid w:val="00996DAA"/>
    <w:rsid w:val="009975AB"/>
    <w:rsid w:val="0099769B"/>
    <w:rsid w:val="009979E8"/>
    <w:rsid w:val="00997A2F"/>
    <w:rsid w:val="009A16EC"/>
    <w:rsid w:val="009A1968"/>
    <w:rsid w:val="009A1F2D"/>
    <w:rsid w:val="009A25C9"/>
    <w:rsid w:val="009A2EDA"/>
    <w:rsid w:val="009A3103"/>
    <w:rsid w:val="009A3F8B"/>
    <w:rsid w:val="009A6C02"/>
    <w:rsid w:val="009B0C1B"/>
    <w:rsid w:val="009B0FD9"/>
    <w:rsid w:val="009B1D6D"/>
    <w:rsid w:val="009B20EA"/>
    <w:rsid w:val="009B3FE8"/>
    <w:rsid w:val="009B479F"/>
    <w:rsid w:val="009B4D35"/>
    <w:rsid w:val="009B6DE6"/>
    <w:rsid w:val="009B797E"/>
    <w:rsid w:val="009C262E"/>
    <w:rsid w:val="009C2A0C"/>
    <w:rsid w:val="009C3654"/>
    <w:rsid w:val="009C4E73"/>
    <w:rsid w:val="009C5F62"/>
    <w:rsid w:val="009C62B8"/>
    <w:rsid w:val="009C7140"/>
    <w:rsid w:val="009C7EEC"/>
    <w:rsid w:val="009D0D4A"/>
    <w:rsid w:val="009D13DF"/>
    <w:rsid w:val="009D27C7"/>
    <w:rsid w:val="009D3FBF"/>
    <w:rsid w:val="009D570C"/>
    <w:rsid w:val="009D5BFD"/>
    <w:rsid w:val="009D5E5C"/>
    <w:rsid w:val="009D6004"/>
    <w:rsid w:val="009D698B"/>
    <w:rsid w:val="009D70AD"/>
    <w:rsid w:val="009D7475"/>
    <w:rsid w:val="009D7F05"/>
    <w:rsid w:val="009D7FB3"/>
    <w:rsid w:val="009E032B"/>
    <w:rsid w:val="009E0643"/>
    <w:rsid w:val="009E0F62"/>
    <w:rsid w:val="009E2191"/>
    <w:rsid w:val="009E29D5"/>
    <w:rsid w:val="009E3B6F"/>
    <w:rsid w:val="009E41BE"/>
    <w:rsid w:val="009E42D4"/>
    <w:rsid w:val="009E55DB"/>
    <w:rsid w:val="009E56F8"/>
    <w:rsid w:val="009E5D0F"/>
    <w:rsid w:val="009E5E27"/>
    <w:rsid w:val="009E5E6A"/>
    <w:rsid w:val="009E6E82"/>
    <w:rsid w:val="009E7A5B"/>
    <w:rsid w:val="009E7EF6"/>
    <w:rsid w:val="009F0971"/>
    <w:rsid w:val="009F13BF"/>
    <w:rsid w:val="009F2217"/>
    <w:rsid w:val="009F4CD2"/>
    <w:rsid w:val="009F511C"/>
    <w:rsid w:val="009F51C9"/>
    <w:rsid w:val="009F5B96"/>
    <w:rsid w:val="009F661D"/>
    <w:rsid w:val="009F6D78"/>
    <w:rsid w:val="00A00A38"/>
    <w:rsid w:val="00A01323"/>
    <w:rsid w:val="00A01BFB"/>
    <w:rsid w:val="00A01CBA"/>
    <w:rsid w:val="00A01F76"/>
    <w:rsid w:val="00A0213A"/>
    <w:rsid w:val="00A025E4"/>
    <w:rsid w:val="00A02846"/>
    <w:rsid w:val="00A02C9A"/>
    <w:rsid w:val="00A0676C"/>
    <w:rsid w:val="00A071C3"/>
    <w:rsid w:val="00A07B89"/>
    <w:rsid w:val="00A07CA8"/>
    <w:rsid w:val="00A10B66"/>
    <w:rsid w:val="00A110BD"/>
    <w:rsid w:val="00A13B55"/>
    <w:rsid w:val="00A13B65"/>
    <w:rsid w:val="00A14BAA"/>
    <w:rsid w:val="00A155B3"/>
    <w:rsid w:val="00A163F7"/>
    <w:rsid w:val="00A202B5"/>
    <w:rsid w:val="00A20F1B"/>
    <w:rsid w:val="00A21F4B"/>
    <w:rsid w:val="00A21FA0"/>
    <w:rsid w:val="00A22B97"/>
    <w:rsid w:val="00A22D71"/>
    <w:rsid w:val="00A24128"/>
    <w:rsid w:val="00A25F2D"/>
    <w:rsid w:val="00A2635B"/>
    <w:rsid w:val="00A27644"/>
    <w:rsid w:val="00A303D3"/>
    <w:rsid w:val="00A303D5"/>
    <w:rsid w:val="00A31364"/>
    <w:rsid w:val="00A313B5"/>
    <w:rsid w:val="00A32006"/>
    <w:rsid w:val="00A32400"/>
    <w:rsid w:val="00A32B79"/>
    <w:rsid w:val="00A32DD9"/>
    <w:rsid w:val="00A34875"/>
    <w:rsid w:val="00A34D98"/>
    <w:rsid w:val="00A35CD7"/>
    <w:rsid w:val="00A35E94"/>
    <w:rsid w:val="00A35F36"/>
    <w:rsid w:val="00A36092"/>
    <w:rsid w:val="00A37656"/>
    <w:rsid w:val="00A378B7"/>
    <w:rsid w:val="00A40B5B"/>
    <w:rsid w:val="00A41091"/>
    <w:rsid w:val="00A412A4"/>
    <w:rsid w:val="00A4286B"/>
    <w:rsid w:val="00A42F51"/>
    <w:rsid w:val="00A42FC7"/>
    <w:rsid w:val="00A43D21"/>
    <w:rsid w:val="00A44A64"/>
    <w:rsid w:val="00A4579D"/>
    <w:rsid w:val="00A46B09"/>
    <w:rsid w:val="00A46BA0"/>
    <w:rsid w:val="00A46D61"/>
    <w:rsid w:val="00A500EC"/>
    <w:rsid w:val="00A50A56"/>
    <w:rsid w:val="00A50D1C"/>
    <w:rsid w:val="00A5108D"/>
    <w:rsid w:val="00A5265E"/>
    <w:rsid w:val="00A5281B"/>
    <w:rsid w:val="00A549A7"/>
    <w:rsid w:val="00A55407"/>
    <w:rsid w:val="00A5741D"/>
    <w:rsid w:val="00A57D8B"/>
    <w:rsid w:val="00A61054"/>
    <w:rsid w:val="00A64700"/>
    <w:rsid w:val="00A64892"/>
    <w:rsid w:val="00A65539"/>
    <w:rsid w:val="00A65647"/>
    <w:rsid w:val="00A65895"/>
    <w:rsid w:val="00A66340"/>
    <w:rsid w:val="00A665FA"/>
    <w:rsid w:val="00A66BF9"/>
    <w:rsid w:val="00A67223"/>
    <w:rsid w:val="00A70B55"/>
    <w:rsid w:val="00A72714"/>
    <w:rsid w:val="00A7292C"/>
    <w:rsid w:val="00A729CD"/>
    <w:rsid w:val="00A72A5B"/>
    <w:rsid w:val="00A72CBF"/>
    <w:rsid w:val="00A7300D"/>
    <w:rsid w:val="00A736F5"/>
    <w:rsid w:val="00A7424E"/>
    <w:rsid w:val="00A818E8"/>
    <w:rsid w:val="00A82521"/>
    <w:rsid w:val="00A82DB7"/>
    <w:rsid w:val="00A83E2B"/>
    <w:rsid w:val="00A83ECC"/>
    <w:rsid w:val="00A848A4"/>
    <w:rsid w:val="00A85BA7"/>
    <w:rsid w:val="00A8646D"/>
    <w:rsid w:val="00A86D60"/>
    <w:rsid w:val="00A871D9"/>
    <w:rsid w:val="00A9066E"/>
    <w:rsid w:val="00A90950"/>
    <w:rsid w:val="00A90B0D"/>
    <w:rsid w:val="00A90B26"/>
    <w:rsid w:val="00A91C50"/>
    <w:rsid w:val="00A9377F"/>
    <w:rsid w:val="00A94364"/>
    <w:rsid w:val="00A94A42"/>
    <w:rsid w:val="00A94D6E"/>
    <w:rsid w:val="00A9569C"/>
    <w:rsid w:val="00A95CD6"/>
    <w:rsid w:val="00A976AD"/>
    <w:rsid w:val="00AA0451"/>
    <w:rsid w:val="00AA1505"/>
    <w:rsid w:val="00AA15DF"/>
    <w:rsid w:val="00AA4BA3"/>
    <w:rsid w:val="00AA67FD"/>
    <w:rsid w:val="00AA6F97"/>
    <w:rsid w:val="00AA714B"/>
    <w:rsid w:val="00AB0254"/>
    <w:rsid w:val="00AB07FB"/>
    <w:rsid w:val="00AB1A08"/>
    <w:rsid w:val="00AB1A56"/>
    <w:rsid w:val="00AB2392"/>
    <w:rsid w:val="00AB239A"/>
    <w:rsid w:val="00AB35C6"/>
    <w:rsid w:val="00AB4078"/>
    <w:rsid w:val="00AB4A18"/>
    <w:rsid w:val="00AB4B8A"/>
    <w:rsid w:val="00AB541D"/>
    <w:rsid w:val="00AB5443"/>
    <w:rsid w:val="00AB58EB"/>
    <w:rsid w:val="00AB6B5E"/>
    <w:rsid w:val="00AC0070"/>
    <w:rsid w:val="00AC145E"/>
    <w:rsid w:val="00AC199A"/>
    <w:rsid w:val="00AC1B9C"/>
    <w:rsid w:val="00AC21D7"/>
    <w:rsid w:val="00AC4A74"/>
    <w:rsid w:val="00AC4F09"/>
    <w:rsid w:val="00AC5A0E"/>
    <w:rsid w:val="00AC6F3A"/>
    <w:rsid w:val="00AD2973"/>
    <w:rsid w:val="00AD62C6"/>
    <w:rsid w:val="00AD7653"/>
    <w:rsid w:val="00AD7FB5"/>
    <w:rsid w:val="00AE0F42"/>
    <w:rsid w:val="00AE1334"/>
    <w:rsid w:val="00AE2068"/>
    <w:rsid w:val="00AE25C0"/>
    <w:rsid w:val="00AE2EEF"/>
    <w:rsid w:val="00AE332A"/>
    <w:rsid w:val="00AE3AD4"/>
    <w:rsid w:val="00AE413E"/>
    <w:rsid w:val="00AE438A"/>
    <w:rsid w:val="00AE5B99"/>
    <w:rsid w:val="00AE629B"/>
    <w:rsid w:val="00AE6C3C"/>
    <w:rsid w:val="00AF0BC9"/>
    <w:rsid w:val="00AF22A3"/>
    <w:rsid w:val="00AF2380"/>
    <w:rsid w:val="00AF34EC"/>
    <w:rsid w:val="00AF3730"/>
    <w:rsid w:val="00AF4249"/>
    <w:rsid w:val="00AF4EF1"/>
    <w:rsid w:val="00AF6F74"/>
    <w:rsid w:val="00AF7765"/>
    <w:rsid w:val="00AF7C49"/>
    <w:rsid w:val="00B02D63"/>
    <w:rsid w:val="00B031D0"/>
    <w:rsid w:val="00B045B4"/>
    <w:rsid w:val="00B04B66"/>
    <w:rsid w:val="00B05599"/>
    <w:rsid w:val="00B06AB1"/>
    <w:rsid w:val="00B06D46"/>
    <w:rsid w:val="00B07B1F"/>
    <w:rsid w:val="00B110D0"/>
    <w:rsid w:val="00B11E6E"/>
    <w:rsid w:val="00B13B07"/>
    <w:rsid w:val="00B13B49"/>
    <w:rsid w:val="00B154C4"/>
    <w:rsid w:val="00B15734"/>
    <w:rsid w:val="00B167F9"/>
    <w:rsid w:val="00B22604"/>
    <w:rsid w:val="00B2305E"/>
    <w:rsid w:val="00B23390"/>
    <w:rsid w:val="00B23B32"/>
    <w:rsid w:val="00B23D31"/>
    <w:rsid w:val="00B240A5"/>
    <w:rsid w:val="00B25A61"/>
    <w:rsid w:val="00B264E5"/>
    <w:rsid w:val="00B301EE"/>
    <w:rsid w:val="00B303A6"/>
    <w:rsid w:val="00B30495"/>
    <w:rsid w:val="00B30501"/>
    <w:rsid w:val="00B311CD"/>
    <w:rsid w:val="00B32C52"/>
    <w:rsid w:val="00B338F3"/>
    <w:rsid w:val="00B33AFA"/>
    <w:rsid w:val="00B34016"/>
    <w:rsid w:val="00B34448"/>
    <w:rsid w:val="00B352F0"/>
    <w:rsid w:val="00B35497"/>
    <w:rsid w:val="00B36517"/>
    <w:rsid w:val="00B36951"/>
    <w:rsid w:val="00B36C58"/>
    <w:rsid w:val="00B36DB0"/>
    <w:rsid w:val="00B3769B"/>
    <w:rsid w:val="00B378BF"/>
    <w:rsid w:val="00B4189B"/>
    <w:rsid w:val="00B4210E"/>
    <w:rsid w:val="00B4227E"/>
    <w:rsid w:val="00B4238A"/>
    <w:rsid w:val="00B445A8"/>
    <w:rsid w:val="00B44AC2"/>
    <w:rsid w:val="00B46648"/>
    <w:rsid w:val="00B46A96"/>
    <w:rsid w:val="00B47A18"/>
    <w:rsid w:val="00B51A47"/>
    <w:rsid w:val="00B51D42"/>
    <w:rsid w:val="00B5301F"/>
    <w:rsid w:val="00B5383B"/>
    <w:rsid w:val="00B5388F"/>
    <w:rsid w:val="00B60571"/>
    <w:rsid w:val="00B6158F"/>
    <w:rsid w:val="00B6206E"/>
    <w:rsid w:val="00B6263D"/>
    <w:rsid w:val="00B62CAE"/>
    <w:rsid w:val="00B63EDB"/>
    <w:rsid w:val="00B64357"/>
    <w:rsid w:val="00B65A3D"/>
    <w:rsid w:val="00B66061"/>
    <w:rsid w:val="00B669AB"/>
    <w:rsid w:val="00B67E0B"/>
    <w:rsid w:val="00B7037C"/>
    <w:rsid w:val="00B70D08"/>
    <w:rsid w:val="00B72CA2"/>
    <w:rsid w:val="00B73B69"/>
    <w:rsid w:val="00B74478"/>
    <w:rsid w:val="00B758E1"/>
    <w:rsid w:val="00B760E7"/>
    <w:rsid w:val="00B77BB5"/>
    <w:rsid w:val="00B800A1"/>
    <w:rsid w:val="00B809A7"/>
    <w:rsid w:val="00B80C26"/>
    <w:rsid w:val="00B80FB5"/>
    <w:rsid w:val="00B8294E"/>
    <w:rsid w:val="00B82C5C"/>
    <w:rsid w:val="00B82D5C"/>
    <w:rsid w:val="00B83201"/>
    <w:rsid w:val="00B833A5"/>
    <w:rsid w:val="00B84E83"/>
    <w:rsid w:val="00B8650C"/>
    <w:rsid w:val="00B86CCD"/>
    <w:rsid w:val="00B87849"/>
    <w:rsid w:val="00B91321"/>
    <w:rsid w:val="00B91412"/>
    <w:rsid w:val="00B92851"/>
    <w:rsid w:val="00B93BB1"/>
    <w:rsid w:val="00B93EF9"/>
    <w:rsid w:val="00B94E19"/>
    <w:rsid w:val="00B97A11"/>
    <w:rsid w:val="00BA4968"/>
    <w:rsid w:val="00BA4E28"/>
    <w:rsid w:val="00BA7215"/>
    <w:rsid w:val="00BA7AD3"/>
    <w:rsid w:val="00BA7E3F"/>
    <w:rsid w:val="00BB0F8F"/>
    <w:rsid w:val="00BB2748"/>
    <w:rsid w:val="00BB2B96"/>
    <w:rsid w:val="00BB3269"/>
    <w:rsid w:val="00BB3364"/>
    <w:rsid w:val="00BB356F"/>
    <w:rsid w:val="00BB3746"/>
    <w:rsid w:val="00BB3FF8"/>
    <w:rsid w:val="00BB642C"/>
    <w:rsid w:val="00BB6A2F"/>
    <w:rsid w:val="00BB77EF"/>
    <w:rsid w:val="00BC0705"/>
    <w:rsid w:val="00BC0A11"/>
    <w:rsid w:val="00BC3944"/>
    <w:rsid w:val="00BC39E7"/>
    <w:rsid w:val="00BC4733"/>
    <w:rsid w:val="00BC5015"/>
    <w:rsid w:val="00BC556F"/>
    <w:rsid w:val="00BC5B5B"/>
    <w:rsid w:val="00BC7816"/>
    <w:rsid w:val="00BC7DFF"/>
    <w:rsid w:val="00BC7F5A"/>
    <w:rsid w:val="00BD21EA"/>
    <w:rsid w:val="00BD2605"/>
    <w:rsid w:val="00BD2C02"/>
    <w:rsid w:val="00BD2E48"/>
    <w:rsid w:val="00BD402A"/>
    <w:rsid w:val="00BD52B3"/>
    <w:rsid w:val="00BD576F"/>
    <w:rsid w:val="00BD72DA"/>
    <w:rsid w:val="00BE0146"/>
    <w:rsid w:val="00BE0C69"/>
    <w:rsid w:val="00BE1707"/>
    <w:rsid w:val="00BE434A"/>
    <w:rsid w:val="00BE48D7"/>
    <w:rsid w:val="00BE6EF8"/>
    <w:rsid w:val="00BF0FDB"/>
    <w:rsid w:val="00BF25B2"/>
    <w:rsid w:val="00BF2EF9"/>
    <w:rsid w:val="00BF45EC"/>
    <w:rsid w:val="00BF4D53"/>
    <w:rsid w:val="00BF5F27"/>
    <w:rsid w:val="00BF76EB"/>
    <w:rsid w:val="00BF7918"/>
    <w:rsid w:val="00BF7F4F"/>
    <w:rsid w:val="00C0022A"/>
    <w:rsid w:val="00C00388"/>
    <w:rsid w:val="00C00F86"/>
    <w:rsid w:val="00C01E91"/>
    <w:rsid w:val="00C01FBD"/>
    <w:rsid w:val="00C0204A"/>
    <w:rsid w:val="00C022DA"/>
    <w:rsid w:val="00C03135"/>
    <w:rsid w:val="00C0391B"/>
    <w:rsid w:val="00C03E19"/>
    <w:rsid w:val="00C0501D"/>
    <w:rsid w:val="00C0558A"/>
    <w:rsid w:val="00C0590A"/>
    <w:rsid w:val="00C06311"/>
    <w:rsid w:val="00C06F9C"/>
    <w:rsid w:val="00C07688"/>
    <w:rsid w:val="00C07839"/>
    <w:rsid w:val="00C10472"/>
    <w:rsid w:val="00C11F64"/>
    <w:rsid w:val="00C121A5"/>
    <w:rsid w:val="00C13036"/>
    <w:rsid w:val="00C14601"/>
    <w:rsid w:val="00C14BB1"/>
    <w:rsid w:val="00C1540A"/>
    <w:rsid w:val="00C17877"/>
    <w:rsid w:val="00C17FE9"/>
    <w:rsid w:val="00C20128"/>
    <w:rsid w:val="00C20FDA"/>
    <w:rsid w:val="00C22B33"/>
    <w:rsid w:val="00C23C4B"/>
    <w:rsid w:val="00C24B45"/>
    <w:rsid w:val="00C24FEB"/>
    <w:rsid w:val="00C25568"/>
    <w:rsid w:val="00C25D94"/>
    <w:rsid w:val="00C26644"/>
    <w:rsid w:val="00C306E3"/>
    <w:rsid w:val="00C30ECA"/>
    <w:rsid w:val="00C317EE"/>
    <w:rsid w:val="00C32FC5"/>
    <w:rsid w:val="00C33423"/>
    <w:rsid w:val="00C34411"/>
    <w:rsid w:val="00C3643D"/>
    <w:rsid w:val="00C36A6B"/>
    <w:rsid w:val="00C41D17"/>
    <w:rsid w:val="00C42684"/>
    <w:rsid w:val="00C42AD2"/>
    <w:rsid w:val="00C43102"/>
    <w:rsid w:val="00C43F75"/>
    <w:rsid w:val="00C44493"/>
    <w:rsid w:val="00C44C07"/>
    <w:rsid w:val="00C45A1A"/>
    <w:rsid w:val="00C45B65"/>
    <w:rsid w:val="00C45E95"/>
    <w:rsid w:val="00C463B2"/>
    <w:rsid w:val="00C47436"/>
    <w:rsid w:val="00C476A5"/>
    <w:rsid w:val="00C515CD"/>
    <w:rsid w:val="00C516DF"/>
    <w:rsid w:val="00C51A96"/>
    <w:rsid w:val="00C51F57"/>
    <w:rsid w:val="00C51FF2"/>
    <w:rsid w:val="00C52286"/>
    <w:rsid w:val="00C52654"/>
    <w:rsid w:val="00C5423E"/>
    <w:rsid w:val="00C54ADB"/>
    <w:rsid w:val="00C550BA"/>
    <w:rsid w:val="00C55D61"/>
    <w:rsid w:val="00C575F1"/>
    <w:rsid w:val="00C601BD"/>
    <w:rsid w:val="00C60C59"/>
    <w:rsid w:val="00C61366"/>
    <w:rsid w:val="00C61379"/>
    <w:rsid w:val="00C61960"/>
    <w:rsid w:val="00C629B5"/>
    <w:rsid w:val="00C62A4D"/>
    <w:rsid w:val="00C63690"/>
    <w:rsid w:val="00C651E1"/>
    <w:rsid w:val="00C665CA"/>
    <w:rsid w:val="00C6761A"/>
    <w:rsid w:val="00C7029D"/>
    <w:rsid w:val="00C71208"/>
    <w:rsid w:val="00C72297"/>
    <w:rsid w:val="00C729EB"/>
    <w:rsid w:val="00C749B8"/>
    <w:rsid w:val="00C7613D"/>
    <w:rsid w:val="00C7641D"/>
    <w:rsid w:val="00C77D5F"/>
    <w:rsid w:val="00C815CE"/>
    <w:rsid w:val="00C8171C"/>
    <w:rsid w:val="00C81D04"/>
    <w:rsid w:val="00C82AE1"/>
    <w:rsid w:val="00C82DB9"/>
    <w:rsid w:val="00C83053"/>
    <w:rsid w:val="00C838EC"/>
    <w:rsid w:val="00C83FBA"/>
    <w:rsid w:val="00C84D27"/>
    <w:rsid w:val="00C87F85"/>
    <w:rsid w:val="00C90785"/>
    <w:rsid w:val="00C90EED"/>
    <w:rsid w:val="00C90F01"/>
    <w:rsid w:val="00C9109E"/>
    <w:rsid w:val="00C91943"/>
    <w:rsid w:val="00C92001"/>
    <w:rsid w:val="00C922AA"/>
    <w:rsid w:val="00C92455"/>
    <w:rsid w:val="00C93887"/>
    <w:rsid w:val="00C94399"/>
    <w:rsid w:val="00C944F4"/>
    <w:rsid w:val="00C94C7D"/>
    <w:rsid w:val="00C94EE2"/>
    <w:rsid w:val="00C95197"/>
    <w:rsid w:val="00C95942"/>
    <w:rsid w:val="00C95F25"/>
    <w:rsid w:val="00CA1E23"/>
    <w:rsid w:val="00CA2E82"/>
    <w:rsid w:val="00CA31FD"/>
    <w:rsid w:val="00CA34B6"/>
    <w:rsid w:val="00CA4833"/>
    <w:rsid w:val="00CA491F"/>
    <w:rsid w:val="00CA5061"/>
    <w:rsid w:val="00CA573B"/>
    <w:rsid w:val="00CA7B77"/>
    <w:rsid w:val="00CB011C"/>
    <w:rsid w:val="00CB15E6"/>
    <w:rsid w:val="00CB1BD0"/>
    <w:rsid w:val="00CB213B"/>
    <w:rsid w:val="00CB386C"/>
    <w:rsid w:val="00CB3B75"/>
    <w:rsid w:val="00CB3E45"/>
    <w:rsid w:val="00CB52C3"/>
    <w:rsid w:val="00CB5860"/>
    <w:rsid w:val="00CB6701"/>
    <w:rsid w:val="00CB72C2"/>
    <w:rsid w:val="00CC0F0A"/>
    <w:rsid w:val="00CC0FB8"/>
    <w:rsid w:val="00CC1108"/>
    <w:rsid w:val="00CC1A8C"/>
    <w:rsid w:val="00CC2486"/>
    <w:rsid w:val="00CC3066"/>
    <w:rsid w:val="00CC35C8"/>
    <w:rsid w:val="00CC4586"/>
    <w:rsid w:val="00CC499E"/>
    <w:rsid w:val="00CC57D2"/>
    <w:rsid w:val="00CD20F1"/>
    <w:rsid w:val="00CD2F38"/>
    <w:rsid w:val="00CD357F"/>
    <w:rsid w:val="00CD5A34"/>
    <w:rsid w:val="00CD6BFD"/>
    <w:rsid w:val="00CD75EA"/>
    <w:rsid w:val="00CD7A22"/>
    <w:rsid w:val="00CE0D18"/>
    <w:rsid w:val="00CE14CD"/>
    <w:rsid w:val="00CE1D11"/>
    <w:rsid w:val="00CE1F1A"/>
    <w:rsid w:val="00CE2369"/>
    <w:rsid w:val="00CE4409"/>
    <w:rsid w:val="00CE5872"/>
    <w:rsid w:val="00CE5D58"/>
    <w:rsid w:val="00CF060D"/>
    <w:rsid w:val="00CF0C4E"/>
    <w:rsid w:val="00CF107F"/>
    <w:rsid w:val="00CF13BA"/>
    <w:rsid w:val="00CF3238"/>
    <w:rsid w:val="00CF494F"/>
    <w:rsid w:val="00CF58A2"/>
    <w:rsid w:val="00CF596F"/>
    <w:rsid w:val="00CF59D9"/>
    <w:rsid w:val="00CF6153"/>
    <w:rsid w:val="00CF6230"/>
    <w:rsid w:val="00CF69A9"/>
    <w:rsid w:val="00CF6AF8"/>
    <w:rsid w:val="00CF6E3C"/>
    <w:rsid w:val="00CF7182"/>
    <w:rsid w:val="00D01124"/>
    <w:rsid w:val="00D0113E"/>
    <w:rsid w:val="00D01B66"/>
    <w:rsid w:val="00D047AE"/>
    <w:rsid w:val="00D04B79"/>
    <w:rsid w:val="00D07797"/>
    <w:rsid w:val="00D07AB9"/>
    <w:rsid w:val="00D1065B"/>
    <w:rsid w:val="00D10789"/>
    <w:rsid w:val="00D108BA"/>
    <w:rsid w:val="00D11BB8"/>
    <w:rsid w:val="00D12891"/>
    <w:rsid w:val="00D131E2"/>
    <w:rsid w:val="00D13788"/>
    <w:rsid w:val="00D13E59"/>
    <w:rsid w:val="00D13EBA"/>
    <w:rsid w:val="00D13EFC"/>
    <w:rsid w:val="00D14460"/>
    <w:rsid w:val="00D148E5"/>
    <w:rsid w:val="00D14AF7"/>
    <w:rsid w:val="00D15CEB"/>
    <w:rsid w:val="00D206EE"/>
    <w:rsid w:val="00D21ED0"/>
    <w:rsid w:val="00D223BA"/>
    <w:rsid w:val="00D23C00"/>
    <w:rsid w:val="00D24203"/>
    <w:rsid w:val="00D245F0"/>
    <w:rsid w:val="00D24708"/>
    <w:rsid w:val="00D248DD"/>
    <w:rsid w:val="00D25EF8"/>
    <w:rsid w:val="00D26A75"/>
    <w:rsid w:val="00D30BD0"/>
    <w:rsid w:val="00D31C28"/>
    <w:rsid w:val="00D31EDC"/>
    <w:rsid w:val="00D329FE"/>
    <w:rsid w:val="00D32A5C"/>
    <w:rsid w:val="00D32D1B"/>
    <w:rsid w:val="00D33449"/>
    <w:rsid w:val="00D33786"/>
    <w:rsid w:val="00D33D69"/>
    <w:rsid w:val="00D33FB0"/>
    <w:rsid w:val="00D34C03"/>
    <w:rsid w:val="00D353F6"/>
    <w:rsid w:val="00D35898"/>
    <w:rsid w:val="00D3683A"/>
    <w:rsid w:val="00D36D7C"/>
    <w:rsid w:val="00D36F13"/>
    <w:rsid w:val="00D3702D"/>
    <w:rsid w:val="00D370D3"/>
    <w:rsid w:val="00D37815"/>
    <w:rsid w:val="00D37A30"/>
    <w:rsid w:val="00D402DB"/>
    <w:rsid w:val="00D40477"/>
    <w:rsid w:val="00D40CE8"/>
    <w:rsid w:val="00D42786"/>
    <w:rsid w:val="00D4287C"/>
    <w:rsid w:val="00D440D3"/>
    <w:rsid w:val="00D443AB"/>
    <w:rsid w:val="00D46240"/>
    <w:rsid w:val="00D468DC"/>
    <w:rsid w:val="00D470DB"/>
    <w:rsid w:val="00D50847"/>
    <w:rsid w:val="00D5100C"/>
    <w:rsid w:val="00D51169"/>
    <w:rsid w:val="00D516E1"/>
    <w:rsid w:val="00D52749"/>
    <w:rsid w:val="00D52E21"/>
    <w:rsid w:val="00D53A47"/>
    <w:rsid w:val="00D53E46"/>
    <w:rsid w:val="00D53EAF"/>
    <w:rsid w:val="00D5775A"/>
    <w:rsid w:val="00D57C2A"/>
    <w:rsid w:val="00D57ED3"/>
    <w:rsid w:val="00D60025"/>
    <w:rsid w:val="00D6114D"/>
    <w:rsid w:val="00D61D05"/>
    <w:rsid w:val="00D65147"/>
    <w:rsid w:val="00D65E2A"/>
    <w:rsid w:val="00D65FD0"/>
    <w:rsid w:val="00D66168"/>
    <w:rsid w:val="00D6679B"/>
    <w:rsid w:val="00D67E85"/>
    <w:rsid w:val="00D71692"/>
    <w:rsid w:val="00D71D90"/>
    <w:rsid w:val="00D723A4"/>
    <w:rsid w:val="00D74AA1"/>
    <w:rsid w:val="00D75198"/>
    <w:rsid w:val="00D758C5"/>
    <w:rsid w:val="00D7663F"/>
    <w:rsid w:val="00D76DB4"/>
    <w:rsid w:val="00D77806"/>
    <w:rsid w:val="00D7780B"/>
    <w:rsid w:val="00D80C44"/>
    <w:rsid w:val="00D8111D"/>
    <w:rsid w:val="00D81E51"/>
    <w:rsid w:val="00D8293F"/>
    <w:rsid w:val="00D82BE6"/>
    <w:rsid w:val="00D832D8"/>
    <w:rsid w:val="00D840D0"/>
    <w:rsid w:val="00D84266"/>
    <w:rsid w:val="00D845D4"/>
    <w:rsid w:val="00D84E48"/>
    <w:rsid w:val="00D85366"/>
    <w:rsid w:val="00D8559D"/>
    <w:rsid w:val="00D86333"/>
    <w:rsid w:val="00D870C3"/>
    <w:rsid w:val="00D9076F"/>
    <w:rsid w:val="00D91414"/>
    <w:rsid w:val="00D914A9"/>
    <w:rsid w:val="00D91568"/>
    <w:rsid w:val="00D915A8"/>
    <w:rsid w:val="00D915C6"/>
    <w:rsid w:val="00D91651"/>
    <w:rsid w:val="00D92513"/>
    <w:rsid w:val="00D92766"/>
    <w:rsid w:val="00D9325D"/>
    <w:rsid w:val="00D9371A"/>
    <w:rsid w:val="00D93DE2"/>
    <w:rsid w:val="00D93E6D"/>
    <w:rsid w:val="00D9783E"/>
    <w:rsid w:val="00D97CF2"/>
    <w:rsid w:val="00D97F90"/>
    <w:rsid w:val="00DA223B"/>
    <w:rsid w:val="00DA297E"/>
    <w:rsid w:val="00DA3044"/>
    <w:rsid w:val="00DA3118"/>
    <w:rsid w:val="00DA4A8B"/>
    <w:rsid w:val="00DA5D07"/>
    <w:rsid w:val="00DA5F24"/>
    <w:rsid w:val="00DA6C5F"/>
    <w:rsid w:val="00DA6D0A"/>
    <w:rsid w:val="00DA7293"/>
    <w:rsid w:val="00DA7614"/>
    <w:rsid w:val="00DB191A"/>
    <w:rsid w:val="00DB1FC6"/>
    <w:rsid w:val="00DB24F5"/>
    <w:rsid w:val="00DB4FF2"/>
    <w:rsid w:val="00DB593A"/>
    <w:rsid w:val="00DB59A1"/>
    <w:rsid w:val="00DB6672"/>
    <w:rsid w:val="00DC0519"/>
    <w:rsid w:val="00DC08AB"/>
    <w:rsid w:val="00DC0F94"/>
    <w:rsid w:val="00DC161B"/>
    <w:rsid w:val="00DC1934"/>
    <w:rsid w:val="00DC2056"/>
    <w:rsid w:val="00DC2237"/>
    <w:rsid w:val="00DC58B5"/>
    <w:rsid w:val="00DC625E"/>
    <w:rsid w:val="00DC6E58"/>
    <w:rsid w:val="00DD2482"/>
    <w:rsid w:val="00DD26E5"/>
    <w:rsid w:val="00DD311A"/>
    <w:rsid w:val="00DD34F0"/>
    <w:rsid w:val="00DD37EC"/>
    <w:rsid w:val="00DD3986"/>
    <w:rsid w:val="00DD3C92"/>
    <w:rsid w:val="00DD45E1"/>
    <w:rsid w:val="00DD547C"/>
    <w:rsid w:val="00DD5A62"/>
    <w:rsid w:val="00DD5DCA"/>
    <w:rsid w:val="00DD5F9C"/>
    <w:rsid w:val="00DD61CD"/>
    <w:rsid w:val="00DE030B"/>
    <w:rsid w:val="00DE31E5"/>
    <w:rsid w:val="00DE3332"/>
    <w:rsid w:val="00DE35B6"/>
    <w:rsid w:val="00DE37EB"/>
    <w:rsid w:val="00DE4C0C"/>
    <w:rsid w:val="00DE4DFB"/>
    <w:rsid w:val="00DE6003"/>
    <w:rsid w:val="00DE6DDB"/>
    <w:rsid w:val="00DF26ED"/>
    <w:rsid w:val="00DF37AD"/>
    <w:rsid w:val="00DF3D68"/>
    <w:rsid w:val="00DF4AE9"/>
    <w:rsid w:val="00DF5C04"/>
    <w:rsid w:val="00DF6103"/>
    <w:rsid w:val="00DF61EF"/>
    <w:rsid w:val="00DF625B"/>
    <w:rsid w:val="00DF650C"/>
    <w:rsid w:val="00DF6FD7"/>
    <w:rsid w:val="00DF7CD7"/>
    <w:rsid w:val="00E00B47"/>
    <w:rsid w:val="00E0126B"/>
    <w:rsid w:val="00E01F5E"/>
    <w:rsid w:val="00E02306"/>
    <w:rsid w:val="00E03421"/>
    <w:rsid w:val="00E04B21"/>
    <w:rsid w:val="00E04E4A"/>
    <w:rsid w:val="00E05910"/>
    <w:rsid w:val="00E06469"/>
    <w:rsid w:val="00E101EE"/>
    <w:rsid w:val="00E10248"/>
    <w:rsid w:val="00E116FA"/>
    <w:rsid w:val="00E11AE3"/>
    <w:rsid w:val="00E11B33"/>
    <w:rsid w:val="00E11F40"/>
    <w:rsid w:val="00E1227B"/>
    <w:rsid w:val="00E1239A"/>
    <w:rsid w:val="00E12EF3"/>
    <w:rsid w:val="00E14661"/>
    <w:rsid w:val="00E148C6"/>
    <w:rsid w:val="00E14A9F"/>
    <w:rsid w:val="00E15174"/>
    <w:rsid w:val="00E158E3"/>
    <w:rsid w:val="00E1678D"/>
    <w:rsid w:val="00E16881"/>
    <w:rsid w:val="00E17AF0"/>
    <w:rsid w:val="00E20528"/>
    <w:rsid w:val="00E217D9"/>
    <w:rsid w:val="00E225D5"/>
    <w:rsid w:val="00E235BD"/>
    <w:rsid w:val="00E247C2"/>
    <w:rsid w:val="00E273BC"/>
    <w:rsid w:val="00E311B3"/>
    <w:rsid w:val="00E320E8"/>
    <w:rsid w:val="00E32BDC"/>
    <w:rsid w:val="00E33474"/>
    <w:rsid w:val="00E33ED2"/>
    <w:rsid w:val="00E340F4"/>
    <w:rsid w:val="00E36E2B"/>
    <w:rsid w:val="00E403FA"/>
    <w:rsid w:val="00E4054C"/>
    <w:rsid w:val="00E41168"/>
    <w:rsid w:val="00E41422"/>
    <w:rsid w:val="00E41BB5"/>
    <w:rsid w:val="00E427A7"/>
    <w:rsid w:val="00E42BC2"/>
    <w:rsid w:val="00E42D6C"/>
    <w:rsid w:val="00E440E8"/>
    <w:rsid w:val="00E4431C"/>
    <w:rsid w:val="00E44781"/>
    <w:rsid w:val="00E44EC8"/>
    <w:rsid w:val="00E45475"/>
    <w:rsid w:val="00E4555C"/>
    <w:rsid w:val="00E46820"/>
    <w:rsid w:val="00E47149"/>
    <w:rsid w:val="00E4720D"/>
    <w:rsid w:val="00E478AF"/>
    <w:rsid w:val="00E47CA9"/>
    <w:rsid w:val="00E50AE4"/>
    <w:rsid w:val="00E51B8E"/>
    <w:rsid w:val="00E533C9"/>
    <w:rsid w:val="00E53AFB"/>
    <w:rsid w:val="00E5608D"/>
    <w:rsid w:val="00E56385"/>
    <w:rsid w:val="00E56B0C"/>
    <w:rsid w:val="00E56C9A"/>
    <w:rsid w:val="00E575C8"/>
    <w:rsid w:val="00E57675"/>
    <w:rsid w:val="00E576C0"/>
    <w:rsid w:val="00E57B44"/>
    <w:rsid w:val="00E57EFF"/>
    <w:rsid w:val="00E60B67"/>
    <w:rsid w:val="00E60DB0"/>
    <w:rsid w:val="00E62915"/>
    <w:rsid w:val="00E63451"/>
    <w:rsid w:val="00E635D0"/>
    <w:rsid w:val="00E64443"/>
    <w:rsid w:val="00E649DC"/>
    <w:rsid w:val="00E6500B"/>
    <w:rsid w:val="00E6596C"/>
    <w:rsid w:val="00E6675C"/>
    <w:rsid w:val="00E67523"/>
    <w:rsid w:val="00E67D35"/>
    <w:rsid w:val="00E67FD3"/>
    <w:rsid w:val="00E723D6"/>
    <w:rsid w:val="00E72429"/>
    <w:rsid w:val="00E72BDA"/>
    <w:rsid w:val="00E74CE9"/>
    <w:rsid w:val="00E75001"/>
    <w:rsid w:val="00E75E21"/>
    <w:rsid w:val="00E76269"/>
    <w:rsid w:val="00E76846"/>
    <w:rsid w:val="00E77BD3"/>
    <w:rsid w:val="00E811E4"/>
    <w:rsid w:val="00E82359"/>
    <w:rsid w:val="00E82B20"/>
    <w:rsid w:val="00E83AD8"/>
    <w:rsid w:val="00E8488F"/>
    <w:rsid w:val="00E84EEE"/>
    <w:rsid w:val="00E858C5"/>
    <w:rsid w:val="00E86025"/>
    <w:rsid w:val="00E86C59"/>
    <w:rsid w:val="00E875EE"/>
    <w:rsid w:val="00E9108D"/>
    <w:rsid w:val="00E9155B"/>
    <w:rsid w:val="00E91DBD"/>
    <w:rsid w:val="00E91F11"/>
    <w:rsid w:val="00E92571"/>
    <w:rsid w:val="00E948E2"/>
    <w:rsid w:val="00E95A34"/>
    <w:rsid w:val="00E95E1F"/>
    <w:rsid w:val="00E96A71"/>
    <w:rsid w:val="00EA0BAD"/>
    <w:rsid w:val="00EA3306"/>
    <w:rsid w:val="00EA3C60"/>
    <w:rsid w:val="00EA4008"/>
    <w:rsid w:val="00EA4CB4"/>
    <w:rsid w:val="00EA50BA"/>
    <w:rsid w:val="00EA660B"/>
    <w:rsid w:val="00EA73C1"/>
    <w:rsid w:val="00EB06C4"/>
    <w:rsid w:val="00EB1CE4"/>
    <w:rsid w:val="00EB22C3"/>
    <w:rsid w:val="00EB2B4C"/>
    <w:rsid w:val="00EB4E9C"/>
    <w:rsid w:val="00EB5F6B"/>
    <w:rsid w:val="00EB661F"/>
    <w:rsid w:val="00EB669F"/>
    <w:rsid w:val="00EC1D5F"/>
    <w:rsid w:val="00EC1FE1"/>
    <w:rsid w:val="00EC222F"/>
    <w:rsid w:val="00EC247F"/>
    <w:rsid w:val="00EC3858"/>
    <w:rsid w:val="00EC39AA"/>
    <w:rsid w:val="00EC3A03"/>
    <w:rsid w:val="00EC4615"/>
    <w:rsid w:val="00EC4BFE"/>
    <w:rsid w:val="00EC6532"/>
    <w:rsid w:val="00EC67C8"/>
    <w:rsid w:val="00EC6E1F"/>
    <w:rsid w:val="00EC71E7"/>
    <w:rsid w:val="00EC7451"/>
    <w:rsid w:val="00ED08CF"/>
    <w:rsid w:val="00ED0C9D"/>
    <w:rsid w:val="00ED1955"/>
    <w:rsid w:val="00ED2396"/>
    <w:rsid w:val="00ED25E7"/>
    <w:rsid w:val="00ED2E07"/>
    <w:rsid w:val="00ED2F23"/>
    <w:rsid w:val="00ED3730"/>
    <w:rsid w:val="00ED3B5C"/>
    <w:rsid w:val="00ED45EF"/>
    <w:rsid w:val="00ED6F7C"/>
    <w:rsid w:val="00ED73B0"/>
    <w:rsid w:val="00ED7538"/>
    <w:rsid w:val="00ED7D59"/>
    <w:rsid w:val="00ED7F51"/>
    <w:rsid w:val="00EE24AD"/>
    <w:rsid w:val="00EE3515"/>
    <w:rsid w:val="00EE4D47"/>
    <w:rsid w:val="00EE4E72"/>
    <w:rsid w:val="00EE5DB2"/>
    <w:rsid w:val="00EE77BD"/>
    <w:rsid w:val="00EF380B"/>
    <w:rsid w:val="00EF3D00"/>
    <w:rsid w:val="00EF4FDE"/>
    <w:rsid w:val="00EF524A"/>
    <w:rsid w:val="00EF6F54"/>
    <w:rsid w:val="00EF70EA"/>
    <w:rsid w:val="00F00076"/>
    <w:rsid w:val="00F01250"/>
    <w:rsid w:val="00F01558"/>
    <w:rsid w:val="00F017DE"/>
    <w:rsid w:val="00F01E7E"/>
    <w:rsid w:val="00F02931"/>
    <w:rsid w:val="00F0303E"/>
    <w:rsid w:val="00F048C0"/>
    <w:rsid w:val="00F04B5D"/>
    <w:rsid w:val="00F055A7"/>
    <w:rsid w:val="00F05FB7"/>
    <w:rsid w:val="00F0662D"/>
    <w:rsid w:val="00F072AF"/>
    <w:rsid w:val="00F072C6"/>
    <w:rsid w:val="00F10570"/>
    <w:rsid w:val="00F1083C"/>
    <w:rsid w:val="00F10DF4"/>
    <w:rsid w:val="00F11142"/>
    <w:rsid w:val="00F11EC9"/>
    <w:rsid w:val="00F120E1"/>
    <w:rsid w:val="00F12965"/>
    <w:rsid w:val="00F13742"/>
    <w:rsid w:val="00F139FB"/>
    <w:rsid w:val="00F1495A"/>
    <w:rsid w:val="00F149C5"/>
    <w:rsid w:val="00F16C1C"/>
    <w:rsid w:val="00F16FDF"/>
    <w:rsid w:val="00F2007B"/>
    <w:rsid w:val="00F20AB8"/>
    <w:rsid w:val="00F20BAA"/>
    <w:rsid w:val="00F214D3"/>
    <w:rsid w:val="00F21C53"/>
    <w:rsid w:val="00F22D08"/>
    <w:rsid w:val="00F230C9"/>
    <w:rsid w:val="00F23885"/>
    <w:rsid w:val="00F2393C"/>
    <w:rsid w:val="00F2452B"/>
    <w:rsid w:val="00F24572"/>
    <w:rsid w:val="00F24AD8"/>
    <w:rsid w:val="00F2503C"/>
    <w:rsid w:val="00F272E1"/>
    <w:rsid w:val="00F318BE"/>
    <w:rsid w:val="00F32C8E"/>
    <w:rsid w:val="00F33775"/>
    <w:rsid w:val="00F36789"/>
    <w:rsid w:val="00F36D0B"/>
    <w:rsid w:val="00F36D98"/>
    <w:rsid w:val="00F36E19"/>
    <w:rsid w:val="00F3710E"/>
    <w:rsid w:val="00F37C6C"/>
    <w:rsid w:val="00F41838"/>
    <w:rsid w:val="00F4209F"/>
    <w:rsid w:val="00F4244D"/>
    <w:rsid w:val="00F43873"/>
    <w:rsid w:val="00F43F8B"/>
    <w:rsid w:val="00F43FCB"/>
    <w:rsid w:val="00F43FE2"/>
    <w:rsid w:val="00F44E99"/>
    <w:rsid w:val="00F45065"/>
    <w:rsid w:val="00F46EEA"/>
    <w:rsid w:val="00F50BAD"/>
    <w:rsid w:val="00F50C31"/>
    <w:rsid w:val="00F513D0"/>
    <w:rsid w:val="00F51AAE"/>
    <w:rsid w:val="00F52311"/>
    <w:rsid w:val="00F54CAC"/>
    <w:rsid w:val="00F55621"/>
    <w:rsid w:val="00F5626C"/>
    <w:rsid w:val="00F57F96"/>
    <w:rsid w:val="00F63B06"/>
    <w:rsid w:val="00F64E78"/>
    <w:rsid w:val="00F65527"/>
    <w:rsid w:val="00F66C0F"/>
    <w:rsid w:val="00F67DBC"/>
    <w:rsid w:val="00F70C5D"/>
    <w:rsid w:val="00F71B7D"/>
    <w:rsid w:val="00F71C27"/>
    <w:rsid w:val="00F71EEE"/>
    <w:rsid w:val="00F73188"/>
    <w:rsid w:val="00F7384A"/>
    <w:rsid w:val="00F7398B"/>
    <w:rsid w:val="00F73DBC"/>
    <w:rsid w:val="00F747B0"/>
    <w:rsid w:val="00F74DFB"/>
    <w:rsid w:val="00F758C6"/>
    <w:rsid w:val="00F75B12"/>
    <w:rsid w:val="00F76DA9"/>
    <w:rsid w:val="00F80147"/>
    <w:rsid w:val="00F80E58"/>
    <w:rsid w:val="00F81565"/>
    <w:rsid w:val="00F821D9"/>
    <w:rsid w:val="00F8409C"/>
    <w:rsid w:val="00F84321"/>
    <w:rsid w:val="00F8543D"/>
    <w:rsid w:val="00F85554"/>
    <w:rsid w:val="00F85ECE"/>
    <w:rsid w:val="00F86F9A"/>
    <w:rsid w:val="00F9085E"/>
    <w:rsid w:val="00F9125F"/>
    <w:rsid w:val="00F91F67"/>
    <w:rsid w:val="00F926B7"/>
    <w:rsid w:val="00F94DB5"/>
    <w:rsid w:val="00F94F5C"/>
    <w:rsid w:val="00F95828"/>
    <w:rsid w:val="00F9710A"/>
    <w:rsid w:val="00FA1022"/>
    <w:rsid w:val="00FA115B"/>
    <w:rsid w:val="00FA2C8A"/>
    <w:rsid w:val="00FA328D"/>
    <w:rsid w:val="00FA378E"/>
    <w:rsid w:val="00FA3CCF"/>
    <w:rsid w:val="00FA4C0D"/>
    <w:rsid w:val="00FA50C1"/>
    <w:rsid w:val="00FA5960"/>
    <w:rsid w:val="00FA5F3B"/>
    <w:rsid w:val="00FA6131"/>
    <w:rsid w:val="00FA68A1"/>
    <w:rsid w:val="00FB0704"/>
    <w:rsid w:val="00FB218C"/>
    <w:rsid w:val="00FB3C01"/>
    <w:rsid w:val="00FB3D8D"/>
    <w:rsid w:val="00FB407C"/>
    <w:rsid w:val="00FB4395"/>
    <w:rsid w:val="00FB4E7F"/>
    <w:rsid w:val="00FB512A"/>
    <w:rsid w:val="00FB6C5C"/>
    <w:rsid w:val="00FB7AE8"/>
    <w:rsid w:val="00FC0121"/>
    <w:rsid w:val="00FC0944"/>
    <w:rsid w:val="00FC0C45"/>
    <w:rsid w:val="00FC334C"/>
    <w:rsid w:val="00FC3B92"/>
    <w:rsid w:val="00FC3FAF"/>
    <w:rsid w:val="00FC4458"/>
    <w:rsid w:val="00FC5952"/>
    <w:rsid w:val="00FC5AF1"/>
    <w:rsid w:val="00FC62ED"/>
    <w:rsid w:val="00FC65B4"/>
    <w:rsid w:val="00FC6BEE"/>
    <w:rsid w:val="00FD029D"/>
    <w:rsid w:val="00FD0449"/>
    <w:rsid w:val="00FD08F7"/>
    <w:rsid w:val="00FD0EC4"/>
    <w:rsid w:val="00FD36B9"/>
    <w:rsid w:val="00FD3ABD"/>
    <w:rsid w:val="00FD45CD"/>
    <w:rsid w:val="00FD46C8"/>
    <w:rsid w:val="00FD4BEC"/>
    <w:rsid w:val="00FD532F"/>
    <w:rsid w:val="00FD7A97"/>
    <w:rsid w:val="00FE04AC"/>
    <w:rsid w:val="00FE17F6"/>
    <w:rsid w:val="00FE612E"/>
    <w:rsid w:val="00FE6999"/>
    <w:rsid w:val="00FF03EC"/>
    <w:rsid w:val="00FF21B8"/>
    <w:rsid w:val="00FF2ACB"/>
    <w:rsid w:val="00FF2C4A"/>
    <w:rsid w:val="00FF2D2C"/>
    <w:rsid w:val="00FF3EEF"/>
    <w:rsid w:val="00FF50EC"/>
    <w:rsid w:val="00FF5115"/>
    <w:rsid w:val="00FF5FA7"/>
    <w:rsid w:val="00FF69CC"/>
    <w:rsid w:val="00FF763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01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E5050"/>
    <w:rPr>
      <w:rFonts w:ascii="Arial Narrow" w:hAnsi="Arial Narrow"/>
      <w:sz w:val="24"/>
      <w:szCs w:val="24"/>
    </w:rPr>
  </w:style>
  <w:style w:type="paragraph" w:styleId="Heading1">
    <w:name w:val="heading 1"/>
    <w:basedOn w:val="Normal"/>
    <w:next w:val="Normal"/>
    <w:link w:val="Heading1Char"/>
    <w:uiPriority w:val="99"/>
    <w:qFormat/>
    <w:rsid w:val="00321470"/>
    <w:pPr>
      <w:keepNext/>
      <w:spacing w:before="240"/>
      <w:ind w:left="709" w:hanging="709"/>
      <w:outlineLvl w:val="0"/>
    </w:pPr>
    <w:rPr>
      <w:b/>
      <w:bCs/>
      <w:smallCaps/>
      <w:kern w:val="32"/>
      <w:sz w:val="26"/>
      <w:szCs w:val="27"/>
      <w:lang w:val="en-US" w:eastAsia="en-US"/>
    </w:rPr>
  </w:style>
  <w:style w:type="paragraph" w:styleId="Heading2">
    <w:name w:val="heading 2"/>
    <w:basedOn w:val="Normal"/>
    <w:next w:val="Normal"/>
    <w:link w:val="Heading2Char"/>
    <w:uiPriority w:val="99"/>
    <w:qFormat/>
    <w:rsid w:val="0005706D"/>
    <w:pPr>
      <w:keepNext/>
      <w:spacing w:before="120"/>
      <w:outlineLvl w:val="1"/>
    </w:pPr>
    <w:rPr>
      <w:rFonts w:eastAsia="MS Gothic"/>
      <w:b/>
      <w:bCs/>
      <w:iCs/>
      <w:smallCaps/>
      <w:sz w:val="25"/>
      <w:szCs w:val="28"/>
    </w:rPr>
  </w:style>
  <w:style w:type="paragraph" w:styleId="Heading3">
    <w:name w:val="heading 3"/>
    <w:basedOn w:val="Normal"/>
    <w:next w:val="Normal"/>
    <w:link w:val="Heading3Char"/>
    <w:uiPriority w:val="99"/>
    <w:qFormat/>
    <w:rsid w:val="000F236F"/>
    <w:pPr>
      <w:keepNext/>
      <w:spacing w:after="180"/>
      <w:jc w:val="both"/>
      <w:outlineLvl w:val="2"/>
    </w:pPr>
    <w:rPr>
      <w:rFonts w:cs="Arial"/>
      <w:b/>
      <w:bCs/>
      <w:szCs w:val="26"/>
      <w:lang w:val="en-US" w:eastAsia="en-US"/>
    </w:rPr>
  </w:style>
  <w:style w:type="paragraph" w:styleId="Heading4">
    <w:name w:val="heading 4"/>
    <w:basedOn w:val="Normal"/>
    <w:next w:val="Normal"/>
    <w:link w:val="Heading4Char"/>
    <w:uiPriority w:val="99"/>
    <w:qFormat/>
    <w:rsid w:val="000B3556"/>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0B3556"/>
    <w:pPr>
      <w:spacing w:before="240" w:after="60"/>
      <w:outlineLvl w:val="4"/>
    </w:pPr>
    <w:rPr>
      <w:b/>
      <w:bCs/>
      <w:i/>
      <w:iCs/>
      <w:sz w:val="26"/>
      <w:szCs w:val="26"/>
    </w:rPr>
  </w:style>
  <w:style w:type="paragraph" w:styleId="Heading6">
    <w:name w:val="heading 6"/>
    <w:basedOn w:val="Normal"/>
    <w:next w:val="Normal"/>
    <w:link w:val="Heading6Char"/>
    <w:uiPriority w:val="99"/>
    <w:qFormat/>
    <w:rsid w:val="000B355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1470"/>
    <w:rPr>
      <w:rFonts w:ascii="Arial Narrow" w:hAnsi="Arial Narrow" w:cs="Times New Roman"/>
      <w:b/>
      <w:smallCaps/>
      <w:kern w:val="32"/>
      <w:sz w:val="27"/>
      <w:lang w:val="en-US" w:eastAsia="en-US"/>
    </w:rPr>
  </w:style>
  <w:style w:type="character" w:customStyle="1" w:styleId="Heading2Char">
    <w:name w:val="Heading 2 Char"/>
    <w:basedOn w:val="DefaultParagraphFont"/>
    <w:link w:val="Heading2"/>
    <w:uiPriority w:val="99"/>
    <w:locked/>
    <w:rsid w:val="0005706D"/>
    <w:rPr>
      <w:rFonts w:ascii="Arial Narrow" w:eastAsia="MS Gothic" w:hAnsi="Arial Narrow" w:cs="Times New Roman"/>
      <w:b/>
      <w:smallCaps/>
      <w:sz w:val="28"/>
    </w:rPr>
  </w:style>
  <w:style w:type="character" w:customStyle="1" w:styleId="Heading3Char">
    <w:name w:val="Heading 3 Char"/>
    <w:basedOn w:val="DefaultParagraphFont"/>
    <w:link w:val="Heading3"/>
    <w:uiPriority w:val="99"/>
    <w:semiHidden/>
    <w:locked/>
    <w:rsid w:val="00710EB3"/>
    <w:rPr>
      <w:rFonts w:ascii="Cambria" w:hAnsi="Cambria" w:cs="Times New Roman"/>
      <w:b/>
      <w:bCs/>
      <w:sz w:val="26"/>
      <w:szCs w:val="26"/>
    </w:rPr>
  </w:style>
  <w:style w:type="character" w:customStyle="1" w:styleId="Heading4Char">
    <w:name w:val="Heading 4 Char"/>
    <w:basedOn w:val="DefaultParagraphFont"/>
    <w:link w:val="Heading4"/>
    <w:uiPriority w:val="99"/>
    <w:locked/>
    <w:rsid w:val="00321470"/>
    <w:rPr>
      <w:rFonts w:cs="Times New Roman"/>
      <w:b/>
      <w:sz w:val="28"/>
    </w:rPr>
  </w:style>
  <w:style w:type="character" w:customStyle="1" w:styleId="Heading5Char">
    <w:name w:val="Heading 5 Char"/>
    <w:basedOn w:val="DefaultParagraphFont"/>
    <w:link w:val="Heading5"/>
    <w:uiPriority w:val="99"/>
    <w:semiHidden/>
    <w:locked/>
    <w:rsid w:val="00710EB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710EB3"/>
    <w:rPr>
      <w:rFonts w:ascii="Calibri" w:hAnsi="Calibri" w:cs="Times New Roman"/>
      <w:b/>
      <w:bCs/>
    </w:rPr>
  </w:style>
  <w:style w:type="paragraph" w:styleId="BalloonText">
    <w:name w:val="Balloon Text"/>
    <w:basedOn w:val="Normal"/>
    <w:link w:val="BalloonTextChar"/>
    <w:uiPriority w:val="99"/>
    <w:semiHidden/>
    <w:rsid w:val="000B3556"/>
    <w:rPr>
      <w:rFonts w:ascii="Tahoma" w:hAnsi="Tahoma" w:cs="Tahoma"/>
      <w:sz w:val="16"/>
      <w:szCs w:val="16"/>
    </w:rPr>
  </w:style>
  <w:style w:type="character" w:customStyle="1" w:styleId="BalloonTextChar">
    <w:name w:val="Balloon Text Char"/>
    <w:basedOn w:val="DefaultParagraphFont"/>
    <w:link w:val="BalloonText"/>
    <w:uiPriority w:val="99"/>
    <w:locked/>
    <w:rsid w:val="000B3556"/>
    <w:rPr>
      <w:rFonts w:ascii="Tahoma" w:hAnsi="Tahoma" w:cs="Times New Roman"/>
      <w:sz w:val="16"/>
      <w:lang w:val="en-AU" w:eastAsia="en-AU"/>
    </w:rPr>
  </w:style>
  <w:style w:type="character" w:styleId="Hyperlink">
    <w:name w:val="Hyperlink"/>
    <w:basedOn w:val="DefaultParagraphFont"/>
    <w:uiPriority w:val="99"/>
    <w:rsid w:val="000B3556"/>
    <w:rPr>
      <w:rFonts w:cs="Times New Roman"/>
      <w:color w:val="0000FF"/>
      <w:u w:val="single"/>
    </w:rPr>
  </w:style>
  <w:style w:type="paragraph" w:customStyle="1" w:styleId="A2JBodyText">
    <w:name w:val="A2J Body Text"/>
    <w:link w:val="A2JBodyTextChar"/>
    <w:uiPriority w:val="99"/>
    <w:rsid w:val="000B3556"/>
    <w:pPr>
      <w:widowControl w:val="0"/>
      <w:adjustRightInd w:val="0"/>
      <w:spacing w:line="288" w:lineRule="auto"/>
      <w:jc w:val="both"/>
      <w:textAlignment w:val="baseline"/>
    </w:pPr>
    <w:rPr>
      <w:rFonts w:ascii="Arial" w:hAnsi="Arial"/>
      <w:lang w:eastAsia="en-US"/>
    </w:rPr>
  </w:style>
  <w:style w:type="character" w:customStyle="1" w:styleId="A2JBodyTextChar">
    <w:name w:val="A2J Body Text Char"/>
    <w:link w:val="A2JBodyText"/>
    <w:uiPriority w:val="99"/>
    <w:locked/>
    <w:rsid w:val="000B3556"/>
    <w:rPr>
      <w:rFonts w:ascii="Arial" w:hAnsi="Arial"/>
      <w:sz w:val="22"/>
      <w:lang w:val="en-AU" w:eastAsia="en-US"/>
    </w:rPr>
  </w:style>
  <w:style w:type="paragraph" w:customStyle="1" w:styleId="NormalGaramond">
    <w:name w:val="Normal + Garamond"/>
    <w:basedOn w:val="Normal"/>
    <w:uiPriority w:val="99"/>
    <w:rsid w:val="000B3556"/>
    <w:pPr>
      <w:widowControl w:val="0"/>
      <w:adjustRightInd w:val="0"/>
      <w:spacing w:line="360" w:lineRule="atLeast"/>
      <w:jc w:val="both"/>
      <w:textAlignment w:val="baseline"/>
    </w:pPr>
    <w:rPr>
      <w:rFonts w:ascii="Garamond" w:hAnsi="Garamond"/>
      <w:lang w:eastAsia="en-US"/>
    </w:rPr>
  </w:style>
  <w:style w:type="table" w:styleId="TableGrid">
    <w:name w:val="Table Grid"/>
    <w:basedOn w:val="TableNormal"/>
    <w:uiPriority w:val="99"/>
    <w:rsid w:val="000B355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Justified">
    <w:name w:val="Normal (Justified)"/>
    <w:basedOn w:val="Normal"/>
    <w:link w:val="NormalJustifiedChar"/>
    <w:uiPriority w:val="99"/>
    <w:rsid w:val="000B3556"/>
    <w:pPr>
      <w:jc w:val="both"/>
    </w:pPr>
    <w:rPr>
      <w:rFonts w:ascii="Arial" w:hAnsi="Arial"/>
      <w:kern w:val="28"/>
      <w:sz w:val="20"/>
      <w:szCs w:val="20"/>
      <w:lang w:val="en-US" w:eastAsia="fr-FR"/>
    </w:rPr>
  </w:style>
  <w:style w:type="character" w:customStyle="1" w:styleId="NormalJustifiedChar">
    <w:name w:val="Normal (Justified) Char"/>
    <w:link w:val="NormalJustified"/>
    <w:uiPriority w:val="99"/>
    <w:locked/>
    <w:rsid w:val="000B3556"/>
    <w:rPr>
      <w:rFonts w:ascii="Arial" w:hAnsi="Arial"/>
      <w:kern w:val="28"/>
      <w:lang w:val="en-US" w:eastAsia="fr-FR"/>
    </w:rPr>
  </w:style>
  <w:style w:type="paragraph" w:styleId="FootnoteText">
    <w:name w:val="footnote text"/>
    <w:aliases w:val="Footnote Text Char,Footnote Text Char1 Char,Footnote Text Char Char Char,Footnote Text Char1,Footnote Text Char Char,Footnote Text Char1 Char Char Char Char,Footnote Text Char Char1,single space,Footnote Text Char Char Char1"/>
    <w:basedOn w:val="Normal"/>
    <w:link w:val="FootnoteTextChar2"/>
    <w:uiPriority w:val="99"/>
    <w:rsid w:val="000B3556"/>
    <w:rPr>
      <w:rFonts w:ascii="Verdana" w:hAnsi="Verdana"/>
      <w:sz w:val="20"/>
      <w:szCs w:val="20"/>
      <w:lang w:val="en-US" w:eastAsia="en-US"/>
    </w:rPr>
  </w:style>
  <w:style w:type="character" w:customStyle="1" w:styleId="FootnoteTextChar2">
    <w:name w:val="Footnote Text Char2"/>
    <w:aliases w:val="Footnote Text Char Char2,Footnote Text Char1 Char Char,Footnote Text Char Char Char Char,Footnote Text Char1 Char1,Footnote Text Char Char Char2,Footnote Text Char1 Char Char Char Char Char,Footnote Text Char Char1 Char"/>
    <w:basedOn w:val="DefaultParagraphFont"/>
    <w:link w:val="FootnoteText"/>
    <w:uiPriority w:val="99"/>
    <w:locked/>
    <w:rsid w:val="000B3556"/>
    <w:rPr>
      <w:rFonts w:ascii="Verdana" w:hAnsi="Verdana" w:cs="Times New Roman"/>
      <w:lang w:val="en-US" w:eastAsia="en-US"/>
    </w:rPr>
  </w:style>
  <w:style w:type="character" w:styleId="FootnoteReference">
    <w:name w:val="footnote reference"/>
    <w:aliases w:val="BVI fnr, BVI fnr"/>
    <w:basedOn w:val="DefaultParagraphFont"/>
    <w:uiPriority w:val="99"/>
    <w:rsid w:val="000B3556"/>
    <w:rPr>
      <w:rFonts w:cs="Times New Roman"/>
      <w:vertAlign w:val="superscript"/>
    </w:rPr>
  </w:style>
  <w:style w:type="character" w:styleId="CommentReference">
    <w:name w:val="annotation reference"/>
    <w:basedOn w:val="DefaultParagraphFont"/>
    <w:uiPriority w:val="99"/>
    <w:semiHidden/>
    <w:rsid w:val="000B3556"/>
    <w:rPr>
      <w:rFonts w:cs="Times New Roman"/>
      <w:sz w:val="16"/>
    </w:rPr>
  </w:style>
  <w:style w:type="paragraph" w:styleId="CommentText">
    <w:name w:val="annotation text"/>
    <w:basedOn w:val="Normal"/>
    <w:link w:val="CommentTextChar"/>
    <w:uiPriority w:val="99"/>
    <w:semiHidden/>
    <w:rsid w:val="000B3556"/>
    <w:rPr>
      <w:rFonts w:ascii="Verdana" w:hAnsi="Verdana"/>
      <w:sz w:val="20"/>
      <w:szCs w:val="20"/>
    </w:rPr>
  </w:style>
  <w:style w:type="character" w:customStyle="1" w:styleId="CommentTextChar">
    <w:name w:val="Comment Text Char"/>
    <w:basedOn w:val="DefaultParagraphFont"/>
    <w:link w:val="CommentText"/>
    <w:uiPriority w:val="99"/>
    <w:locked/>
    <w:rsid w:val="000B3556"/>
    <w:rPr>
      <w:rFonts w:ascii="Verdana" w:hAnsi="Verdana" w:cs="Times New Roman"/>
      <w:lang w:val="en-AU" w:eastAsia="en-AU"/>
    </w:rPr>
  </w:style>
  <w:style w:type="paragraph" w:styleId="CommentSubject">
    <w:name w:val="annotation subject"/>
    <w:basedOn w:val="CommentText"/>
    <w:next w:val="CommentText"/>
    <w:link w:val="CommentSubjectChar"/>
    <w:uiPriority w:val="99"/>
    <w:semiHidden/>
    <w:rsid w:val="000B3556"/>
    <w:rPr>
      <w:b/>
      <w:bCs/>
    </w:rPr>
  </w:style>
  <w:style w:type="character" w:customStyle="1" w:styleId="CommentSubjectChar">
    <w:name w:val="Comment Subject Char"/>
    <w:basedOn w:val="CommentTextChar"/>
    <w:link w:val="CommentSubject"/>
    <w:uiPriority w:val="99"/>
    <w:locked/>
    <w:rsid w:val="000B3556"/>
    <w:rPr>
      <w:rFonts w:ascii="Verdana" w:hAnsi="Verdana" w:cs="Times New Roman"/>
      <w:b/>
      <w:lang w:val="en-AU" w:eastAsia="en-AU"/>
    </w:rPr>
  </w:style>
  <w:style w:type="paragraph" w:styleId="Header">
    <w:name w:val="header"/>
    <w:basedOn w:val="Normal"/>
    <w:link w:val="HeaderChar"/>
    <w:uiPriority w:val="99"/>
    <w:rsid w:val="000B3556"/>
    <w:pPr>
      <w:tabs>
        <w:tab w:val="center" w:pos="4513"/>
        <w:tab w:val="right" w:pos="9026"/>
      </w:tabs>
    </w:pPr>
    <w:rPr>
      <w:rFonts w:ascii="Verdana" w:hAnsi="Verdana"/>
    </w:rPr>
  </w:style>
  <w:style w:type="character" w:customStyle="1" w:styleId="HeaderChar">
    <w:name w:val="Header Char"/>
    <w:basedOn w:val="DefaultParagraphFont"/>
    <w:link w:val="Header"/>
    <w:uiPriority w:val="99"/>
    <w:locked/>
    <w:rsid w:val="000B3556"/>
    <w:rPr>
      <w:rFonts w:ascii="Verdana" w:hAnsi="Verdana" w:cs="Times New Roman"/>
      <w:sz w:val="24"/>
      <w:lang w:val="en-AU" w:eastAsia="en-AU"/>
    </w:rPr>
  </w:style>
  <w:style w:type="paragraph" w:styleId="Footer">
    <w:name w:val="footer"/>
    <w:basedOn w:val="Normal"/>
    <w:link w:val="FooterChar"/>
    <w:uiPriority w:val="99"/>
    <w:rsid w:val="000B3556"/>
    <w:pPr>
      <w:tabs>
        <w:tab w:val="center" w:pos="4513"/>
        <w:tab w:val="right" w:pos="9026"/>
      </w:tabs>
    </w:pPr>
    <w:rPr>
      <w:rFonts w:ascii="Verdana" w:hAnsi="Verdana"/>
    </w:rPr>
  </w:style>
  <w:style w:type="character" w:customStyle="1" w:styleId="FooterChar">
    <w:name w:val="Footer Char"/>
    <w:basedOn w:val="DefaultParagraphFont"/>
    <w:link w:val="Footer"/>
    <w:uiPriority w:val="99"/>
    <w:locked/>
    <w:rsid w:val="000B3556"/>
    <w:rPr>
      <w:rFonts w:ascii="Verdana" w:hAnsi="Verdana" w:cs="Times New Roman"/>
      <w:sz w:val="24"/>
      <w:lang w:val="en-AU" w:eastAsia="en-AU"/>
    </w:rPr>
  </w:style>
  <w:style w:type="paragraph" w:styleId="PlainText">
    <w:name w:val="Plain Text"/>
    <w:basedOn w:val="Normal"/>
    <w:link w:val="PlainTextChar"/>
    <w:uiPriority w:val="99"/>
    <w:rsid w:val="000B3556"/>
    <w:pPr>
      <w:spacing w:before="100" w:beforeAutospacing="1" w:after="100" w:afterAutospacing="1"/>
    </w:pPr>
    <w:rPr>
      <w:lang w:val="en-US" w:eastAsia="en-US"/>
    </w:rPr>
  </w:style>
  <w:style w:type="character" w:customStyle="1" w:styleId="PlainTextChar">
    <w:name w:val="Plain Text Char"/>
    <w:basedOn w:val="DefaultParagraphFont"/>
    <w:link w:val="PlainText"/>
    <w:uiPriority w:val="99"/>
    <w:semiHidden/>
    <w:locked/>
    <w:rsid w:val="00710EB3"/>
    <w:rPr>
      <w:rFonts w:ascii="Courier New" w:hAnsi="Courier New" w:cs="Courier New"/>
      <w:sz w:val="20"/>
      <w:szCs w:val="20"/>
    </w:rPr>
  </w:style>
  <w:style w:type="paragraph" w:styleId="TOC3">
    <w:name w:val="toc 3"/>
    <w:basedOn w:val="Normal"/>
    <w:next w:val="Normal"/>
    <w:autoRedefine/>
    <w:uiPriority w:val="39"/>
    <w:rsid w:val="00D84266"/>
    <w:pPr>
      <w:tabs>
        <w:tab w:val="left" w:pos="1200"/>
        <w:tab w:val="right" w:leader="dot" w:pos="9120"/>
      </w:tabs>
      <w:ind w:left="480"/>
    </w:pPr>
  </w:style>
  <w:style w:type="paragraph" w:styleId="TOC1">
    <w:name w:val="toc 1"/>
    <w:basedOn w:val="Normal"/>
    <w:next w:val="Normal"/>
    <w:autoRedefine/>
    <w:uiPriority w:val="39"/>
    <w:rsid w:val="00FD0449"/>
    <w:pPr>
      <w:tabs>
        <w:tab w:val="right" w:leader="dot" w:pos="8931"/>
      </w:tabs>
      <w:spacing w:before="180"/>
      <w:ind w:left="709" w:hanging="709"/>
    </w:pPr>
    <w:rPr>
      <w:rFonts w:cs="Arial"/>
      <w:bCs/>
      <w:noProof/>
      <w:kern w:val="32"/>
      <w:sz w:val="23"/>
      <w:szCs w:val="23"/>
      <w:lang w:eastAsia="en-US"/>
    </w:rPr>
  </w:style>
  <w:style w:type="paragraph" w:styleId="TOC2">
    <w:name w:val="toc 2"/>
    <w:basedOn w:val="Normal"/>
    <w:next w:val="Normal"/>
    <w:autoRedefine/>
    <w:uiPriority w:val="39"/>
    <w:rsid w:val="00FD0449"/>
    <w:pPr>
      <w:tabs>
        <w:tab w:val="left" w:pos="1349"/>
        <w:tab w:val="right" w:leader="dot" w:pos="8931"/>
      </w:tabs>
      <w:spacing w:before="80"/>
      <w:ind w:left="851" w:hanging="567"/>
    </w:pPr>
  </w:style>
  <w:style w:type="character" w:styleId="FollowedHyperlink">
    <w:name w:val="FollowedHyperlink"/>
    <w:basedOn w:val="DefaultParagraphFont"/>
    <w:uiPriority w:val="99"/>
    <w:rsid w:val="000B3556"/>
    <w:rPr>
      <w:rFonts w:cs="Times New Roman"/>
      <w:color w:val="800080"/>
      <w:u w:val="single"/>
    </w:rPr>
  </w:style>
  <w:style w:type="paragraph" w:styleId="ListParagraph">
    <w:name w:val="List Paragraph"/>
    <w:aliases w:val="Table Bullet"/>
    <w:basedOn w:val="Normal"/>
    <w:link w:val="ListParagraphChar"/>
    <w:uiPriority w:val="99"/>
    <w:qFormat/>
    <w:rsid w:val="000B3556"/>
    <w:pPr>
      <w:ind w:left="720"/>
    </w:pPr>
    <w:rPr>
      <w:rFonts w:ascii="Calibri" w:hAnsi="Calibri"/>
      <w:sz w:val="22"/>
      <w:szCs w:val="20"/>
      <w:lang w:eastAsia="en-US"/>
    </w:rPr>
  </w:style>
  <w:style w:type="character" w:styleId="PageNumber">
    <w:name w:val="page number"/>
    <w:basedOn w:val="DefaultParagraphFont"/>
    <w:uiPriority w:val="99"/>
    <w:rsid w:val="000B3556"/>
    <w:rPr>
      <w:rFonts w:cs="Times New Roman"/>
    </w:rPr>
  </w:style>
  <w:style w:type="paragraph" w:styleId="List">
    <w:name w:val="List"/>
    <w:basedOn w:val="Normal"/>
    <w:uiPriority w:val="99"/>
    <w:rsid w:val="000B3556"/>
    <w:pPr>
      <w:ind w:left="283" w:hanging="283"/>
    </w:pPr>
  </w:style>
  <w:style w:type="paragraph" w:styleId="List2">
    <w:name w:val="List 2"/>
    <w:basedOn w:val="Normal"/>
    <w:uiPriority w:val="99"/>
    <w:rsid w:val="000B3556"/>
    <w:pPr>
      <w:ind w:left="566" w:hanging="283"/>
    </w:pPr>
  </w:style>
  <w:style w:type="paragraph" w:styleId="ListBullet">
    <w:name w:val="List Bullet"/>
    <w:basedOn w:val="Normal"/>
    <w:uiPriority w:val="99"/>
    <w:rsid w:val="000B3556"/>
    <w:pPr>
      <w:numPr>
        <w:numId w:val="1"/>
      </w:numPr>
    </w:pPr>
  </w:style>
  <w:style w:type="paragraph" w:styleId="ListBullet2">
    <w:name w:val="List Bullet 2"/>
    <w:basedOn w:val="Normal"/>
    <w:uiPriority w:val="99"/>
    <w:rsid w:val="000B3556"/>
    <w:pPr>
      <w:numPr>
        <w:numId w:val="2"/>
      </w:numPr>
    </w:pPr>
  </w:style>
  <w:style w:type="paragraph" w:styleId="BodyText">
    <w:name w:val="Body Text"/>
    <w:basedOn w:val="Normal"/>
    <w:link w:val="BodyTextChar"/>
    <w:uiPriority w:val="99"/>
    <w:rsid w:val="000B3556"/>
    <w:pPr>
      <w:spacing w:after="120"/>
    </w:pPr>
  </w:style>
  <w:style w:type="character" w:customStyle="1" w:styleId="BodyTextChar">
    <w:name w:val="Body Text Char"/>
    <w:basedOn w:val="DefaultParagraphFont"/>
    <w:link w:val="BodyText"/>
    <w:uiPriority w:val="99"/>
    <w:semiHidden/>
    <w:locked/>
    <w:rsid w:val="00710EB3"/>
    <w:rPr>
      <w:rFonts w:ascii="Arial Narrow" w:hAnsi="Arial Narrow" w:cs="Times New Roman"/>
      <w:sz w:val="24"/>
      <w:szCs w:val="24"/>
    </w:rPr>
  </w:style>
  <w:style w:type="paragraph" w:styleId="BodyTextIndent">
    <w:name w:val="Body Text Indent"/>
    <w:basedOn w:val="Normal"/>
    <w:link w:val="BodyTextIndentChar"/>
    <w:uiPriority w:val="99"/>
    <w:rsid w:val="000B3556"/>
    <w:pPr>
      <w:spacing w:after="120"/>
      <w:ind w:left="283"/>
    </w:pPr>
  </w:style>
  <w:style w:type="character" w:customStyle="1" w:styleId="BodyTextIndentChar">
    <w:name w:val="Body Text Indent Char"/>
    <w:basedOn w:val="DefaultParagraphFont"/>
    <w:link w:val="BodyTextIndent"/>
    <w:uiPriority w:val="99"/>
    <w:semiHidden/>
    <w:locked/>
    <w:rsid w:val="00710EB3"/>
    <w:rPr>
      <w:rFonts w:ascii="Arial Narrow" w:hAnsi="Arial Narrow" w:cs="Times New Roman"/>
      <w:sz w:val="24"/>
      <w:szCs w:val="24"/>
    </w:rPr>
  </w:style>
  <w:style w:type="paragraph" w:styleId="BodyTextFirstIndent2">
    <w:name w:val="Body Text First Indent 2"/>
    <w:basedOn w:val="BodyTextIndent"/>
    <w:link w:val="BodyTextFirstIndent2Char"/>
    <w:uiPriority w:val="99"/>
    <w:rsid w:val="000B3556"/>
    <w:pPr>
      <w:ind w:firstLine="210"/>
    </w:pPr>
  </w:style>
  <w:style w:type="character" w:customStyle="1" w:styleId="BodyTextFirstIndent2Char">
    <w:name w:val="Body Text First Indent 2 Char"/>
    <w:basedOn w:val="BodyTextIndentChar"/>
    <w:link w:val="BodyTextFirstIndent2"/>
    <w:uiPriority w:val="99"/>
    <w:semiHidden/>
    <w:locked/>
    <w:rsid w:val="00710EB3"/>
    <w:rPr>
      <w:rFonts w:ascii="Arial Narrow" w:hAnsi="Arial Narrow" w:cs="Times New Roman"/>
      <w:sz w:val="24"/>
      <w:szCs w:val="24"/>
    </w:rPr>
  </w:style>
  <w:style w:type="paragraph" w:customStyle="1" w:styleId="DocumentLabel">
    <w:name w:val="Document Label"/>
    <w:basedOn w:val="Normal"/>
    <w:uiPriority w:val="99"/>
    <w:rsid w:val="000B3556"/>
    <w:pPr>
      <w:keepNext/>
      <w:keepLines/>
      <w:spacing w:before="400" w:after="120" w:line="240" w:lineRule="atLeast"/>
    </w:pPr>
    <w:rPr>
      <w:rFonts w:ascii="Arial Black" w:hAnsi="Arial Black"/>
      <w:spacing w:val="-100"/>
      <w:kern w:val="28"/>
      <w:sz w:val="108"/>
      <w:szCs w:val="20"/>
      <w:lang w:eastAsia="en-US"/>
    </w:rPr>
  </w:style>
  <w:style w:type="paragraph" w:styleId="Revision">
    <w:name w:val="Revision"/>
    <w:hidden/>
    <w:uiPriority w:val="99"/>
    <w:semiHidden/>
    <w:rsid w:val="00926055"/>
    <w:rPr>
      <w:rFonts w:ascii="Verdana" w:hAnsi="Verdana"/>
      <w:sz w:val="20"/>
      <w:szCs w:val="24"/>
    </w:rPr>
  </w:style>
  <w:style w:type="paragraph" w:customStyle="1" w:styleId="CharCharChar">
    <w:name w:val="Char Char Char"/>
    <w:basedOn w:val="Normal"/>
    <w:uiPriority w:val="99"/>
    <w:rsid w:val="00343498"/>
    <w:pPr>
      <w:spacing w:after="160" w:line="240" w:lineRule="exact"/>
    </w:pPr>
    <w:rPr>
      <w:rFonts w:ascii="Tahoma" w:hAnsi="Tahoma"/>
      <w:szCs w:val="20"/>
      <w:lang w:val="en-GB" w:eastAsia="en-US"/>
    </w:rPr>
  </w:style>
  <w:style w:type="character" w:customStyle="1" w:styleId="ListParagraphChar">
    <w:name w:val="List Paragraph Char"/>
    <w:aliases w:val="Table Bullet Char"/>
    <w:link w:val="ListParagraph"/>
    <w:uiPriority w:val="99"/>
    <w:locked/>
    <w:rsid w:val="00321470"/>
    <w:rPr>
      <w:rFonts w:ascii="Calibri" w:hAnsi="Calibri"/>
      <w:sz w:val="22"/>
      <w:lang w:eastAsia="en-US"/>
    </w:rPr>
  </w:style>
  <w:style w:type="paragraph" w:customStyle="1" w:styleId="Default">
    <w:name w:val="Default"/>
    <w:rsid w:val="00321470"/>
    <w:pPr>
      <w:autoSpaceDE w:val="0"/>
      <w:autoSpaceDN w:val="0"/>
      <w:adjustRightInd w:val="0"/>
    </w:pPr>
    <w:rPr>
      <w:rFonts w:ascii="Arial" w:hAnsi="Arial" w:cs="Arial"/>
      <w:color w:val="000000"/>
      <w:sz w:val="24"/>
      <w:szCs w:val="24"/>
    </w:rPr>
  </w:style>
  <w:style w:type="paragraph" w:customStyle="1" w:styleId="CharCharChar1">
    <w:name w:val="Char Char Char1"/>
    <w:basedOn w:val="Normal"/>
    <w:uiPriority w:val="99"/>
    <w:rsid w:val="00784C2B"/>
    <w:pPr>
      <w:spacing w:after="160" w:line="240" w:lineRule="exact"/>
    </w:pPr>
    <w:rPr>
      <w:rFonts w:ascii="Tahoma" w:hAnsi="Tahoma"/>
      <w:sz w:val="20"/>
      <w:szCs w:val="20"/>
      <w:lang w:val="en-GB" w:eastAsia="en-US"/>
    </w:rPr>
  </w:style>
  <w:style w:type="paragraph" w:styleId="BodyText3">
    <w:name w:val="Body Text 3"/>
    <w:basedOn w:val="Normal"/>
    <w:link w:val="BodyText3Char"/>
    <w:uiPriority w:val="99"/>
    <w:rsid w:val="006B591A"/>
    <w:pPr>
      <w:spacing w:after="120"/>
    </w:pPr>
    <w:rPr>
      <w:sz w:val="16"/>
      <w:szCs w:val="16"/>
    </w:rPr>
  </w:style>
  <w:style w:type="character" w:customStyle="1" w:styleId="BodyText3Char">
    <w:name w:val="Body Text 3 Char"/>
    <w:basedOn w:val="DefaultParagraphFont"/>
    <w:link w:val="BodyText3"/>
    <w:uiPriority w:val="99"/>
    <w:locked/>
    <w:rsid w:val="006B591A"/>
    <w:rPr>
      <w:rFonts w:ascii="Arial Narrow" w:hAnsi="Arial Narrow" w:cs="Times New Roman"/>
      <w:sz w:val="16"/>
    </w:rPr>
  </w:style>
  <w:style w:type="paragraph" w:customStyle="1" w:styleId="Normal10pt">
    <w:name w:val="Normal + 10 pt"/>
    <w:basedOn w:val="Normal"/>
    <w:uiPriority w:val="99"/>
    <w:rsid w:val="00DA6D0A"/>
    <w:rPr>
      <w:sz w:val="20"/>
      <w:szCs w:val="20"/>
    </w:rPr>
  </w:style>
  <w:style w:type="paragraph" w:customStyle="1" w:styleId="BulletPoints">
    <w:name w:val="Bullet Points"/>
    <w:basedOn w:val="Normal"/>
    <w:uiPriority w:val="99"/>
    <w:rsid w:val="00BC7816"/>
    <w:pPr>
      <w:numPr>
        <w:numId w:val="5"/>
      </w:numPr>
      <w:overflowPunct w:val="0"/>
      <w:autoSpaceDE w:val="0"/>
      <w:autoSpaceDN w:val="0"/>
      <w:adjustRightInd w:val="0"/>
      <w:spacing w:after="240"/>
      <w:jc w:val="both"/>
      <w:textAlignment w:val="baseline"/>
    </w:pPr>
    <w:rPr>
      <w:rFonts w:ascii="Arial" w:hAnsi="Arial"/>
      <w:szCs w:val="20"/>
      <w:lang w:val="en-NZ" w:eastAsia="en-US" w:bidi="ar-DZ"/>
    </w:rPr>
  </w:style>
  <w:style w:type="character" w:customStyle="1" w:styleId="st">
    <w:name w:val="st"/>
    <w:basedOn w:val="DefaultParagraphFont"/>
    <w:uiPriority w:val="99"/>
    <w:rsid w:val="00561C8E"/>
    <w:rPr>
      <w:rFonts w:cs="Times New Roman"/>
    </w:rPr>
  </w:style>
  <w:style w:type="character" w:styleId="Emphasis">
    <w:name w:val="Emphasis"/>
    <w:basedOn w:val="DefaultParagraphFont"/>
    <w:uiPriority w:val="99"/>
    <w:qFormat/>
    <w:rsid w:val="00561C8E"/>
    <w:rPr>
      <w:rFonts w:cs="Times New Roman"/>
      <w:i/>
      <w:iCs/>
    </w:rPr>
  </w:style>
  <w:style w:type="paragraph" w:customStyle="1" w:styleId="yiv1459980479msonormal">
    <w:name w:val="yiv1459980479msonormal"/>
    <w:basedOn w:val="Normal"/>
    <w:uiPriority w:val="99"/>
    <w:rsid w:val="00584D47"/>
    <w:pPr>
      <w:spacing w:before="100" w:beforeAutospacing="1" w:after="100" w:afterAutospacing="1"/>
    </w:pPr>
    <w:rPr>
      <w:rFonts w:ascii="Times New Roman" w:hAnsi="Times New Roman"/>
    </w:rPr>
  </w:style>
  <w:style w:type="paragraph" w:customStyle="1" w:styleId="Standarduser">
    <w:name w:val="Standard (user)"/>
    <w:uiPriority w:val="99"/>
    <w:rsid w:val="00CC0FB8"/>
    <w:pPr>
      <w:widowControl w:val="0"/>
      <w:suppressAutoHyphens/>
      <w:autoSpaceDN w:val="0"/>
      <w:textAlignment w:val="baseline"/>
    </w:pPr>
    <w:rPr>
      <w:rFonts w:cs="Mangal"/>
      <w:kern w:val="3"/>
      <w:sz w:val="24"/>
      <w:szCs w:val="24"/>
      <w:lang w:val="en-GB" w:eastAsia="zh-CN" w:bidi="hi-IN"/>
    </w:rPr>
  </w:style>
  <w:style w:type="paragraph" w:customStyle="1" w:styleId="Standard">
    <w:name w:val="Standard"/>
    <w:uiPriority w:val="99"/>
    <w:rsid w:val="00CC0FB8"/>
    <w:pPr>
      <w:widowControl w:val="0"/>
      <w:suppressAutoHyphens/>
      <w:autoSpaceDN w:val="0"/>
      <w:textAlignment w:val="baseline"/>
    </w:pPr>
    <w:rPr>
      <w:rFonts w:ascii="Arial" w:hAnsi="Arial" w:cs="Arial"/>
      <w:kern w:val="3"/>
      <w:sz w:val="24"/>
      <w:szCs w:val="24"/>
      <w:lang w:val="en-GB" w:eastAsia="zh-CN" w:bidi="hi-IN"/>
    </w:rPr>
  </w:style>
  <w:style w:type="paragraph" w:customStyle="1" w:styleId="listparagraph0">
    <w:name w:val="listparagraph"/>
    <w:basedOn w:val="Normal"/>
    <w:uiPriority w:val="99"/>
    <w:rsid w:val="005512DC"/>
    <w:pPr>
      <w:ind w:left="720"/>
    </w:pPr>
    <w:rPr>
      <w:sz w:val="23"/>
      <w:szCs w:val="23"/>
    </w:rPr>
  </w:style>
  <w:style w:type="paragraph" w:customStyle="1" w:styleId="bTOC1">
    <w:name w:val="bTOC 1"/>
    <w:basedOn w:val="TOC1"/>
    <w:uiPriority w:val="99"/>
    <w:rsid w:val="00AD7FB5"/>
    <w:pPr>
      <w:widowControl w:val="0"/>
      <w:tabs>
        <w:tab w:val="right" w:leader="dot" w:pos="9071"/>
      </w:tabs>
      <w:spacing w:line="360" w:lineRule="auto"/>
      <w:ind w:left="0" w:right="567" w:firstLine="0"/>
      <w:jc w:val="both"/>
    </w:pPr>
    <w:rPr>
      <w:rFonts w:ascii="Times New Roman" w:hAnsi="Times New Roman"/>
      <w:noProof w:val="0"/>
      <w:sz w:val="24"/>
      <w:szCs w:val="24"/>
    </w:rPr>
  </w:style>
  <w:style w:type="numbering" w:customStyle="1" w:styleId="WWNum29">
    <w:name w:val="WWNum29"/>
    <w:rsid w:val="00C867A1"/>
    <w:pPr>
      <w:numPr>
        <w:numId w:val="19"/>
      </w:numPr>
    </w:pPr>
  </w:style>
  <w:style w:type="paragraph" w:customStyle="1" w:styleId="yiv9465261733msonormal">
    <w:name w:val="yiv9465261733msonormal"/>
    <w:basedOn w:val="Normal"/>
    <w:rsid w:val="00D12891"/>
    <w:pPr>
      <w:spacing w:before="100" w:beforeAutospacing="1" w:after="100" w:afterAutospacing="1"/>
    </w:pPr>
    <w:rPr>
      <w:rFonts w:ascii="Times New Roman" w:hAnsi="Times New Roman"/>
    </w:rPr>
  </w:style>
  <w:style w:type="character" w:customStyle="1" w:styleId="fn">
    <w:name w:val="fn"/>
    <w:basedOn w:val="DefaultParagraphFont"/>
    <w:rsid w:val="005315C8"/>
  </w:style>
  <w:style w:type="character" w:customStyle="1" w:styleId="apple-converted-space">
    <w:name w:val="apple-converted-space"/>
    <w:basedOn w:val="DefaultParagraphFont"/>
    <w:rsid w:val="005315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E5050"/>
    <w:rPr>
      <w:rFonts w:ascii="Arial Narrow" w:hAnsi="Arial Narrow"/>
      <w:sz w:val="24"/>
      <w:szCs w:val="24"/>
    </w:rPr>
  </w:style>
  <w:style w:type="paragraph" w:styleId="Heading1">
    <w:name w:val="heading 1"/>
    <w:basedOn w:val="Normal"/>
    <w:next w:val="Normal"/>
    <w:link w:val="Heading1Char"/>
    <w:uiPriority w:val="99"/>
    <w:qFormat/>
    <w:rsid w:val="00321470"/>
    <w:pPr>
      <w:keepNext/>
      <w:spacing w:before="240"/>
      <w:ind w:left="709" w:hanging="709"/>
      <w:outlineLvl w:val="0"/>
    </w:pPr>
    <w:rPr>
      <w:b/>
      <w:bCs/>
      <w:smallCaps/>
      <w:kern w:val="32"/>
      <w:sz w:val="26"/>
      <w:szCs w:val="27"/>
      <w:lang w:val="en-US" w:eastAsia="en-US"/>
    </w:rPr>
  </w:style>
  <w:style w:type="paragraph" w:styleId="Heading2">
    <w:name w:val="heading 2"/>
    <w:basedOn w:val="Normal"/>
    <w:next w:val="Normal"/>
    <w:link w:val="Heading2Char"/>
    <w:uiPriority w:val="99"/>
    <w:qFormat/>
    <w:rsid w:val="0005706D"/>
    <w:pPr>
      <w:keepNext/>
      <w:spacing w:before="120"/>
      <w:outlineLvl w:val="1"/>
    </w:pPr>
    <w:rPr>
      <w:rFonts w:eastAsia="MS Gothic"/>
      <w:b/>
      <w:bCs/>
      <w:iCs/>
      <w:smallCaps/>
      <w:sz w:val="25"/>
      <w:szCs w:val="28"/>
    </w:rPr>
  </w:style>
  <w:style w:type="paragraph" w:styleId="Heading3">
    <w:name w:val="heading 3"/>
    <w:basedOn w:val="Normal"/>
    <w:next w:val="Normal"/>
    <w:link w:val="Heading3Char"/>
    <w:uiPriority w:val="99"/>
    <w:qFormat/>
    <w:rsid w:val="000F236F"/>
    <w:pPr>
      <w:keepNext/>
      <w:spacing w:after="180"/>
      <w:jc w:val="both"/>
      <w:outlineLvl w:val="2"/>
    </w:pPr>
    <w:rPr>
      <w:rFonts w:cs="Arial"/>
      <w:b/>
      <w:bCs/>
      <w:szCs w:val="26"/>
      <w:lang w:val="en-US" w:eastAsia="en-US"/>
    </w:rPr>
  </w:style>
  <w:style w:type="paragraph" w:styleId="Heading4">
    <w:name w:val="heading 4"/>
    <w:basedOn w:val="Normal"/>
    <w:next w:val="Normal"/>
    <w:link w:val="Heading4Char"/>
    <w:uiPriority w:val="99"/>
    <w:qFormat/>
    <w:rsid w:val="000B3556"/>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0B3556"/>
    <w:pPr>
      <w:spacing w:before="240" w:after="60"/>
      <w:outlineLvl w:val="4"/>
    </w:pPr>
    <w:rPr>
      <w:b/>
      <w:bCs/>
      <w:i/>
      <w:iCs/>
      <w:sz w:val="26"/>
      <w:szCs w:val="26"/>
    </w:rPr>
  </w:style>
  <w:style w:type="paragraph" w:styleId="Heading6">
    <w:name w:val="heading 6"/>
    <w:basedOn w:val="Normal"/>
    <w:next w:val="Normal"/>
    <w:link w:val="Heading6Char"/>
    <w:uiPriority w:val="99"/>
    <w:qFormat/>
    <w:rsid w:val="000B355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1470"/>
    <w:rPr>
      <w:rFonts w:ascii="Arial Narrow" w:hAnsi="Arial Narrow" w:cs="Times New Roman"/>
      <w:b/>
      <w:smallCaps/>
      <w:kern w:val="32"/>
      <w:sz w:val="27"/>
      <w:lang w:val="en-US" w:eastAsia="en-US"/>
    </w:rPr>
  </w:style>
  <w:style w:type="character" w:customStyle="1" w:styleId="Heading2Char">
    <w:name w:val="Heading 2 Char"/>
    <w:basedOn w:val="DefaultParagraphFont"/>
    <w:link w:val="Heading2"/>
    <w:uiPriority w:val="99"/>
    <w:locked/>
    <w:rsid w:val="0005706D"/>
    <w:rPr>
      <w:rFonts w:ascii="Arial Narrow" w:eastAsia="MS Gothic" w:hAnsi="Arial Narrow" w:cs="Times New Roman"/>
      <w:b/>
      <w:smallCaps/>
      <w:sz w:val="28"/>
    </w:rPr>
  </w:style>
  <w:style w:type="character" w:customStyle="1" w:styleId="Heading3Char">
    <w:name w:val="Heading 3 Char"/>
    <w:basedOn w:val="DefaultParagraphFont"/>
    <w:link w:val="Heading3"/>
    <w:uiPriority w:val="99"/>
    <w:semiHidden/>
    <w:locked/>
    <w:rsid w:val="00710EB3"/>
    <w:rPr>
      <w:rFonts w:ascii="Cambria" w:hAnsi="Cambria" w:cs="Times New Roman"/>
      <w:b/>
      <w:bCs/>
      <w:sz w:val="26"/>
      <w:szCs w:val="26"/>
    </w:rPr>
  </w:style>
  <w:style w:type="character" w:customStyle="1" w:styleId="Heading4Char">
    <w:name w:val="Heading 4 Char"/>
    <w:basedOn w:val="DefaultParagraphFont"/>
    <w:link w:val="Heading4"/>
    <w:uiPriority w:val="99"/>
    <w:locked/>
    <w:rsid w:val="00321470"/>
    <w:rPr>
      <w:rFonts w:cs="Times New Roman"/>
      <w:b/>
      <w:sz w:val="28"/>
    </w:rPr>
  </w:style>
  <w:style w:type="character" w:customStyle="1" w:styleId="Heading5Char">
    <w:name w:val="Heading 5 Char"/>
    <w:basedOn w:val="DefaultParagraphFont"/>
    <w:link w:val="Heading5"/>
    <w:uiPriority w:val="99"/>
    <w:semiHidden/>
    <w:locked/>
    <w:rsid w:val="00710EB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710EB3"/>
    <w:rPr>
      <w:rFonts w:ascii="Calibri" w:hAnsi="Calibri" w:cs="Times New Roman"/>
      <w:b/>
      <w:bCs/>
    </w:rPr>
  </w:style>
  <w:style w:type="paragraph" w:styleId="BalloonText">
    <w:name w:val="Balloon Text"/>
    <w:basedOn w:val="Normal"/>
    <w:link w:val="BalloonTextChar"/>
    <w:uiPriority w:val="99"/>
    <w:semiHidden/>
    <w:rsid w:val="000B3556"/>
    <w:rPr>
      <w:rFonts w:ascii="Tahoma" w:hAnsi="Tahoma" w:cs="Tahoma"/>
      <w:sz w:val="16"/>
      <w:szCs w:val="16"/>
    </w:rPr>
  </w:style>
  <w:style w:type="character" w:customStyle="1" w:styleId="BalloonTextChar">
    <w:name w:val="Balloon Text Char"/>
    <w:basedOn w:val="DefaultParagraphFont"/>
    <w:link w:val="BalloonText"/>
    <w:uiPriority w:val="99"/>
    <w:locked/>
    <w:rsid w:val="000B3556"/>
    <w:rPr>
      <w:rFonts w:ascii="Tahoma" w:hAnsi="Tahoma" w:cs="Times New Roman"/>
      <w:sz w:val="16"/>
      <w:lang w:val="en-AU" w:eastAsia="en-AU"/>
    </w:rPr>
  </w:style>
  <w:style w:type="character" w:styleId="Hyperlink">
    <w:name w:val="Hyperlink"/>
    <w:basedOn w:val="DefaultParagraphFont"/>
    <w:uiPriority w:val="99"/>
    <w:rsid w:val="000B3556"/>
    <w:rPr>
      <w:rFonts w:cs="Times New Roman"/>
      <w:color w:val="0000FF"/>
      <w:u w:val="single"/>
    </w:rPr>
  </w:style>
  <w:style w:type="paragraph" w:customStyle="1" w:styleId="A2JBodyText">
    <w:name w:val="A2J Body Text"/>
    <w:link w:val="A2JBodyTextChar"/>
    <w:uiPriority w:val="99"/>
    <w:rsid w:val="000B3556"/>
    <w:pPr>
      <w:widowControl w:val="0"/>
      <w:adjustRightInd w:val="0"/>
      <w:spacing w:line="288" w:lineRule="auto"/>
      <w:jc w:val="both"/>
      <w:textAlignment w:val="baseline"/>
    </w:pPr>
    <w:rPr>
      <w:rFonts w:ascii="Arial" w:hAnsi="Arial"/>
      <w:lang w:eastAsia="en-US"/>
    </w:rPr>
  </w:style>
  <w:style w:type="character" w:customStyle="1" w:styleId="A2JBodyTextChar">
    <w:name w:val="A2J Body Text Char"/>
    <w:link w:val="A2JBodyText"/>
    <w:uiPriority w:val="99"/>
    <w:locked/>
    <w:rsid w:val="000B3556"/>
    <w:rPr>
      <w:rFonts w:ascii="Arial" w:hAnsi="Arial"/>
      <w:sz w:val="22"/>
      <w:lang w:val="en-AU" w:eastAsia="en-US"/>
    </w:rPr>
  </w:style>
  <w:style w:type="paragraph" w:customStyle="1" w:styleId="NormalGaramond">
    <w:name w:val="Normal + Garamond"/>
    <w:basedOn w:val="Normal"/>
    <w:uiPriority w:val="99"/>
    <w:rsid w:val="000B3556"/>
    <w:pPr>
      <w:widowControl w:val="0"/>
      <w:adjustRightInd w:val="0"/>
      <w:spacing w:line="360" w:lineRule="atLeast"/>
      <w:jc w:val="both"/>
      <w:textAlignment w:val="baseline"/>
    </w:pPr>
    <w:rPr>
      <w:rFonts w:ascii="Garamond" w:hAnsi="Garamond"/>
      <w:lang w:eastAsia="en-US"/>
    </w:rPr>
  </w:style>
  <w:style w:type="table" w:styleId="TableGrid">
    <w:name w:val="Table Grid"/>
    <w:basedOn w:val="TableNormal"/>
    <w:uiPriority w:val="99"/>
    <w:rsid w:val="000B355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Justified">
    <w:name w:val="Normal (Justified)"/>
    <w:basedOn w:val="Normal"/>
    <w:link w:val="NormalJustifiedChar"/>
    <w:uiPriority w:val="99"/>
    <w:rsid w:val="000B3556"/>
    <w:pPr>
      <w:jc w:val="both"/>
    </w:pPr>
    <w:rPr>
      <w:rFonts w:ascii="Arial" w:hAnsi="Arial"/>
      <w:kern w:val="28"/>
      <w:sz w:val="20"/>
      <w:szCs w:val="20"/>
      <w:lang w:val="en-US" w:eastAsia="fr-FR"/>
    </w:rPr>
  </w:style>
  <w:style w:type="character" w:customStyle="1" w:styleId="NormalJustifiedChar">
    <w:name w:val="Normal (Justified) Char"/>
    <w:link w:val="NormalJustified"/>
    <w:uiPriority w:val="99"/>
    <w:locked/>
    <w:rsid w:val="000B3556"/>
    <w:rPr>
      <w:rFonts w:ascii="Arial" w:hAnsi="Arial"/>
      <w:kern w:val="28"/>
      <w:lang w:val="en-US" w:eastAsia="fr-FR"/>
    </w:rPr>
  </w:style>
  <w:style w:type="paragraph" w:styleId="FootnoteText">
    <w:name w:val="footnote text"/>
    <w:aliases w:val="Footnote Text Char,Footnote Text Char1 Char,Footnote Text Char Char Char,Footnote Text Char1,Footnote Text Char Char,Footnote Text Char1 Char Char Char Char,Footnote Text Char Char1,single space,Footnote Text Char Char Char1"/>
    <w:basedOn w:val="Normal"/>
    <w:link w:val="FootnoteTextChar2"/>
    <w:uiPriority w:val="99"/>
    <w:rsid w:val="000B3556"/>
    <w:rPr>
      <w:rFonts w:ascii="Verdana" w:hAnsi="Verdana"/>
      <w:sz w:val="20"/>
      <w:szCs w:val="20"/>
      <w:lang w:val="en-US" w:eastAsia="en-US"/>
    </w:rPr>
  </w:style>
  <w:style w:type="character" w:customStyle="1" w:styleId="FootnoteTextChar2">
    <w:name w:val="Footnote Text Char2"/>
    <w:aliases w:val="Footnote Text Char Char2,Footnote Text Char1 Char Char,Footnote Text Char Char Char Char,Footnote Text Char1 Char1,Footnote Text Char Char Char2,Footnote Text Char1 Char Char Char Char Char,Footnote Text Char Char1 Char"/>
    <w:basedOn w:val="DefaultParagraphFont"/>
    <w:link w:val="FootnoteText"/>
    <w:uiPriority w:val="99"/>
    <w:locked/>
    <w:rsid w:val="000B3556"/>
    <w:rPr>
      <w:rFonts w:ascii="Verdana" w:hAnsi="Verdana" w:cs="Times New Roman"/>
      <w:lang w:val="en-US" w:eastAsia="en-US"/>
    </w:rPr>
  </w:style>
  <w:style w:type="character" w:styleId="FootnoteReference">
    <w:name w:val="footnote reference"/>
    <w:aliases w:val="BVI fnr, BVI fnr"/>
    <w:basedOn w:val="DefaultParagraphFont"/>
    <w:uiPriority w:val="99"/>
    <w:rsid w:val="000B3556"/>
    <w:rPr>
      <w:rFonts w:cs="Times New Roman"/>
      <w:vertAlign w:val="superscript"/>
    </w:rPr>
  </w:style>
  <w:style w:type="character" w:styleId="CommentReference">
    <w:name w:val="annotation reference"/>
    <w:basedOn w:val="DefaultParagraphFont"/>
    <w:uiPriority w:val="99"/>
    <w:semiHidden/>
    <w:rsid w:val="000B3556"/>
    <w:rPr>
      <w:rFonts w:cs="Times New Roman"/>
      <w:sz w:val="16"/>
    </w:rPr>
  </w:style>
  <w:style w:type="paragraph" w:styleId="CommentText">
    <w:name w:val="annotation text"/>
    <w:basedOn w:val="Normal"/>
    <w:link w:val="CommentTextChar"/>
    <w:uiPriority w:val="99"/>
    <w:semiHidden/>
    <w:rsid w:val="000B3556"/>
    <w:rPr>
      <w:rFonts w:ascii="Verdana" w:hAnsi="Verdana"/>
      <w:sz w:val="20"/>
      <w:szCs w:val="20"/>
    </w:rPr>
  </w:style>
  <w:style w:type="character" w:customStyle="1" w:styleId="CommentTextChar">
    <w:name w:val="Comment Text Char"/>
    <w:basedOn w:val="DefaultParagraphFont"/>
    <w:link w:val="CommentText"/>
    <w:uiPriority w:val="99"/>
    <w:locked/>
    <w:rsid w:val="000B3556"/>
    <w:rPr>
      <w:rFonts w:ascii="Verdana" w:hAnsi="Verdana" w:cs="Times New Roman"/>
      <w:lang w:val="en-AU" w:eastAsia="en-AU"/>
    </w:rPr>
  </w:style>
  <w:style w:type="paragraph" w:styleId="CommentSubject">
    <w:name w:val="annotation subject"/>
    <w:basedOn w:val="CommentText"/>
    <w:next w:val="CommentText"/>
    <w:link w:val="CommentSubjectChar"/>
    <w:uiPriority w:val="99"/>
    <w:semiHidden/>
    <w:rsid w:val="000B3556"/>
    <w:rPr>
      <w:b/>
      <w:bCs/>
    </w:rPr>
  </w:style>
  <w:style w:type="character" w:customStyle="1" w:styleId="CommentSubjectChar">
    <w:name w:val="Comment Subject Char"/>
    <w:basedOn w:val="CommentTextChar"/>
    <w:link w:val="CommentSubject"/>
    <w:uiPriority w:val="99"/>
    <w:locked/>
    <w:rsid w:val="000B3556"/>
    <w:rPr>
      <w:rFonts w:ascii="Verdana" w:hAnsi="Verdana" w:cs="Times New Roman"/>
      <w:b/>
      <w:lang w:val="en-AU" w:eastAsia="en-AU"/>
    </w:rPr>
  </w:style>
  <w:style w:type="paragraph" w:styleId="Header">
    <w:name w:val="header"/>
    <w:basedOn w:val="Normal"/>
    <w:link w:val="HeaderChar"/>
    <w:uiPriority w:val="99"/>
    <w:rsid w:val="000B3556"/>
    <w:pPr>
      <w:tabs>
        <w:tab w:val="center" w:pos="4513"/>
        <w:tab w:val="right" w:pos="9026"/>
      </w:tabs>
    </w:pPr>
    <w:rPr>
      <w:rFonts w:ascii="Verdana" w:hAnsi="Verdana"/>
    </w:rPr>
  </w:style>
  <w:style w:type="character" w:customStyle="1" w:styleId="HeaderChar">
    <w:name w:val="Header Char"/>
    <w:basedOn w:val="DefaultParagraphFont"/>
    <w:link w:val="Header"/>
    <w:uiPriority w:val="99"/>
    <w:locked/>
    <w:rsid w:val="000B3556"/>
    <w:rPr>
      <w:rFonts w:ascii="Verdana" w:hAnsi="Verdana" w:cs="Times New Roman"/>
      <w:sz w:val="24"/>
      <w:lang w:val="en-AU" w:eastAsia="en-AU"/>
    </w:rPr>
  </w:style>
  <w:style w:type="paragraph" w:styleId="Footer">
    <w:name w:val="footer"/>
    <w:basedOn w:val="Normal"/>
    <w:link w:val="FooterChar"/>
    <w:uiPriority w:val="99"/>
    <w:rsid w:val="000B3556"/>
    <w:pPr>
      <w:tabs>
        <w:tab w:val="center" w:pos="4513"/>
        <w:tab w:val="right" w:pos="9026"/>
      </w:tabs>
    </w:pPr>
    <w:rPr>
      <w:rFonts w:ascii="Verdana" w:hAnsi="Verdana"/>
    </w:rPr>
  </w:style>
  <w:style w:type="character" w:customStyle="1" w:styleId="FooterChar">
    <w:name w:val="Footer Char"/>
    <w:basedOn w:val="DefaultParagraphFont"/>
    <w:link w:val="Footer"/>
    <w:uiPriority w:val="99"/>
    <w:locked/>
    <w:rsid w:val="000B3556"/>
    <w:rPr>
      <w:rFonts w:ascii="Verdana" w:hAnsi="Verdana" w:cs="Times New Roman"/>
      <w:sz w:val="24"/>
      <w:lang w:val="en-AU" w:eastAsia="en-AU"/>
    </w:rPr>
  </w:style>
  <w:style w:type="paragraph" w:styleId="PlainText">
    <w:name w:val="Plain Text"/>
    <w:basedOn w:val="Normal"/>
    <w:link w:val="PlainTextChar"/>
    <w:uiPriority w:val="99"/>
    <w:rsid w:val="000B3556"/>
    <w:pPr>
      <w:spacing w:before="100" w:beforeAutospacing="1" w:after="100" w:afterAutospacing="1"/>
    </w:pPr>
    <w:rPr>
      <w:lang w:val="en-US" w:eastAsia="en-US"/>
    </w:rPr>
  </w:style>
  <w:style w:type="character" w:customStyle="1" w:styleId="PlainTextChar">
    <w:name w:val="Plain Text Char"/>
    <w:basedOn w:val="DefaultParagraphFont"/>
    <w:link w:val="PlainText"/>
    <w:uiPriority w:val="99"/>
    <w:semiHidden/>
    <w:locked/>
    <w:rsid w:val="00710EB3"/>
    <w:rPr>
      <w:rFonts w:ascii="Courier New" w:hAnsi="Courier New" w:cs="Courier New"/>
      <w:sz w:val="20"/>
      <w:szCs w:val="20"/>
    </w:rPr>
  </w:style>
  <w:style w:type="paragraph" w:styleId="TOC3">
    <w:name w:val="toc 3"/>
    <w:basedOn w:val="Normal"/>
    <w:next w:val="Normal"/>
    <w:autoRedefine/>
    <w:uiPriority w:val="39"/>
    <w:rsid w:val="00D84266"/>
    <w:pPr>
      <w:tabs>
        <w:tab w:val="left" w:pos="1200"/>
        <w:tab w:val="right" w:leader="dot" w:pos="9120"/>
      </w:tabs>
      <w:ind w:left="480"/>
    </w:pPr>
  </w:style>
  <w:style w:type="paragraph" w:styleId="TOC1">
    <w:name w:val="toc 1"/>
    <w:basedOn w:val="Normal"/>
    <w:next w:val="Normal"/>
    <w:autoRedefine/>
    <w:uiPriority w:val="39"/>
    <w:rsid w:val="00FD0449"/>
    <w:pPr>
      <w:tabs>
        <w:tab w:val="right" w:leader="dot" w:pos="8931"/>
      </w:tabs>
      <w:spacing w:before="180"/>
      <w:ind w:left="709" w:hanging="709"/>
    </w:pPr>
    <w:rPr>
      <w:rFonts w:cs="Arial"/>
      <w:bCs/>
      <w:noProof/>
      <w:kern w:val="32"/>
      <w:sz w:val="23"/>
      <w:szCs w:val="23"/>
      <w:lang w:eastAsia="en-US"/>
    </w:rPr>
  </w:style>
  <w:style w:type="paragraph" w:styleId="TOC2">
    <w:name w:val="toc 2"/>
    <w:basedOn w:val="Normal"/>
    <w:next w:val="Normal"/>
    <w:autoRedefine/>
    <w:uiPriority w:val="39"/>
    <w:rsid w:val="00FD0449"/>
    <w:pPr>
      <w:tabs>
        <w:tab w:val="left" w:pos="1349"/>
        <w:tab w:val="right" w:leader="dot" w:pos="8931"/>
      </w:tabs>
      <w:spacing w:before="80"/>
      <w:ind w:left="851" w:hanging="567"/>
    </w:pPr>
  </w:style>
  <w:style w:type="character" w:styleId="FollowedHyperlink">
    <w:name w:val="FollowedHyperlink"/>
    <w:basedOn w:val="DefaultParagraphFont"/>
    <w:uiPriority w:val="99"/>
    <w:rsid w:val="000B3556"/>
    <w:rPr>
      <w:rFonts w:cs="Times New Roman"/>
      <w:color w:val="800080"/>
      <w:u w:val="single"/>
    </w:rPr>
  </w:style>
  <w:style w:type="paragraph" w:styleId="ListParagraph">
    <w:name w:val="List Paragraph"/>
    <w:aliases w:val="Table Bullet"/>
    <w:basedOn w:val="Normal"/>
    <w:link w:val="ListParagraphChar"/>
    <w:uiPriority w:val="99"/>
    <w:qFormat/>
    <w:rsid w:val="000B3556"/>
    <w:pPr>
      <w:ind w:left="720"/>
    </w:pPr>
    <w:rPr>
      <w:rFonts w:ascii="Calibri" w:hAnsi="Calibri"/>
      <w:sz w:val="22"/>
      <w:szCs w:val="20"/>
      <w:lang w:eastAsia="en-US"/>
    </w:rPr>
  </w:style>
  <w:style w:type="character" w:styleId="PageNumber">
    <w:name w:val="page number"/>
    <w:basedOn w:val="DefaultParagraphFont"/>
    <w:uiPriority w:val="99"/>
    <w:rsid w:val="000B3556"/>
    <w:rPr>
      <w:rFonts w:cs="Times New Roman"/>
    </w:rPr>
  </w:style>
  <w:style w:type="paragraph" w:styleId="List">
    <w:name w:val="List"/>
    <w:basedOn w:val="Normal"/>
    <w:uiPriority w:val="99"/>
    <w:rsid w:val="000B3556"/>
    <w:pPr>
      <w:ind w:left="283" w:hanging="283"/>
    </w:pPr>
  </w:style>
  <w:style w:type="paragraph" w:styleId="List2">
    <w:name w:val="List 2"/>
    <w:basedOn w:val="Normal"/>
    <w:uiPriority w:val="99"/>
    <w:rsid w:val="000B3556"/>
    <w:pPr>
      <w:ind w:left="566" w:hanging="283"/>
    </w:pPr>
  </w:style>
  <w:style w:type="paragraph" w:styleId="ListBullet">
    <w:name w:val="List Bullet"/>
    <w:basedOn w:val="Normal"/>
    <w:uiPriority w:val="99"/>
    <w:rsid w:val="000B3556"/>
    <w:pPr>
      <w:numPr>
        <w:numId w:val="1"/>
      </w:numPr>
    </w:pPr>
  </w:style>
  <w:style w:type="paragraph" w:styleId="ListBullet2">
    <w:name w:val="List Bullet 2"/>
    <w:basedOn w:val="Normal"/>
    <w:uiPriority w:val="99"/>
    <w:rsid w:val="000B3556"/>
    <w:pPr>
      <w:numPr>
        <w:numId w:val="2"/>
      </w:numPr>
    </w:pPr>
  </w:style>
  <w:style w:type="paragraph" w:styleId="BodyText">
    <w:name w:val="Body Text"/>
    <w:basedOn w:val="Normal"/>
    <w:link w:val="BodyTextChar"/>
    <w:uiPriority w:val="99"/>
    <w:rsid w:val="000B3556"/>
    <w:pPr>
      <w:spacing w:after="120"/>
    </w:pPr>
  </w:style>
  <w:style w:type="character" w:customStyle="1" w:styleId="BodyTextChar">
    <w:name w:val="Body Text Char"/>
    <w:basedOn w:val="DefaultParagraphFont"/>
    <w:link w:val="BodyText"/>
    <w:uiPriority w:val="99"/>
    <w:semiHidden/>
    <w:locked/>
    <w:rsid w:val="00710EB3"/>
    <w:rPr>
      <w:rFonts w:ascii="Arial Narrow" w:hAnsi="Arial Narrow" w:cs="Times New Roman"/>
      <w:sz w:val="24"/>
      <w:szCs w:val="24"/>
    </w:rPr>
  </w:style>
  <w:style w:type="paragraph" w:styleId="BodyTextIndent">
    <w:name w:val="Body Text Indent"/>
    <w:basedOn w:val="Normal"/>
    <w:link w:val="BodyTextIndentChar"/>
    <w:uiPriority w:val="99"/>
    <w:rsid w:val="000B3556"/>
    <w:pPr>
      <w:spacing w:after="120"/>
      <w:ind w:left="283"/>
    </w:pPr>
  </w:style>
  <w:style w:type="character" w:customStyle="1" w:styleId="BodyTextIndentChar">
    <w:name w:val="Body Text Indent Char"/>
    <w:basedOn w:val="DefaultParagraphFont"/>
    <w:link w:val="BodyTextIndent"/>
    <w:uiPriority w:val="99"/>
    <w:semiHidden/>
    <w:locked/>
    <w:rsid w:val="00710EB3"/>
    <w:rPr>
      <w:rFonts w:ascii="Arial Narrow" w:hAnsi="Arial Narrow" w:cs="Times New Roman"/>
      <w:sz w:val="24"/>
      <w:szCs w:val="24"/>
    </w:rPr>
  </w:style>
  <w:style w:type="paragraph" w:styleId="BodyTextFirstIndent2">
    <w:name w:val="Body Text First Indent 2"/>
    <w:basedOn w:val="BodyTextIndent"/>
    <w:link w:val="BodyTextFirstIndent2Char"/>
    <w:uiPriority w:val="99"/>
    <w:rsid w:val="000B3556"/>
    <w:pPr>
      <w:ind w:firstLine="210"/>
    </w:pPr>
  </w:style>
  <w:style w:type="character" w:customStyle="1" w:styleId="BodyTextFirstIndent2Char">
    <w:name w:val="Body Text First Indent 2 Char"/>
    <w:basedOn w:val="BodyTextIndentChar"/>
    <w:link w:val="BodyTextFirstIndent2"/>
    <w:uiPriority w:val="99"/>
    <w:semiHidden/>
    <w:locked/>
    <w:rsid w:val="00710EB3"/>
    <w:rPr>
      <w:rFonts w:ascii="Arial Narrow" w:hAnsi="Arial Narrow" w:cs="Times New Roman"/>
      <w:sz w:val="24"/>
      <w:szCs w:val="24"/>
    </w:rPr>
  </w:style>
  <w:style w:type="paragraph" w:customStyle="1" w:styleId="DocumentLabel">
    <w:name w:val="Document Label"/>
    <w:basedOn w:val="Normal"/>
    <w:uiPriority w:val="99"/>
    <w:rsid w:val="000B3556"/>
    <w:pPr>
      <w:keepNext/>
      <w:keepLines/>
      <w:spacing w:before="400" w:after="120" w:line="240" w:lineRule="atLeast"/>
    </w:pPr>
    <w:rPr>
      <w:rFonts w:ascii="Arial Black" w:hAnsi="Arial Black"/>
      <w:spacing w:val="-100"/>
      <w:kern w:val="28"/>
      <w:sz w:val="108"/>
      <w:szCs w:val="20"/>
      <w:lang w:eastAsia="en-US"/>
    </w:rPr>
  </w:style>
  <w:style w:type="paragraph" w:styleId="Revision">
    <w:name w:val="Revision"/>
    <w:hidden/>
    <w:uiPriority w:val="99"/>
    <w:semiHidden/>
    <w:rsid w:val="00926055"/>
    <w:rPr>
      <w:rFonts w:ascii="Verdana" w:hAnsi="Verdana"/>
      <w:sz w:val="20"/>
      <w:szCs w:val="24"/>
    </w:rPr>
  </w:style>
  <w:style w:type="paragraph" w:customStyle="1" w:styleId="CharCharChar">
    <w:name w:val="Char Char Char"/>
    <w:basedOn w:val="Normal"/>
    <w:uiPriority w:val="99"/>
    <w:rsid w:val="00343498"/>
    <w:pPr>
      <w:spacing w:after="160" w:line="240" w:lineRule="exact"/>
    </w:pPr>
    <w:rPr>
      <w:rFonts w:ascii="Tahoma" w:hAnsi="Tahoma"/>
      <w:szCs w:val="20"/>
      <w:lang w:val="en-GB" w:eastAsia="en-US"/>
    </w:rPr>
  </w:style>
  <w:style w:type="character" w:customStyle="1" w:styleId="ListParagraphChar">
    <w:name w:val="List Paragraph Char"/>
    <w:aliases w:val="Table Bullet Char"/>
    <w:link w:val="ListParagraph"/>
    <w:uiPriority w:val="99"/>
    <w:locked/>
    <w:rsid w:val="00321470"/>
    <w:rPr>
      <w:rFonts w:ascii="Calibri" w:hAnsi="Calibri"/>
      <w:sz w:val="22"/>
      <w:lang w:eastAsia="en-US"/>
    </w:rPr>
  </w:style>
  <w:style w:type="paragraph" w:customStyle="1" w:styleId="Default">
    <w:name w:val="Default"/>
    <w:rsid w:val="00321470"/>
    <w:pPr>
      <w:autoSpaceDE w:val="0"/>
      <w:autoSpaceDN w:val="0"/>
      <w:adjustRightInd w:val="0"/>
    </w:pPr>
    <w:rPr>
      <w:rFonts w:ascii="Arial" w:hAnsi="Arial" w:cs="Arial"/>
      <w:color w:val="000000"/>
      <w:sz w:val="24"/>
      <w:szCs w:val="24"/>
    </w:rPr>
  </w:style>
  <w:style w:type="paragraph" w:customStyle="1" w:styleId="CharCharChar1">
    <w:name w:val="Char Char Char1"/>
    <w:basedOn w:val="Normal"/>
    <w:uiPriority w:val="99"/>
    <w:rsid w:val="00784C2B"/>
    <w:pPr>
      <w:spacing w:after="160" w:line="240" w:lineRule="exact"/>
    </w:pPr>
    <w:rPr>
      <w:rFonts w:ascii="Tahoma" w:hAnsi="Tahoma"/>
      <w:sz w:val="20"/>
      <w:szCs w:val="20"/>
      <w:lang w:val="en-GB" w:eastAsia="en-US"/>
    </w:rPr>
  </w:style>
  <w:style w:type="paragraph" w:styleId="BodyText3">
    <w:name w:val="Body Text 3"/>
    <w:basedOn w:val="Normal"/>
    <w:link w:val="BodyText3Char"/>
    <w:uiPriority w:val="99"/>
    <w:rsid w:val="006B591A"/>
    <w:pPr>
      <w:spacing w:after="120"/>
    </w:pPr>
    <w:rPr>
      <w:sz w:val="16"/>
      <w:szCs w:val="16"/>
    </w:rPr>
  </w:style>
  <w:style w:type="character" w:customStyle="1" w:styleId="BodyText3Char">
    <w:name w:val="Body Text 3 Char"/>
    <w:basedOn w:val="DefaultParagraphFont"/>
    <w:link w:val="BodyText3"/>
    <w:uiPriority w:val="99"/>
    <w:locked/>
    <w:rsid w:val="006B591A"/>
    <w:rPr>
      <w:rFonts w:ascii="Arial Narrow" w:hAnsi="Arial Narrow" w:cs="Times New Roman"/>
      <w:sz w:val="16"/>
    </w:rPr>
  </w:style>
  <w:style w:type="paragraph" w:customStyle="1" w:styleId="Normal10pt">
    <w:name w:val="Normal + 10 pt"/>
    <w:basedOn w:val="Normal"/>
    <w:uiPriority w:val="99"/>
    <w:rsid w:val="00DA6D0A"/>
    <w:rPr>
      <w:sz w:val="20"/>
      <w:szCs w:val="20"/>
    </w:rPr>
  </w:style>
  <w:style w:type="paragraph" w:customStyle="1" w:styleId="BulletPoints">
    <w:name w:val="Bullet Points"/>
    <w:basedOn w:val="Normal"/>
    <w:uiPriority w:val="99"/>
    <w:rsid w:val="00BC7816"/>
    <w:pPr>
      <w:numPr>
        <w:numId w:val="5"/>
      </w:numPr>
      <w:overflowPunct w:val="0"/>
      <w:autoSpaceDE w:val="0"/>
      <w:autoSpaceDN w:val="0"/>
      <w:adjustRightInd w:val="0"/>
      <w:spacing w:after="240"/>
      <w:jc w:val="both"/>
      <w:textAlignment w:val="baseline"/>
    </w:pPr>
    <w:rPr>
      <w:rFonts w:ascii="Arial" w:hAnsi="Arial"/>
      <w:szCs w:val="20"/>
      <w:lang w:val="en-NZ" w:eastAsia="en-US" w:bidi="ar-DZ"/>
    </w:rPr>
  </w:style>
  <w:style w:type="character" w:customStyle="1" w:styleId="st">
    <w:name w:val="st"/>
    <w:basedOn w:val="DefaultParagraphFont"/>
    <w:uiPriority w:val="99"/>
    <w:rsid w:val="00561C8E"/>
    <w:rPr>
      <w:rFonts w:cs="Times New Roman"/>
    </w:rPr>
  </w:style>
  <w:style w:type="character" w:styleId="Emphasis">
    <w:name w:val="Emphasis"/>
    <w:basedOn w:val="DefaultParagraphFont"/>
    <w:uiPriority w:val="99"/>
    <w:qFormat/>
    <w:rsid w:val="00561C8E"/>
    <w:rPr>
      <w:rFonts w:cs="Times New Roman"/>
      <w:i/>
      <w:iCs/>
    </w:rPr>
  </w:style>
  <w:style w:type="paragraph" w:customStyle="1" w:styleId="yiv1459980479msonormal">
    <w:name w:val="yiv1459980479msonormal"/>
    <w:basedOn w:val="Normal"/>
    <w:uiPriority w:val="99"/>
    <w:rsid w:val="00584D47"/>
    <w:pPr>
      <w:spacing w:before="100" w:beforeAutospacing="1" w:after="100" w:afterAutospacing="1"/>
    </w:pPr>
    <w:rPr>
      <w:rFonts w:ascii="Times New Roman" w:hAnsi="Times New Roman"/>
    </w:rPr>
  </w:style>
  <w:style w:type="paragraph" w:customStyle="1" w:styleId="Standarduser">
    <w:name w:val="Standard (user)"/>
    <w:uiPriority w:val="99"/>
    <w:rsid w:val="00CC0FB8"/>
    <w:pPr>
      <w:widowControl w:val="0"/>
      <w:suppressAutoHyphens/>
      <w:autoSpaceDN w:val="0"/>
      <w:textAlignment w:val="baseline"/>
    </w:pPr>
    <w:rPr>
      <w:rFonts w:cs="Mangal"/>
      <w:kern w:val="3"/>
      <w:sz w:val="24"/>
      <w:szCs w:val="24"/>
      <w:lang w:val="en-GB" w:eastAsia="zh-CN" w:bidi="hi-IN"/>
    </w:rPr>
  </w:style>
  <w:style w:type="paragraph" w:customStyle="1" w:styleId="Standard">
    <w:name w:val="Standard"/>
    <w:uiPriority w:val="99"/>
    <w:rsid w:val="00CC0FB8"/>
    <w:pPr>
      <w:widowControl w:val="0"/>
      <w:suppressAutoHyphens/>
      <w:autoSpaceDN w:val="0"/>
      <w:textAlignment w:val="baseline"/>
    </w:pPr>
    <w:rPr>
      <w:rFonts w:ascii="Arial" w:hAnsi="Arial" w:cs="Arial"/>
      <w:kern w:val="3"/>
      <w:sz w:val="24"/>
      <w:szCs w:val="24"/>
      <w:lang w:val="en-GB" w:eastAsia="zh-CN" w:bidi="hi-IN"/>
    </w:rPr>
  </w:style>
  <w:style w:type="paragraph" w:customStyle="1" w:styleId="listparagraph0">
    <w:name w:val="listparagraph"/>
    <w:basedOn w:val="Normal"/>
    <w:uiPriority w:val="99"/>
    <w:rsid w:val="005512DC"/>
    <w:pPr>
      <w:ind w:left="720"/>
    </w:pPr>
    <w:rPr>
      <w:sz w:val="23"/>
      <w:szCs w:val="23"/>
    </w:rPr>
  </w:style>
  <w:style w:type="paragraph" w:customStyle="1" w:styleId="bTOC1">
    <w:name w:val="bTOC 1"/>
    <w:basedOn w:val="TOC1"/>
    <w:uiPriority w:val="99"/>
    <w:rsid w:val="00AD7FB5"/>
    <w:pPr>
      <w:widowControl w:val="0"/>
      <w:tabs>
        <w:tab w:val="right" w:leader="dot" w:pos="9071"/>
      </w:tabs>
      <w:spacing w:line="360" w:lineRule="auto"/>
      <w:ind w:left="0" w:right="567" w:firstLine="0"/>
      <w:jc w:val="both"/>
    </w:pPr>
    <w:rPr>
      <w:rFonts w:ascii="Times New Roman" w:hAnsi="Times New Roman"/>
      <w:noProof w:val="0"/>
      <w:sz w:val="24"/>
      <w:szCs w:val="24"/>
    </w:rPr>
  </w:style>
  <w:style w:type="numbering" w:customStyle="1" w:styleId="WWNum29">
    <w:name w:val="WWNum29"/>
    <w:rsid w:val="00C867A1"/>
    <w:pPr>
      <w:numPr>
        <w:numId w:val="19"/>
      </w:numPr>
    </w:pPr>
  </w:style>
  <w:style w:type="paragraph" w:customStyle="1" w:styleId="yiv9465261733msonormal">
    <w:name w:val="yiv9465261733msonormal"/>
    <w:basedOn w:val="Normal"/>
    <w:rsid w:val="00D12891"/>
    <w:pPr>
      <w:spacing w:before="100" w:beforeAutospacing="1" w:after="100" w:afterAutospacing="1"/>
    </w:pPr>
    <w:rPr>
      <w:rFonts w:ascii="Times New Roman" w:hAnsi="Times New Roman"/>
    </w:rPr>
  </w:style>
  <w:style w:type="character" w:customStyle="1" w:styleId="fn">
    <w:name w:val="fn"/>
    <w:basedOn w:val="DefaultParagraphFont"/>
    <w:rsid w:val="005315C8"/>
  </w:style>
  <w:style w:type="character" w:customStyle="1" w:styleId="apple-converted-space">
    <w:name w:val="apple-converted-space"/>
    <w:basedOn w:val="DefaultParagraphFont"/>
    <w:rsid w:val="00531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570885">
      <w:marLeft w:val="0"/>
      <w:marRight w:val="0"/>
      <w:marTop w:val="0"/>
      <w:marBottom w:val="0"/>
      <w:divBdr>
        <w:top w:val="none" w:sz="0" w:space="0" w:color="auto"/>
        <w:left w:val="none" w:sz="0" w:space="0" w:color="auto"/>
        <w:bottom w:val="none" w:sz="0" w:space="0" w:color="auto"/>
        <w:right w:val="none" w:sz="0" w:space="0" w:color="auto"/>
      </w:divBdr>
    </w:div>
    <w:div w:id="315570886">
      <w:marLeft w:val="0"/>
      <w:marRight w:val="0"/>
      <w:marTop w:val="0"/>
      <w:marBottom w:val="0"/>
      <w:divBdr>
        <w:top w:val="none" w:sz="0" w:space="0" w:color="auto"/>
        <w:left w:val="none" w:sz="0" w:space="0" w:color="auto"/>
        <w:bottom w:val="none" w:sz="0" w:space="0" w:color="auto"/>
        <w:right w:val="none" w:sz="0" w:space="0" w:color="auto"/>
      </w:divBdr>
    </w:div>
    <w:div w:id="315570887">
      <w:marLeft w:val="0"/>
      <w:marRight w:val="0"/>
      <w:marTop w:val="0"/>
      <w:marBottom w:val="0"/>
      <w:divBdr>
        <w:top w:val="none" w:sz="0" w:space="0" w:color="auto"/>
        <w:left w:val="none" w:sz="0" w:space="0" w:color="auto"/>
        <w:bottom w:val="none" w:sz="0" w:space="0" w:color="auto"/>
        <w:right w:val="none" w:sz="0" w:space="0" w:color="auto"/>
      </w:divBdr>
    </w:div>
    <w:div w:id="315570888">
      <w:marLeft w:val="0"/>
      <w:marRight w:val="0"/>
      <w:marTop w:val="0"/>
      <w:marBottom w:val="0"/>
      <w:divBdr>
        <w:top w:val="none" w:sz="0" w:space="0" w:color="auto"/>
        <w:left w:val="none" w:sz="0" w:space="0" w:color="auto"/>
        <w:bottom w:val="none" w:sz="0" w:space="0" w:color="auto"/>
        <w:right w:val="none" w:sz="0" w:space="0" w:color="auto"/>
      </w:divBdr>
    </w:div>
    <w:div w:id="315570889">
      <w:marLeft w:val="0"/>
      <w:marRight w:val="0"/>
      <w:marTop w:val="0"/>
      <w:marBottom w:val="0"/>
      <w:divBdr>
        <w:top w:val="none" w:sz="0" w:space="0" w:color="auto"/>
        <w:left w:val="none" w:sz="0" w:space="0" w:color="auto"/>
        <w:bottom w:val="none" w:sz="0" w:space="0" w:color="auto"/>
        <w:right w:val="none" w:sz="0" w:space="0" w:color="auto"/>
      </w:divBdr>
    </w:div>
    <w:div w:id="315570890">
      <w:marLeft w:val="0"/>
      <w:marRight w:val="0"/>
      <w:marTop w:val="0"/>
      <w:marBottom w:val="0"/>
      <w:divBdr>
        <w:top w:val="none" w:sz="0" w:space="0" w:color="auto"/>
        <w:left w:val="none" w:sz="0" w:space="0" w:color="auto"/>
        <w:bottom w:val="none" w:sz="0" w:space="0" w:color="auto"/>
        <w:right w:val="none" w:sz="0" w:space="0" w:color="auto"/>
      </w:divBdr>
    </w:div>
    <w:div w:id="315570891">
      <w:marLeft w:val="0"/>
      <w:marRight w:val="0"/>
      <w:marTop w:val="0"/>
      <w:marBottom w:val="0"/>
      <w:divBdr>
        <w:top w:val="none" w:sz="0" w:space="0" w:color="auto"/>
        <w:left w:val="none" w:sz="0" w:space="0" w:color="auto"/>
        <w:bottom w:val="none" w:sz="0" w:space="0" w:color="auto"/>
        <w:right w:val="none" w:sz="0" w:space="0" w:color="auto"/>
      </w:divBdr>
    </w:div>
    <w:div w:id="315570892">
      <w:marLeft w:val="0"/>
      <w:marRight w:val="0"/>
      <w:marTop w:val="0"/>
      <w:marBottom w:val="0"/>
      <w:divBdr>
        <w:top w:val="none" w:sz="0" w:space="0" w:color="auto"/>
        <w:left w:val="none" w:sz="0" w:space="0" w:color="auto"/>
        <w:bottom w:val="none" w:sz="0" w:space="0" w:color="auto"/>
        <w:right w:val="none" w:sz="0" w:space="0" w:color="auto"/>
      </w:divBdr>
    </w:div>
    <w:div w:id="315570893">
      <w:marLeft w:val="0"/>
      <w:marRight w:val="0"/>
      <w:marTop w:val="0"/>
      <w:marBottom w:val="0"/>
      <w:divBdr>
        <w:top w:val="none" w:sz="0" w:space="0" w:color="auto"/>
        <w:left w:val="none" w:sz="0" w:space="0" w:color="auto"/>
        <w:bottom w:val="none" w:sz="0" w:space="0" w:color="auto"/>
        <w:right w:val="none" w:sz="0" w:space="0" w:color="auto"/>
      </w:divBdr>
    </w:div>
    <w:div w:id="315570894">
      <w:marLeft w:val="0"/>
      <w:marRight w:val="0"/>
      <w:marTop w:val="0"/>
      <w:marBottom w:val="0"/>
      <w:divBdr>
        <w:top w:val="none" w:sz="0" w:space="0" w:color="auto"/>
        <w:left w:val="none" w:sz="0" w:space="0" w:color="auto"/>
        <w:bottom w:val="none" w:sz="0" w:space="0" w:color="auto"/>
        <w:right w:val="none" w:sz="0" w:space="0" w:color="auto"/>
      </w:divBdr>
    </w:div>
    <w:div w:id="315570895">
      <w:marLeft w:val="0"/>
      <w:marRight w:val="0"/>
      <w:marTop w:val="0"/>
      <w:marBottom w:val="0"/>
      <w:divBdr>
        <w:top w:val="none" w:sz="0" w:space="0" w:color="auto"/>
        <w:left w:val="none" w:sz="0" w:space="0" w:color="auto"/>
        <w:bottom w:val="none" w:sz="0" w:space="0" w:color="auto"/>
        <w:right w:val="none" w:sz="0" w:space="0" w:color="auto"/>
      </w:divBdr>
    </w:div>
    <w:div w:id="315570896">
      <w:marLeft w:val="0"/>
      <w:marRight w:val="0"/>
      <w:marTop w:val="0"/>
      <w:marBottom w:val="0"/>
      <w:divBdr>
        <w:top w:val="none" w:sz="0" w:space="0" w:color="auto"/>
        <w:left w:val="none" w:sz="0" w:space="0" w:color="auto"/>
        <w:bottom w:val="none" w:sz="0" w:space="0" w:color="auto"/>
        <w:right w:val="none" w:sz="0" w:space="0" w:color="auto"/>
      </w:divBdr>
    </w:div>
    <w:div w:id="315570897">
      <w:marLeft w:val="0"/>
      <w:marRight w:val="0"/>
      <w:marTop w:val="0"/>
      <w:marBottom w:val="0"/>
      <w:divBdr>
        <w:top w:val="none" w:sz="0" w:space="0" w:color="auto"/>
        <w:left w:val="none" w:sz="0" w:space="0" w:color="auto"/>
        <w:bottom w:val="none" w:sz="0" w:space="0" w:color="auto"/>
        <w:right w:val="none" w:sz="0" w:space="0" w:color="auto"/>
      </w:divBdr>
    </w:div>
    <w:div w:id="315570899">
      <w:marLeft w:val="0"/>
      <w:marRight w:val="0"/>
      <w:marTop w:val="0"/>
      <w:marBottom w:val="0"/>
      <w:divBdr>
        <w:top w:val="none" w:sz="0" w:space="0" w:color="auto"/>
        <w:left w:val="none" w:sz="0" w:space="0" w:color="auto"/>
        <w:bottom w:val="none" w:sz="0" w:space="0" w:color="auto"/>
        <w:right w:val="none" w:sz="0" w:space="0" w:color="auto"/>
      </w:divBdr>
      <w:divsChild>
        <w:div w:id="315570905">
          <w:marLeft w:val="547"/>
          <w:marRight w:val="0"/>
          <w:marTop w:val="134"/>
          <w:marBottom w:val="0"/>
          <w:divBdr>
            <w:top w:val="none" w:sz="0" w:space="0" w:color="auto"/>
            <w:left w:val="none" w:sz="0" w:space="0" w:color="auto"/>
            <w:bottom w:val="none" w:sz="0" w:space="0" w:color="auto"/>
            <w:right w:val="none" w:sz="0" w:space="0" w:color="auto"/>
          </w:divBdr>
        </w:div>
        <w:div w:id="315570907">
          <w:marLeft w:val="547"/>
          <w:marRight w:val="0"/>
          <w:marTop w:val="134"/>
          <w:marBottom w:val="0"/>
          <w:divBdr>
            <w:top w:val="none" w:sz="0" w:space="0" w:color="auto"/>
            <w:left w:val="none" w:sz="0" w:space="0" w:color="auto"/>
            <w:bottom w:val="none" w:sz="0" w:space="0" w:color="auto"/>
            <w:right w:val="none" w:sz="0" w:space="0" w:color="auto"/>
          </w:divBdr>
        </w:div>
      </w:divsChild>
    </w:div>
    <w:div w:id="315570900">
      <w:marLeft w:val="0"/>
      <w:marRight w:val="0"/>
      <w:marTop w:val="0"/>
      <w:marBottom w:val="0"/>
      <w:divBdr>
        <w:top w:val="none" w:sz="0" w:space="0" w:color="auto"/>
        <w:left w:val="none" w:sz="0" w:space="0" w:color="auto"/>
        <w:bottom w:val="none" w:sz="0" w:space="0" w:color="auto"/>
        <w:right w:val="none" w:sz="0" w:space="0" w:color="auto"/>
      </w:divBdr>
    </w:div>
    <w:div w:id="315570904">
      <w:marLeft w:val="0"/>
      <w:marRight w:val="0"/>
      <w:marTop w:val="0"/>
      <w:marBottom w:val="0"/>
      <w:divBdr>
        <w:top w:val="none" w:sz="0" w:space="0" w:color="auto"/>
        <w:left w:val="none" w:sz="0" w:space="0" w:color="auto"/>
        <w:bottom w:val="none" w:sz="0" w:space="0" w:color="auto"/>
        <w:right w:val="none" w:sz="0" w:space="0" w:color="auto"/>
      </w:divBdr>
    </w:div>
    <w:div w:id="315570906">
      <w:marLeft w:val="0"/>
      <w:marRight w:val="0"/>
      <w:marTop w:val="0"/>
      <w:marBottom w:val="0"/>
      <w:divBdr>
        <w:top w:val="none" w:sz="0" w:space="0" w:color="auto"/>
        <w:left w:val="none" w:sz="0" w:space="0" w:color="auto"/>
        <w:bottom w:val="none" w:sz="0" w:space="0" w:color="auto"/>
        <w:right w:val="none" w:sz="0" w:space="0" w:color="auto"/>
      </w:divBdr>
    </w:div>
    <w:div w:id="315570912">
      <w:marLeft w:val="0"/>
      <w:marRight w:val="0"/>
      <w:marTop w:val="0"/>
      <w:marBottom w:val="0"/>
      <w:divBdr>
        <w:top w:val="none" w:sz="0" w:space="0" w:color="auto"/>
        <w:left w:val="none" w:sz="0" w:space="0" w:color="auto"/>
        <w:bottom w:val="none" w:sz="0" w:space="0" w:color="auto"/>
        <w:right w:val="none" w:sz="0" w:space="0" w:color="auto"/>
      </w:divBdr>
      <w:divsChild>
        <w:div w:id="315570902">
          <w:marLeft w:val="547"/>
          <w:marRight w:val="0"/>
          <w:marTop w:val="134"/>
          <w:marBottom w:val="0"/>
          <w:divBdr>
            <w:top w:val="none" w:sz="0" w:space="0" w:color="auto"/>
            <w:left w:val="none" w:sz="0" w:space="0" w:color="auto"/>
            <w:bottom w:val="none" w:sz="0" w:space="0" w:color="auto"/>
            <w:right w:val="none" w:sz="0" w:space="0" w:color="auto"/>
          </w:divBdr>
        </w:div>
        <w:div w:id="315570910">
          <w:marLeft w:val="547"/>
          <w:marRight w:val="0"/>
          <w:marTop w:val="134"/>
          <w:marBottom w:val="0"/>
          <w:divBdr>
            <w:top w:val="none" w:sz="0" w:space="0" w:color="auto"/>
            <w:left w:val="none" w:sz="0" w:space="0" w:color="auto"/>
            <w:bottom w:val="none" w:sz="0" w:space="0" w:color="auto"/>
            <w:right w:val="none" w:sz="0" w:space="0" w:color="auto"/>
          </w:divBdr>
        </w:div>
        <w:div w:id="315570919">
          <w:marLeft w:val="547"/>
          <w:marRight w:val="0"/>
          <w:marTop w:val="134"/>
          <w:marBottom w:val="0"/>
          <w:divBdr>
            <w:top w:val="none" w:sz="0" w:space="0" w:color="auto"/>
            <w:left w:val="none" w:sz="0" w:space="0" w:color="auto"/>
            <w:bottom w:val="none" w:sz="0" w:space="0" w:color="auto"/>
            <w:right w:val="none" w:sz="0" w:space="0" w:color="auto"/>
          </w:divBdr>
        </w:div>
        <w:div w:id="315570922">
          <w:marLeft w:val="547"/>
          <w:marRight w:val="0"/>
          <w:marTop w:val="134"/>
          <w:marBottom w:val="0"/>
          <w:divBdr>
            <w:top w:val="none" w:sz="0" w:space="0" w:color="auto"/>
            <w:left w:val="none" w:sz="0" w:space="0" w:color="auto"/>
            <w:bottom w:val="none" w:sz="0" w:space="0" w:color="auto"/>
            <w:right w:val="none" w:sz="0" w:space="0" w:color="auto"/>
          </w:divBdr>
        </w:div>
        <w:div w:id="315570925">
          <w:marLeft w:val="547"/>
          <w:marRight w:val="0"/>
          <w:marTop w:val="134"/>
          <w:marBottom w:val="0"/>
          <w:divBdr>
            <w:top w:val="none" w:sz="0" w:space="0" w:color="auto"/>
            <w:left w:val="none" w:sz="0" w:space="0" w:color="auto"/>
            <w:bottom w:val="none" w:sz="0" w:space="0" w:color="auto"/>
            <w:right w:val="none" w:sz="0" w:space="0" w:color="auto"/>
          </w:divBdr>
        </w:div>
        <w:div w:id="315570926">
          <w:marLeft w:val="547"/>
          <w:marRight w:val="0"/>
          <w:marTop w:val="134"/>
          <w:marBottom w:val="0"/>
          <w:divBdr>
            <w:top w:val="none" w:sz="0" w:space="0" w:color="auto"/>
            <w:left w:val="none" w:sz="0" w:space="0" w:color="auto"/>
            <w:bottom w:val="none" w:sz="0" w:space="0" w:color="auto"/>
            <w:right w:val="none" w:sz="0" w:space="0" w:color="auto"/>
          </w:divBdr>
        </w:div>
        <w:div w:id="315570933">
          <w:marLeft w:val="547"/>
          <w:marRight w:val="0"/>
          <w:marTop w:val="134"/>
          <w:marBottom w:val="0"/>
          <w:divBdr>
            <w:top w:val="none" w:sz="0" w:space="0" w:color="auto"/>
            <w:left w:val="none" w:sz="0" w:space="0" w:color="auto"/>
            <w:bottom w:val="none" w:sz="0" w:space="0" w:color="auto"/>
            <w:right w:val="none" w:sz="0" w:space="0" w:color="auto"/>
          </w:divBdr>
        </w:div>
        <w:div w:id="315570934">
          <w:marLeft w:val="547"/>
          <w:marRight w:val="0"/>
          <w:marTop w:val="134"/>
          <w:marBottom w:val="0"/>
          <w:divBdr>
            <w:top w:val="none" w:sz="0" w:space="0" w:color="auto"/>
            <w:left w:val="none" w:sz="0" w:space="0" w:color="auto"/>
            <w:bottom w:val="none" w:sz="0" w:space="0" w:color="auto"/>
            <w:right w:val="none" w:sz="0" w:space="0" w:color="auto"/>
          </w:divBdr>
        </w:div>
        <w:div w:id="315570937">
          <w:marLeft w:val="547"/>
          <w:marRight w:val="0"/>
          <w:marTop w:val="134"/>
          <w:marBottom w:val="0"/>
          <w:divBdr>
            <w:top w:val="none" w:sz="0" w:space="0" w:color="auto"/>
            <w:left w:val="none" w:sz="0" w:space="0" w:color="auto"/>
            <w:bottom w:val="none" w:sz="0" w:space="0" w:color="auto"/>
            <w:right w:val="none" w:sz="0" w:space="0" w:color="auto"/>
          </w:divBdr>
        </w:div>
        <w:div w:id="315570942">
          <w:marLeft w:val="547"/>
          <w:marRight w:val="0"/>
          <w:marTop w:val="134"/>
          <w:marBottom w:val="0"/>
          <w:divBdr>
            <w:top w:val="none" w:sz="0" w:space="0" w:color="auto"/>
            <w:left w:val="none" w:sz="0" w:space="0" w:color="auto"/>
            <w:bottom w:val="none" w:sz="0" w:space="0" w:color="auto"/>
            <w:right w:val="none" w:sz="0" w:space="0" w:color="auto"/>
          </w:divBdr>
        </w:div>
      </w:divsChild>
    </w:div>
    <w:div w:id="315570914">
      <w:marLeft w:val="0"/>
      <w:marRight w:val="0"/>
      <w:marTop w:val="0"/>
      <w:marBottom w:val="0"/>
      <w:divBdr>
        <w:top w:val="none" w:sz="0" w:space="0" w:color="auto"/>
        <w:left w:val="none" w:sz="0" w:space="0" w:color="auto"/>
        <w:bottom w:val="none" w:sz="0" w:space="0" w:color="auto"/>
        <w:right w:val="none" w:sz="0" w:space="0" w:color="auto"/>
      </w:divBdr>
      <w:divsChild>
        <w:div w:id="315570898">
          <w:marLeft w:val="547"/>
          <w:marRight w:val="0"/>
          <w:marTop w:val="134"/>
          <w:marBottom w:val="0"/>
          <w:divBdr>
            <w:top w:val="none" w:sz="0" w:space="0" w:color="auto"/>
            <w:left w:val="none" w:sz="0" w:space="0" w:color="auto"/>
            <w:bottom w:val="none" w:sz="0" w:space="0" w:color="auto"/>
            <w:right w:val="none" w:sz="0" w:space="0" w:color="auto"/>
          </w:divBdr>
        </w:div>
        <w:div w:id="315570911">
          <w:marLeft w:val="547"/>
          <w:marRight w:val="0"/>
          <w:marTop w:val="134"/>
          <w:marBottom w:val="0"/>
          <w:divBdr>
            <w:top w:val="none" w:sz="0" w:space="0" w:color="auto"/>
            <w:left w:val="none" w:sz="0" w:space="0" w:color="auto"/>
            <w:bottom w:val="none" w:sz="0" w:space="0" w:color="auto"/>
            <w:right w:val="none" w:sz="0" w:space="0" w:color="auto"/>
          </w:divBdr>
        </w:div>
        <w:div w:id="315570913">
          <w:marLeft w:val="547"/>
          <w:marRight w:val="0"/>
          <w:marTop w:val="134"/>
          <w:marBottom w:val="0"/>
          <w:divBdr>
            <w:top w:val="none" w:sz="0" w:space="0" w:color="auto"/>
            <w:left w:val="none" w:sz="0" w:space="0" w:color="auto"/>
            <w:bottom w:val="none" w:sz="0" w:space="0" w:color="auto"/>
            <w:right w:val="none" w:sz="0" w:space="0" w:color="auto"/>
          </w:divBdr>
        </w:div>
        <w:div w:id="315570923">
          <w:marLeft w:val="547"/>
          <w:marRight w:val="0"/>
          <w:marTop w:val="134"/>
          <w:marBottom w:val="0"/>
          <w:divBdr>
            <w:top w:val="none" w:sz="0" w:space="0" w:color="auto"/>
            <w:left w:val="none" w:sz="0" w:space="0" w:color="auto"/>
            <w:bottom w:val="none" w:sz="0" w:space="0" w:color="auto"/>
            <w:right w:val="none" w:sz="0" w:space="0" w:color="auto"/>
          </w:divBdr>
        </w:div>
        <w:div w:id="315570924">
          <w:marLeft w:val="547"/>
          <w:marRight w:val="0"/>
          <w:marTop w:val="134"/>
          <w:marBottom w:val="0"/>
          <w:divBdr>
            <w:top w:val="none" w:sz="0" w:space="0" w:color="auto"/>
            <w:left w:val="none" w:sz="0" w:space="0" w:color="auto"/>
            <w:bottom w:val="none" w:sz="0" w:space="0" w:color="auto"/>
            <w:right w:val="none" w:sz="0" w:space="0" w:color="auto"/>
          </w:divBdr>
        </w:div>
        <w:div w:id="315570927">
          <w:marLeft w:val="547"/>
          <w:marRight w:val="0"/>
          <w:marTop w:val="134"/>
          <w:marBottom w:val="0"/>
          <w:divBdr>
            <w:top w:val="none" w:sz="0" w:space="0" w:color="auto"/>
            <w:left w:val="none" w:sz="0" w:space="0" w:color="auto"/>
            <w:bottom w:val="none" w:sz="0" w:space="0" w:color="auto"/>
            <w:right w:val="none" w:sz="0" w:space="0" w:color="auto"/>
          </w:divBdr>
        </w:div>
        <w:div w:id="315570941">
          <w:marLeft w:val="547"/>
          <w:marRight w:val="0"/>
          <w:marTop w:val="134"/>
          <w:marBottom w:val="0"/>
          <w:divBdr>
            <w:top w:val="none" w:sz="0" w:space="0" w:color="auto"/>
            <w:left w:val="none" w:sz="0" w:space="0" w:color="auto"/>
            <w:bottom w:val="none" w:sz="0" w:space="0" w:color="auto"/>
            <w:right w:val="none" w:sz="0" w:space="0" w:color="auto"/>
          </w:divBdr>
        </w:div>
      </w:divsChild>
    </w:div>
    <w:div w:id="315570916">
      <w:marLeft w:val="0"/>
      <w:marRight w:val="0"/>
      <w:marTop w:val="0"/>
      <w:marBottom w:val="0"/>
      <w:divBdr>
        <w:top w:val="none" w:sz="0" w:space="0" w:color="auto"/>
        <w:left w:val="none" w:sz="0" w:space="0" w:color="auto"/>
        <w:bottom w:val="none" w:sz="0" w:space="0" w:color="auto"/>
        <w:right w:val="none" w:sz="0" w:space="0" w:color="auto"/>
      </w:divBdr>
      <w:divsChild>
        <w:div w:id="315570908">
          <w:marLeft w:val="547"/>
          <w:marRight w:val="0"/>
          <w:marTop w:val="134"/>
          <w:marBottom w:val="0"/>
          <w:divBdr>
            <w:top w:val="none" w:sz="0" w:space="0" w:color="auto"/>
            <w:left w:val="none" w:sz="0" w:space="0" w:color="auto"/>
            <w:bottom w:val="none" w:sz="0" w:space="0" w:color="auto"/>
            <w:right w:val="none" w:sz="0" w:space="0" w:color="auto"/>
          </w:divBdr>
        </w:div>
        <w:div w:id="315570909">
          <w:marLeft w:val="547"/>
          <w:marRight w:val="0"/>
          <w:marTop w:val="134"/>
          <w:marBottom w:val="0"/>
          <w:divBdr>
            <w:top w:val="none" w:sz="0" w:space="0" w:color="auto"/>
            <w:left w:val="none" w:sz="0" w:space="0" w:color="auto"/>
            <w:bottom w:val="none" w:sz="0" w:space="0" w:color="auto"/>
            <w:right w:val="none" w:sz="0" w:space="0" w:color="auto"/>
          </w:divBdr>
        </w:div>
        <w:div w:id="315570918">
          <w:marLeft w:val="547"/>
          <w:marRight w:val="0"/>
          <w:marTop w:val="134"/>
          <w:marBottom w:val="0"/>
          <w:divBdr>
            <w:top w:val="none" w:sz="0" w:space="0" w:color="auto"/>
            <w:left w:val="none" w:sz="0" w:space="0" w:color="auto"/>
            <w:bottom w:val="none" w:sz="0" w:space="0" w:color="auto"/>
            <w:right w:val="none" w:sz="0" w:space="0" w:color="auto"/>
          </w:divBdr>
        </w:div>
      </w:divsChild>
    </w:div>
    <w:div w:id="315570930">
      <w:marLeft w:val="0"/>
      <w:marRight w:val="0"/>
      <w:marTop w:val="0"/>
      <w:marBottom w:val="0"/>
      <w:divBdr>
        <w:top w:val="none" w:sz="0" w:space="0" w:color="auto"/>
        <w:left w:val="none" w:sz="0" w:space="0" w:color="auto"/>
        <w:bottom w:val="none" w:sz="0" w:space="0" w:color="auto"/>
        <w:right w:val="none" w:sz="0" w:space="0" w:color="auto"/>
      </w:divBdr>
      <w:divsChild>
        <w:div w:id="315570901">
          <w:marLeft w:val="547"/>
          <w:marRight w:val="0"/>
          <w:marTop w:val="134"/>
          <w:marBottom w:val="0"/>
          <w:divBdr>
            <w:top w:val="none" w:sz="0" w:space="0" w:color="auto"/>
            <w:left w:val="none" w:sz="0" w:space="0" w:color="auto"/>
            <w:bottom w:val="none" w:sz="0" w:space="0" w:color="auto"/>
            <w:right w:val="none" w:sz="0" w:space="0" w:color="auto"/>
          </w:divBdr>
        </w:div>
        <w:div w:id="315570903">
          <w:marLeft w:val="547"/>
          <w:marRight w:val="0"/>
          <w:marTop w:val="134"/>
          <w:marBottom w:val="0"/>
          <w:divBdr>
            <w:top w:val="none" w:sz="0" w:space="0" w:color="auto"/>
            <w:left w:val="none" w:sz="0" w:space="0" w:color="auto"/>
            <w:bottom w:val="none" w:sz="0" w:space="0" w:color="auto"/>
            <w:right w:val="none" w:sz="0" w:space="0" w:color="auto"/>
          </w:divBdr>
        </w:div>
        <w:div w:id="315570917">
          <w:marLeft w:val="547"/>
          <w:marRight w:val="0"/>
          <w:marTop w:val="134"/>
          <w:marBottom w:val="0"/>
          <w:divBdr>
            <w:top w:val="none" w:sz="0" w:space="0" w:color="auto"/>
            <w:left w:val="none" w:sz="0" w:space="0" w:color="auto"/>
            <w:bottom w:val="none" w:sz="0" w:space="0" w:color="auto"/>
            <w:right w:val="none" w:sz="0" w:space="0" w:color="auto"/>
          </w:divBdr>
        </w:div>
        <w:div w:id="315570920">
          <w:marLeft w:val="547"/>
          <w:marRight w:val="0"/>
          <w:marTop w:val="134"/>
          <w:marBottom w:val="0"/>
          <w:divBdr>
            <w:top w:val="none" w:sz="0" w:space="0" w:color="auto"/>
            <w:left w:val="none" w:sz="0" w:space="0" w:color="auto"/>
            <w:bottom w:val="none" w:sz="0" w:space="0" w:color="auto"/>
            <w:right w:val="none" w:sz="0" w:space="0" w:color="auto"/>
          </w:divBdr>
        </w:div>
        <w:div w:id="315570928">
          <w:marLeft w:val="547"/>
          <w:marRight w:val="0"/>
          <w:marTop w:val="134"/>
          <w:marBottom w:val="0"/>
          <w:divBdr>
            <w:top w:val="none" w:sz="0" w:space="0" w:color="auto"/>
            <w:left w:val="none" w:sz="0" w:space="0" w:color="auto"/>
            <w:bottom w:val="none" w:sz="0" w:space="0" w:color="auto"/>
            <w:right w:val="none" w:sz="0" w:space="0" w:color="auto"/>
          </w:divBdr>
        </w:div>
        <w:div w:id="315570929">
          <w:marLeft w:val="547"/>
          <w:marRight w:val="0"/>
          <w:marTop w:val="134"/>
          <w:marBottom w:val="0"/>
          <w:divBdr>
            <w:top w:val="none" w:sz="0" w:space="0" w:color="auto"/>
            <w:left w:val="none" w:sz="0" w:space="0" w:color="auto"/>
            <w:bottom w:val="none" w:sz="0" w:space="0" w:color="auto"/>
            <w:right w:val="none" w:sz="0" w:space="0" w:color="auto"/>
          </w:divBdr>
        </w:div>
        <w:div w:id="315570931">
          <w:marLeft w:val="547"/>
          <w:marRight w:val="0"/>
          <w:marTop w:val="134"/>
          <w:marBottom w:val="0"/>
          <w:divBdr>
            <w:top w:val="none" w:sz="0" w:space="0" w:color="auto"/>
            <w:left w:val="none" w:sz="0" w:space="0" w:color="auto"/>
            <w:bottom w:val="none" w:sz="0" w:space="0" w:color="auto"/>
            <w:right w:val="none" w:sz="0" w:space="0" w:color="auto"/>
          </w:divBdr>
        </w:div>
        <w:div w:id="315570932">
          <w:marLeft w:val="547"/>
          <w:marRight w:val="0"/>
          <w:marTop w:val="134"/>
          <w:marBottom w:val="0"/>
          <w:divBdr>
            <w:top w:val="none" w:sz="0" w:space="0" w:color="auto"/>
            <w:left w:val="none" w:sz="0" w:space="0" w:color="auto"/>
            <w:bottom w:val="none" w:sz="0" w:space="0" w:color="auto"/>
            <w:right w:val="none" w:sz="0" w:space="0" w:color="auto"/>
          </w:divBdr>
        </w:div>
        <w:div w:id="315570935">
          <w:marLeft w:val="547"/>
          <w:marRight w:val="0"/>
          <w:marTop w:val="134"/>
          <w:marBottom w:val="0"/>
          <w:divBdr>
            <w:top w:val="none" w:sz="0" w:space="0" w:color="auto"/>
            <w:left w:val="none" w:sz="0" w:space="0" w:color="auto"/>
            <w:bottom w:val="none" w:sz="0" w:space="0" w:color="auto"/>
            <w:right w:val="none" w:sz="0" w:space="0" w:color="auto"/>
          </w:divBdr>
        </w:div>
        <w:div w:id="315570939">
          <w:marLeft w:val="547"/>
          <w:marRight w:val="0"/>
          <w:marTop w:val="134"/>
          <w:marBottom w:val="0"/>
          <w:divBdr>
            <w:top w:val="none" w:sz="0" w:space="0" w:color="auto"/>
            <w:left w:val="none" w:sz="0" w:space="0" w:color="auto"/>
            <w:bottom w:val="none" w:sz="0" w:space="0" w:color="auto"/>
            <w:right w:val="none" w:sz="0" w:space="0" w:color="auto"/>
          </w:divBdr>
        </w:div>
      </w:divsChild>
    </w:div>
    <w:div w:id="315570936">
      <w:marLeft w:val="0"/>
      <w:marRight w:val="0"/>
      <w:marTop w:val="0"/>
      <w:marBottom w:val="0"/>
      <w:divBdr>
        <w:top w:val="none" w:sz="0" w:space="0" w:color="auto"/>
        <w:left w:val="none" w:sz="0" w:space="0" w:color="auto"/>
        <w:bottom w:val="none" w:sz="0" w:space="0" w:color="auto"/>
        <w:right w:val="none" w:sz="0" w:space="0" w:color="auto"/>
      </w:divBdr>
    </w:div>
    <w:div w:id="315570938">
      <w:marLeft w:val="0"/>
      <w:marRight w:val="0"/>
      <w:marTop w:val="0"/>
      <w:marBottom w:val="0"/>
      <w:divBdr>
        <w:top w:val="none" w:sz="0" w:space="0" w:color="auto"/>
        <w:left w:val="none" w:sz="0" w:space="0" w:color="auto"/>
        <w:bottom w:val="none" w:sz="0" w:space="0" w:color="auto"/>
        <w:right w:val="none" w:sz="0" w:space="0" w:color="auto"/>
      </w:divBdr>
      <w:divsChild>
        <w:div w:id="315570915">
          <w:marLeft w:val="547"/>
          <w:marRight w:val="0"/>
          <w:marTop w:val="134"/>
          <w:marBottom w:val="0"/>
          <w:divBdr>
            <w:top w:val="none" w:sz="0" w:space="0" w:color="auto"/>
            <w:left w:val="none" w:sz="0" w:space="0" w:color="auto"/>
            <w:bottom w:val="none" w:sz="0" w:space="0" w:color="auto"/>
            <w:right w:val="none" w:sz="0" w:space="0" w:color="auto"/>
          </w:divBdr>
        </w:div>
        <w:div w:id="315570921">
          <w:marLeft w:val="547"/>
          <w:marRight w:val="0"/>
          <w:marTop w:val="134"/>
          <w:marBottom w:val="0"/>
          <w:divBdr>
            <w:top w:val="none" w:sz="0" w:space="0" w:color="auto"/>
            <w:left w:val="none" w:sz="0" w:space="0" w:color="auto"/>
            <w:bottom w:val="none" w:sz="0" w:space="0" w:color="auto"/>
            <w:right w:val="none" w:sz="0" w:space="0" w:color="auto"/>
          </w:divBdr>
        </w:div>
      </w:divsChild>
    </w:div>
    <w:div w:id="315570940">
      <w:marLeft w:val="0"/>
      <w:marRight w:val="0"/>
      <w:marTop w:val="0"/>
      <w:marBottom w:val="0"/>
      <w:divBdr>
        <w:top w:val="none" w:sz="0" w:space="0" w:color="auto"/>
        <w:left w:val="none" w:sz="0" w:space="0" w:color="auto"/>
        <w:bottom w:val="none" w:sz="0" w:space="0" w:color="auto"/>
        <w:right w:val="none" w:sz="0" w:space="0" w:color="auto"/>
      </w:divBdr>
    </w:div>
    <w:div w:id="315570943">
      <w:marLeft w:val="0"/>
      <w:marRight w:val="0"/>
      <w:marTop w:val="0"/>
      <w:marBottom w:val="0"/>
      <w:divBdr>
        <w:top w:val="none" w:sz="0" w:space="0" w:color="auto"/>
        <w:left w:val="none" w:sz="0" w:space="0" w:color="auto"/>
        <w:bottom w:val="none" w:sz="0" w:space="0" w:color="auto"/>
        <w:right w:val="none" w:sz="0" w:space="0" w:color="auto"/>
      </w:divBdr>
    </w:div>
    <w:div w:id="315570944">
      <w:marLeft w:val="0"/>
      <w:marRight w:val="0"/>
      <w:marTop w:val="0"/>
      <w:marBottom w:val="0"/>
      <w:divBdr>
        <w:top w:val="none" w:sz="0" w:space="0" w:color="auto"/>
        <w:left w:val="none" w:sz="0" w:space="0" w:color="auto"/>
        <w:bottom w:val="none" w:sz="0" w:space="0" w:color="auto"/>
        <w:right w:val="none" w:sz="0" w:space="0" w:color="auto"/>
      </w:divBdr>
    </w:div>
    <w:div w:id="315570945">
      <w:marLeft w:val="0"/>
      <w:marRight w:val="0"/>
      <w:marTop w:val="0"/>
      <w:marBottom w:val="0"/>
      <w:divBdr>
        <w:top w:val="none" w:sz="0" w:space="0" w:color="auto"/>
        <w:left w:val="none" w:sz="0" w:space="0" w:color="auto"/>
        <w:bottom w:val="none" w:sz="0" w:space="0" w:color="auto"/>
        <w:right w:val="none" w:sz="0" w:space="0" w:color="auto"/>
      </w:divBdr>
    </w:div>
    <w:div w:id="315570946">
      <w:marLeft w:val="0"/>
      <w:marRight w:val="0"/>
      <w:marTop w:val="0"/>
      <w:marBottom w:val="0"/>
      <w:divBdr>
        <w:top w:val="none" w:sz="0" w:space="0" w:color="auto"/>
        <w:left w:val="none" w:sz="0" w:space="0" w:color="auto"/>
        <w:bottom w:val="none" w:sz="0" w:space="0" w:color="auto"/>
        <w:right w:val="none" w:sz="0" w:space="0" w:color="auto"/>
      </w:divBdr>
    </w:div>
    <w:div w:id="315570947">
      <w:marLeft w:val="0"/>
      <w:marRight w:val="0"/>
      <w:marTop w:val="0"/>
      <w:marBottom w:val="0"/>
      <w:divBdr>
        <w:top w:val="none" w:sz="0" w:space="0" w:color="auto"/>
        <w:left w:val="none" w:sz="0" w:space="0" w:color="auto"/>
        <w:bottom w:val="none" w:sz="0" w:space="0" w:color="auto"/>
        <w:right w:val="none" w:sz="0" w:space="0" w:color="auto"/>
      </w:divBdr>
    </w:div>
    <w:div w:id="315570948">
      <w:marLeft w:val="0"/>
      <w:marRight w:val="0"/>
      <w:marTop w:val="0"/>
      <w:marBottom w:val="0"/>
      <w:divBdr>
        <w:top w:val="none" w:sz="0" w:space="0" w:color="auto"/>
        <w:left w:val="none" w:sz="0" w:space="0" w:color="auto"/>
        <w:bottom w:val="none" w:sz="0" w:space="0" w:color="auto"/>
        <w:right w:val="none" w:sz="0" w:space="0" w:color="auto"/>
      </w:divBdr>
    </w:div>
    <w:div w:id="315570949">
      <w:marLeft w:val="0"/>
      <w:marRight w:val="0"/>
      <w:marTop w:val="0"/>
      <w:marBottom w:val="0"/>
      <w:divBdr>
        <w:top w:val="none" w:sz="0" w:space="0" w:color="auto"/>
        <w:left w:val="none" w:sz="0" w:space="0" w:color="auto"/>
        <w:bottom w:val="none" w:sz="0" w:space="0" w:color="auto"/>
        <w:right w:val="none" w:sz="0" w:space="0" w:color="auto"/>
      </w:divBdr>
    </w:div>
    <w:div w:id="315570950">
      <w:marLeft w:val="0"/>
      <w:marRight w:val="0"/>
      <w:marTop w:val="0"/>
      <w:marBottom w:val="0"/>
      <w:divBdr>
        <w:top w:val="none" w:sz="0" w:space="0" w:color="auto"/>
        <w:left w:val="none" w:sz="0" w:space="0" w:color="auto"/>
        <w:bottom w:val="none" w:sz="0" w:space="0" w:color="auto"/>
        <w:right w:val="none" w:sz="0" w:space="0" w:color="auto"/>
      </w:divBdr>
    </w:div>
    <w:div w:id="315570951">
      <w:marLeft w:val="0"/>
      <w:marRight w:val="0"/>
      <w:marTop w:val="0"/>
      <w:marBottom w:val="0"/>
      <w:divBdr>
        <w:top w:val="none" w:sz="0" w:space="0" w:color="auto"/>
        <w:left w:val="none" w:sz="0" w:space="0" w:color="auto"/>
        <w:bottom w:val="none" w:sz="0" w:space="0" w:color="auto"/>
        <w:right w:val="none" w:sz="0" w:space="0" w:color="auto"/>
      </w:divBdr>
    </w:div>
    <w:div w:id="315570952">
      <w:marLeft w:val="0"/>
      <w:marRight w:val="0"/>
      <w:marTop w:val="0"/>
      <w:marBottom w:val="0"/>
      <w:divBdr>
        <w:top w:val="none" w:sz="0" w:space="0" w:color="auto"/>
        <w:left w:val="none" w:sz="0" w:space="0" w:color="auto"/>
        <w:bottom w:val="none" w:sz="0" w:space="0" w:color="auto"/>
        <w:right w:val="none" w:sz="0" w:space="0" w:color="auto"/>
      </w:divBdr>
    </w:div>
    <w:div w:id="315570953">
      <w:marLeft w:val="0"/>
      <w:marRight w:val="0"/>
      <w:marTop w:val="0"/>
      <w:marBottom w:val="0"/>
      <w:divBdr>
        <w:top w:val="none" w:sz="0" w:space="0" w:color="auto"/>
        <w:left w:val="none" w:sz="0" w:space="0" w:color="auto"/>
        <w:bottom w:val="none" w:sz="0" w:space="0" w:color="auto"/>
        <w:right w:val="none" w:sz="0" w:space="0" w:color="auto"/>
      </w:divBdr>
    </w:div>
    <w:div w:id="315570954">
      <w:marLeft w:val="0"/>
      <w:marRight w:val="0"/>
      <w:marTop w:val="0"/>
      <w:marBottom w:val="0"/>
      <w:divBdr>
        <w:top w:val="none" w:sz="0" w:space="0" w:color="auto"/>
        <w:left w:val="none" w:sz="0" w:space="0" w:color="auto"/>
        <w:bottom w:val="none" w:sz="0" w:space="0" w:color="auto"/>
        <w:right w:val="none" w:sz="0" w:space="0" w:color="auto"/>
      </w:divBdr>
    </w:div>
    <w:div w:id="315570955">
      <w:marLeft w:val="0"/>
      <w:marRight w:val="0"/>
      <w:marTop w:val="0"/>
      <w:marBottom w:val="0"/>
      <w:divBdr>
        <w:top w:val="none" w:sz="0" w:space="0" w:color="auto"/>
        <w:left w:val="none" w:sz="0" w:space="0" w:color="auto"/>
        <w:bottom w:val="none" w:sz="0" w:space="0" w:color="auto"/>
        <w:right w:val="none" w:sz="0" w:space="0" w:color="auto"/>
      </w:divBdr>
    </w:div>
    <w:div w:id="315570956">
      <w:marLeft w:val="0"/>
      <w:marRight w:val="0"/>
      <w:marTop w:val="0"/>
      <w:marBottom w:val="0"/>
      <w:divBdr>
        <w:top w:val="none" w:sz="0" w:space="0" w:color="auto"/>
        <w:left w:val="none" w:sz="0" w:space="0" w:color="auto"/>
        <w:bottom w:val="none" w:sz="0" w:space="0" w:color="auto"/>
        <w:right w:val="none" w:sz="0" w:space="0" w:color="auto"/>
      </w:divBdr>
    </w:div>
    <w:div w:id="315570957">
      <w:marLeft w:val="0"/>
      <w:marRight w:val="0"/>
      <w:marTop w:val="0"/>
      <w:marBottom w:val="0"/>
      <w:divBdr>
        <w:top w:val="none" w:sz="0" w:space="0" w:color="auto"/>
        <w:left w:val="none" w:sz="0" w:space="0" w:color="auto"/>
        <w:bottom w:val="none" w:sz="0" w:space="0" w:color="auto"/>
        <w:right w:val="none" w:sz="0" w:space="0" w:color="auto"/>
      </w:divBdr>
    </w:div>
    <w:div w:id="315570958">
      <w:marLeft w:val="0"/>
      <w:marRight w:val="0"/>
      <w:marTop w:val="0"/>
      <w:marBottom w:val="0"/>
      <w:divBdr>
        <w:top w:val="none" w:sz="0" w:space="0" w:color="auto"/>
        <w:left w:val="none" w:sz="0" w:space="0" w:color="auto"/>
        <w:bottom w:val="none" w:sz="0" w:space="0" w:color="auto"/>
        <w:right w:val="none" w:sz="0" w:space="0" w:color="auto"/>
      </w:divBdr>
    </w:div>
    <w:div w:id="315570959">
      <w:marLeft w:val="0"/>
      <w:marRight w:val="0"/>
      <w:marTop w:val="0"/>
      <w:marBottom w:val="0"/>
      <w:divBdr>
        <w:top w:val="none" w:sz="0" w:space="0" w:color="auto"/>
        <w:left w:val="none" w:sz="0" w:space="0" w:color="auto"/>
        <w:bottom w:val="none" w:sz="0" w:space="0" w:color="auto"/>
        <w:right w:val="none" w:sz="0" w:space="0" w:color="auto"/>
      </w:divBdr>
    </w:div>
    <w:div w:id="315570960">
      <w:marLeft w:val="0"/>
      <w:marRight w:val="0"/>
      <w:marTop w:val="0"/>
      <w:marBottom w:val="0"/>
      <w:divBdr>
        <w:top w:val="none" w:sz="0" w:space="0" w:color="auto"/>
        <w:left w:val="none" w:sz="0" w:space="0" w:color="auto"/>
        <w:bottom w:val="none" w:sz="0" w:space="0" w:color="auto"/>
        <w:right w:val="none" w:sz="0" w:space="0" w:color="auto"/>
      </w:divBdr>
    </w:div>
    <w:div w:id="315570966">
      <w:marLeft w:val="0"/>
      <w:marRight w:val="0"/>
      <w:marTop w:val="0"/>
      <w:marBottom w:val="0"/>
      <w:divBdr>
        <w:top w:val="none" w:sz="0" w:space="0" w:color="auto"/>
        <w:left w:val="none" w:sz="0" w:space="0" w:color="auto"/>
        <w:bottom w:val="none" w:sz="0" w:space="0" w:color="auto"/>
        <w:right w:val="none" w:sz="0" w:space="0" w:color="auto"/>
      </w:divBdr>
      <w:divsChild>
        <w:div w:id="315570967">
          <w:marLeft w:val="0"/>
          <w:marRight w:val="0"/>
          <w:marTop w:val="0"/>
          <w:marBottom w:val="0"/>
          <w:divBdr>
            <w:top w:val="none" w:sz="0" w:space="0" w:color="auto"/>
            <w:left w:val="none" w:sz="0" w:space="0" w:color="auto"/>
            <w:bottom w:val="none" w:sz="0" w:space="0" w:color="auto"/>
            <w:right w:val="none" w:sz="0" w:space="0" w:color="auto"/>
          </w:divBdr>
          <w:divsChild>
            <w:div w:id="315570971">
              <w:marLeft w:val="0"/>
              <w:marRight w:val="0"/>
              <w:marTop w:val="0"/>
              <w:marBottom w:val="0"/>
              <w:divBdr>
                <w:top w:val="none" w:sz="0" w:space="0" w:color="auto"/>
                <w:left w:val="none" w:sz="0" w:space="0" w:color="auto"/>
                <w:bottom w:val="none" w:sz="0" w:space="0" w:color="auto"/>
                <w:right w:val="none" w:sz="0" w:space="0" w:color="auto"/>
              </w:divBdr>
              <w:divsChild>
                <w:div w:id="315570965">
                  <w:marLeft w:val="0"/>
                  <w:marRight w:val="0"/>
                  <w:marTop w:val="0"/>
                  <w:marBottom w:val="0"/>
                  <w:divBdr>
                    <w:top w:val="none" w:sz="0" w:space="0" w:color="auto"/>
                    <w:left w:val="none" w:sz="0" w:space="0" w:color="auto"/>
                    <w:bottom w:val="none" w:sz="0" w:space="0" w:color="auto"/>
                    <w:right w:val="none" w:sz="0" w:space="0" w:color="auto"/>
                  </w:divBdr>
                  <w:divsChild>
                    <w:div w:id="315570964">
                      <w:marLeft w:val="0"/>
                      <w:marRight w:val="0"/>
                      <w:marTop w:val="0"/>
                      <w:marBottom w:val="0"/>
                      <w:divBdr>
                        <w:top w:val="none" w:sz="0" w:space="0" w:color="auto"/>
                        <w:left w:val="none" w:sz="0" w:space="0" w:color="auto"/>
                        <w:bottom w:val="none" w:sz="0" w:space="0" w:color="auto"/>
                        <w:right w:val="none" w:sz="0" w:space="0" w:color="auto"/>
                      </w:divBdr>
                      <w:divsChild>
                        <w:div w:id="315570974">
                          <w:marLeft w:val="0"/>
                          <w:marRight w:val="0"/>
                          <w:marTop w:val="38"/>
                          <w:marBottom w:val="0"/>
                          <w:divBdr>
                            <w:top w:val="none" w:sz="0" w:space="0" w:color="auto"/>
                            <w:left w:val="none" w:sz="0" w:space="0" w:color="auto"/>
                            <w:bottom w:val="none" w:sz="0" w:space="0" w:color="auto"/>
                            <w:right w:val="none" w:sz="0" w:space="0" w:color="auto"/>
                          </w:divBdr>
                          <w:divsChild>
                            <w:div w:id="315570970">
                              <w:marLeft w:val="1728"/>
                              <w:marRight w:val="3181"/>
                              <w:marTop w:val="0"/>
                              <w:marBottom w:val="0"/>
                              <w:divBdr>
                                <w:top w:val="none" w:sz="0" w:space="0" w:color="auto"/>
                                <w:left w:val="none" w:sz="0" w:space="0" w:color="auto"/>
                                <w:bottom w:val="none" w:sz="0" w:space="0" w:color="auto"/>
                                <w:right w:val="none" w:sz="0" w:space="0" w:color="auto"/>
                              </w:divBdr>
                              <w:divsChild>
                                <w:div w:id="315570963">
                                  <w:marLeft w:val="0"/>
                                  <w:marRight w:val="0"/>
                                  <w:marTop w:val="0"/>
                                  <w:marBottom w:val="0"/>
                                  <w:divBdr>
                                    <w:top w:val="none" w:sz="0" w:space="0" w:color="auto"/>
                                    <w:left w:val="none" w:sz="0" w:space="0" w:color="auto"/>
                                    <w:bottom w:val="none" w:sz="0" w:space="0" w:color="auto"/>
                                    <w:right w:val="none" w:sz="0" w:space="0" w:color="auto"/>
                                  </w:divBdr>
                                  <w:divsChild>
                                    <w:div w:id="315570973">
                                      <w:marLeft w:val="0"/>
                                      <w:marRight w:val="0"/>
                                      <w:marTop w:val="0"/>
                                      <w:marBottom w:val="0"/>
                                      <w:divBdr>
                                        <w:top w:val="none" w:sz="0" w:space="0" w:color="auto"/>
                                        <w:left w:val="none" w:sz="0" w:space="0" w:color="auto"/>
                                        <w:bottom w:val="none" w:sz="0" w:space="0" w:color="auto"/>
                                        <w:right w:val="none" w:sz="0" w:space="0" w:color="auto"/>
                                      </w:divBdr>
                                      <w:divsChild>
                                        <w:div w:id="315570969">
                                          <w:marLeft w:val="0"/>
                                          <w:marRight w:val="0"/>
                                          <w:marTop w:val="0"/>
                                          <w:marBottom w:val="0"/>
                                          <w:divBdr>
                                            <w:top w:val="none" w:sz="0" w:space="0" w:color="auto"/>
                                            <w:left w:val="none" w:sz="0" w:space="0" w:color="auto"/>
                                            <w:bottom w:val="none" w:sz="0" w:space="0" w:color="auto"/>
                                            <w:right w:val="none" w:sz="0" w:space="0" w:color="auto"/>
                                          </w:divBdr>
                                          <w:divsChild>
                                            <w:div w:id="315570962">
                                              <w:marLeft w:val="0"/>
                                              <w:marRight w:val="0"/>
                                              <w:marTop w:val="0"/>
                                              <w:marBottom w:val="0"/>
                                              <w:divBdr>
                                                <w:top w:val="none" w:sz="0" w:space="0" w:color="auto"/>
                                                <w:left w:val="none" w:sz="0" w:space="0" w:color="auto"/>
                                                <w:bottom w:val="none" w:sz="0" w:space="0" w:color="auto"/>
                                                <w:right w:val="none" w:sz="0" w:space="0" w:color="auto"/>
                                              </w:divBdr>
                                              <w:divsChild>
                                                <w:div w:id="315570968">
                                                  <w:marLeft w:val="0"/>
                                                  <w:marRight w:val="0"/>
                                                  <w:marTop w:val="0"/>
                                                  <w:marBottom w:val="0"/>
                                                  <w:divBdr>
                                                    <w:top w:val="none" w:sz="0" w:space="0" w:color="auto"/>
                                                    <w:left w:val="none" w:sz="0" w:space="0" w:color="auto"/>
                                                    <w:bottom w:val="none" w:sz="0" w:space="0" w:color="auto"/>
                                                    <w:right w:val="none" w:sz="0" w:space="0" w:color="auto"/>
                                                  </w:divBdr>
                                                  <w:divsChild>
                                                    <w:div w:id="315570972">
                                                      <w:marLeft w:val="0"/>
                                                      <w:marRight w:val="0"/>
                                                      <w:marTop w:val="0"/>
                                                      <w:marBottom w:val="0"/>
                                                      <w:divBdr>
                                                        <w:top w:val="none" w:sz="0" w:space="0" w:color="auto"/>
                                                        <w:left w:val="none" w:sz="0" w:space="0" w:color="auto"/>
                                                        <w:bottom w:val="none" w:sz="0" w:space="0" w:color="auto"/>
                                                        <w:right w:val="none" w:sz="0" w:space="0" w:color="auto"/>
                                                      </w:divBdr>
                                                      <w:divsChild>
                                                        <w:div w:id="3155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5570976">
      <w:marLeft w:val="0"/>
      <w:marRight w:val="0"/>
      <w:marTop w:val="0"/>
      <w:marBottom w:val="0"/>
      <w:divBdr>
        <w:top w:val="none" w:sz="0" w:space="0" w:color="auto"/>
        <w:left w:val="none" w:sz="0" w:space="0" w:color="auto"/>
        <w:bottom w:val="none" w:sz="0" w:space="0" w:color="auto"/>
        <w:right w:val="none" w:sz="0" w:space="0" w:color="auto"/>
      </w:divBdr>
      <w:divsChild>
        <w:div w:id="315570975">
          <w:marLeft w:val="0"/>
          <w:marRight w:val="0"/>
          <w:marTop w:val="0"/>
          <w:marBottom w:val="0"/>
          <w:divBdr>
            <w:top w:val="none" w:sz="0" w:space="0" w:color="auto"/>
            <w:left w:val="none" w:sz="0" w:space="0" w:color="auto"/>
            <w:bottom w:val="none" w:sz="0" w:space="0" w:color="auto"/>
            <w:right w:val="none" w:sz="0" w:space="0" w:color="auto"/>
          </w:divBdr>
        </w:div>
      </w:divsChild>
    </w:div>
    <w:div w:id="315570977">
      <w:marLeft w:val="0"/>
      <w:marRight w:val="0"/>
      <w:marTop w:val="0"/>
      <w:marBottom w:val="0"/>
      <w:divBdr>
        <w:top w:val="none" w:sz="0" w:space="0" w:color="auto"/>
        <w:left w:val="none" w:sz="0" w:space="0" w:color="auto"/>
        <w:bottom w:val="none" w:sz="0" w:space="0" w:color="auto"/>
        <w:right w:val="none" w:sz="0" w:space="0" w:color="auto"/>
      </w:divBdr>
    </w:div>
    <w:div w:id="315570978">
      <w:marLeft w:val="0"/>
      <w:marRight w:val="0"/>
      <w:marTop w:val="0"/>
      <w:marBottom w:val="0"/>
      <w:divBdr>
        <w:top w:val="none" w:sz="0" w:space="0" w:color="auto"/>
        <w:left w:val="none" w:sz="0" w:space="0" w:color="auto"/>
        <w:bottom w:val="none" w:sz="0" w:space="0" w:color="auto"/>
        <w:right w:val="none" w:sz="0" w:space="0" w:color="auto"/>
      </w:divBdr>
    </w:div>
    <w:div w:id="375855614">
      <w:bodyDiv w:val="1"/>
      <w:marLeft w:val="0"/>
      <w:marRight w:val="0"/>
      <w:marTop w:val="0"/>
      <w:marBottom w:val="0"/>
      <w:divBdr>
        <w:top w:val="none" w:sz="0" w:space="0" w:color="auto"/>
        <w:left w:val="none" w:sz="0" w:space="0" w:color="auto"/>
        <w:bottom w:val="none" w:sz="0" w:space="0" w:color="auto"/>
        <w:right w:val="none" w:sz="0" w:space="0" w:color="auto"/>
      </w:divBdr>
    </w:div>
    <w:div w:id="540366096">
      <w:bodyDiv w:val="1"/>
      <w:marLeft w:val="0"/>
      <w:marRight w:val="0"/>
      <w:marTop w:val="0"/>
      <w:marBottom w:val="0"/>
      <w:divBdr>
        <w:top w:val="none" w:sz="0" w:space="0" w:color="auto"/>
        <w:left w:val="none" w:sz="0" w:space="0" w:color="auto"/>
        <w:bottom w:val="none" w:sz="0" w:space="0" w:color="auto"/>
        <w:right w:val="none" w:sz="0" w:space="0" w:color="auto"/>
      </w:divBdr>
    </w:div>
    <w:div w:id="594484001">
      <w:bodyDiv w:val="1"/>
      <w:marLeft w:val="0"/>
      <w:marRight w:val="0"/>
      <w:marTop w:val="0"/>
      <w:marBottom w:val="0"/>
      <w:divBdr>
        <w:top w:val="none" w:sz="0" w:space="0" w:color="auto"/>
        <w:left w:val="none" w:sz="0" w:space="0" w:color="auto"/>
        <w:bottom w:val="none" w:sz="0" w:space="0" w:color="auto"/>
        <w:right w:val="none" w:sz="0" w:space="0" w:color="auto"/>
      </w:divBdr>
    </w:div>
    <w:div w:id="820119464">
      <w:bodyDiv w:val="1"/>
      <w:marLeft w:val="0"/>
      <w:marRight w:val="0"/>
      <w:marTop w:val="0"/>
      <w:marBottom w:val="0"/>
      <w:divBdr>
        <w:top w:val="none" w:sz="0" w:space="0" w:color="auto"/>
        <w:left w:val="none" w:sz="0" w:space="0" w:color="auto"/>
        <w:bottom w:val="none" w:sz="0" w:space="0" w:color="auto"/>
        <w:right w:val="none" w:sz="0" w:space="0" w:color="auto"/>
      </w:divBdr>
    </w:div>
    <w:div w:id="848518273">
      <w:bodyDiv w:val="1"/>
      <w:marLeft w:val="0"/>
      <w:marRight w:val="0"/>
      <w:marTop w:val="0"/>
      <w:marBottom w:val="0"/>
      <w:divBdr>
        <w:top w:val="none" w:sz="0" w:space="0" w:color="auto"/>
        <w:left w:val="none" w:sz="0" w:space="0" w:color="auto"/>
        <w:bottom w:val="none" w:sz="0" w:space="0" w:color="auto"/>
        <w:right w:val="none" w:sz="0" w:space="0" w:color="auto"/>
      </w:divBdr>
    </w:div>
    <w:div w:id="1115759637">
      <w:bodyDiv w:val="1"/>
      <w:marLeft w:val="0"/>
      <w:marRight w:val="0"/>
      <w:marTop w:val="0"/>
      <w:marBottom w:val="0"/>
      <w:divBdr>
        <w:top w:val="none" w:sz="0" w:space="0" w:color="auto"/>
        <w:left w:val="none" w:sz="0" w:space="0" w:color="auto"/>
        <w:bottom w:val="none" w:sz="0" w:space="0" w:color="auto"/>
        <w:right w:val="none" w:sz="0" w:space="0" w:color="auto"/>
      </w:divBdr>
    </w:div>
    <w:div w:id="1123156191">
      <w:bodyDiv w:val="1"/>
      <w:marLeft w:val="0"/>
      <w:marRight w:val="0"/>
      <w:marTop w:val="0"/>
      <w:marBottom w:val="0"/>
      <w:divBdr>
        <w:top w:val="none" w:sz="0" w:space="0" w:color="auto"/>
        <w:left w:val="none" w:sz="0" w:space="0" w:color="auto"/>
        <w:bottom w:val="none" w:sz="0" w:space="0" w:color="auto"/>
        <w:right w:val="none" w:sz="0" w:space="0" w:color="auto"/>
      </w:divBdr>
    </w:div>
    <w:div w:id="1247031639">
      <w:bodyDiv w:val="1"/>
      <w:marLeft w:val="0"/>
      <w:marRight w:val="0"/>
      <w:marTop w:val="0"/>
      <w:marBottom w:val="0"/>
      <w:divBdr>
        <w:top w:val="none" w:sz="0" w:space="0" w:color="auto"/>
        <w:left w:val="none" w:sz="0" w:space="0" w:color="auto"/>
        <w:bottom w:val="none" w:sz="0" w:space="0" w:color="auto"/>
        <w:right w:val="none" w:sz="0" w:space="0" w:color="auto"/>
      </w:divBdr>
    </w:div>
    <w:div w:id="1293366899">
      <w:bodyDiv w:val="1"/>
      <w:marLeft w:val="0"/>
      <w:marRight w:val="0"/>
      <w:marTop w:val="0"/>
      <w:marBottom w:val="0"/>
      <w:divBdr>
        <w:top w:val="none" w:sz="0" w:space="0" w:color="auto"/>
        <w:left w:val="none" w:sz="0" w:space="0" w:color="auto"/>
        <w:bottom w:val="none" w:sz="0" w:space="0" w:color="auto"/>
        <w:right w:val="none" w:sz="0" w:space="0" w:color="auto"/>
      </w:divBdr>
    </w:div>
    <w:div w:id="1349285358">
      <w:bodyDiv w:val="1"/>
      <w:marLeft w:val="0"/>
      <w:marRight w:val="0"/>
      <w:marTop w:val="0"/>
      <w:marBottom w:val="0"/>
      <w:divBdr>
        <w:top w:val="none" w:sz="0" w:space="0" w:color="auto"/>
        <w:left w:val="none" w:sz="0" w:space="0" w:color="auto"/>
        <w:bottom w:val="none" w:sz="0" w:space="0" w:color="auto"/>
        <w:right w:val="none" w:sz="0" w:space="0" w:color="auto"/>
      </w:divBdr>
    </w:div>
    <w:div w:id="1433277538">
      <w:bodyDiv w:val="1"/>
      <w:marLeft w:val="0"/>
      <w:marRight w:val="0"/>
      <w:marTop w:val="0"/>
      <w:marBottom w:val="0"/>
      <w:divBdr>
        <w:top w:val="none" w:sz="0" w:space="0" w:color="auto"/>
        <w:left w:val="none" w:sz="0" w:space="0" w:color="auto"/>
        <w:bottom w:val="none" w:sz="0" w:space="0" w:color="auto"/>
        <w:right w:val="none" w:sz="0" w:space="0" w:color="auto"/>
      </w:divBdr>
    </w:div>
    <w:div w:id="1525825695">
      <w:bodyDiv w:val="1"/>
      <w:marLeft w:val="0"/>
      <w:marRight w:val="0"/>
      <w:marTop w:val="0"/>
      <w:marBottom w:val="0"/>
      <w:divBdr>
        <w:top w:val="none" w:sz="0" w:space="0" w:color="auto"/>
        <w:left w:val="none" w:sz="0" w:space="0" w:color="auto"/>
        <w:bottom w:val="none" w:sz="0" w:space="0" w:color="auto"/>
        <w:right w:val="none" w:sz="0" w:space="0" w:color="auto"/>
      </w:divBdr>
    </w:div>
    <w:div w:id="1602949980">
      <w:bodyDiv w:val="1"/>
      <w:marLeft w:val="0"/>
      <w:marRight w:val="0"/>
      <w:marTop w:val="0"/>
      <w:marBottom w:val="0"/>
      <w:divBdr>
        <w:top w:val="none" w:sz="0" w:space="0" w:color="auto"/>
        <w:left w:val="none" w:sz="0" w:space="0" w:color="auto"/>
        <w:bottom w:val="none" w:sz="0" w:space="0" w:color="auto"/>
        <w:right w:val="none" w:sz="0" w:space="0" w:color="auto"/>
      </w:divBdr>
    </w:div>
    <w:div w:id="1713269858">
      <w:bodyDiv w:val="1"/>
      <w:marLeft w:val="0"/>
      <w:marRight w:val="0"/>
      <w:marTop w:val="0"/>
      <w:marBottom w:val="0"/>
      <w:divBdr>
        <w:top w:val="none" w:sz="0" w:space="0" w:color="auto"/>
        <w:left w:val="none" w:sz="0" w:space="0" w:color="auto"/>
        <w:bottom w:val="none" w:sz="0" w:space="0" w:color="auto"/>
        <w:right w:val="none" w:sz="0" w:space="0" w:color="auto"/>
      </w:divBdr>
    </w:div>
    <w:div w:id="1788696694">
      <w:bodyDiv w:val="1"/>
      <w:marLeft w:val="0"/>
      <w:marRight w:val="0"/>
      <w:marTop w:val="0"/>
      <w:marBottom w:val="0"/>
      <w:divBdr>
        <w:top w:val="none" w:sz="0" w:space="0" w:color="auto"/>
        <w:left w:val="none" w:sz="0" w:space="0" w:color="auto"/>
        <w:bottom w:val="none" w:sz="0" w:space="0" w:color="auto"/>
        <w:right w:val="none" w:sz="0" w:space="0" w:color="auto"/>
      </w:divBdr>
    </w:div>
    <w:div w:id="1864631081">
      <w:bodyDiv w:val="1"/>
      <w:marLeft w:val="0"/>
      <w:marRight w:val="0"/>
      <w:marTop w:val="0"/>
      <w:marBottom w:val="0"/>
      <w:divBdr>
        <w:top w:val="none" w:sz="0" w:space="0" w:color="auto"/>
        <w:left w:val="none" w:sz="0" w:space="0" w:color="auto"/>
        <w:bottom w:val="none" w:sz="0" w:space="0" w:color="auto"/>
        <w:right w:val="none" w:sz="0" w:space="0" w:color="auto"/>
      </w:divBdr>
    </w:div>
    <w:div w:id="1869441135">
      <w:bodyDiv w:val="1"/>
      <w:marLeft w:val="0"/>
      <w:marRight w:val="0"/>
      <w:marTop w:val="0"/>
      <w:marBottom w:val="0"/>
      <w:divBdr>
        <w:top w:val="none" w:sz="0" w:space="0" w:color="auto"/>
        <w:left w:val="none" w:sz="0" w:space="0" w:color="auto"/>
        <w:bottom w:val="none" w:sz="0" w:space="0" w:color="auto"/>
        <w:right w:val="none" w:sz="0" w:space="0" w:color="auto"/>
      </w:divBdr>
    </w:div>
    <w:div w:id="1910577107">
      <w:bodyDiv w:val="1"/>
      <w:marLeft w:val="0"/>
      <w:marRight w:val="0"/>
      <w:marTop w:val="0"/>
      <w:marBottom w:val="0"/>
      <w:divBdr>
        <w:top w:val="none" w:sz="0" w:space="0" w:color="auto"/>
        <w:left w:val="none" w:sz="0" w:space="0" w:color="auto"/>
        <w:bottom w:val="none" w:sz="0" w:space="0" w:color="auto"/>
        <w:right w:val="none" w:sz="0" w:space="0" w:color="auto"/>
      </w:divBdr>
    </w:div>
    <w:div w:id="1946300391">
      <w:bodyDiv w:val="1"/>
      <w:marLeft w:val="0"/>
      <w:marRight w:val="0"/>
      <w:marTop w:val="0"/>
      <w:marBottom w:val="0"/>
      <w:divBdr>
        <w:top w:val="none" w:sz="0" w:space="0" w:color="auto"/>
        <w:left w:val="none" w:sz="0" w:space="0" w:color="auto"/>
        <w:bottom w:val="none" w:sz="0" w:space="0" w:color="auto"/>
        <w:right w:val="none" w:sz="0" w:space="0" w:color="auto"/>
      </w:divBdr>
    </w:div>
    <w:div w:id="213898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edcourt.gov.au/pjdp/newsletters" TargetMode="Externa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pieChart>
        <c:varyColors val="1"/>
        <c:ser>
          <c:idx val="0"/>
          <c:order val="0"/>
          <c:spPr>
            <a:ln w="19050"/>
          </c:spPr>
          <c:dPt>
            <c:idx val="0"/>
            <c:bubble3D val="0"/>
            <c:spPr>
              <a:solidFill>
                <a:schemeClr val="bg1">
                  <a:lumMod val="65000"/>
                </a:schemeClr>
              </a:solidFill>
              <a:ln w="19050"/>
            </c:spPr>
          </c:dPt>
          <c:dPt>
            <c:idx val="1"/>
            <c:bubble3D val="0"/>
            <c:spPr>
              <a:solidFill>
                <a:schemeClr val="accent2">
                  <a:lumMod val="40000"/>
                  <a:lumOff val="60000"/>
                </a:schemeClr>
              </a:solidFill>
              <a:ln w="19050"/>
            </c:spPr>
          </c:dPt>
          <c:dPt>
            <c:idx val="2"/>
            <c:bubble3D val="0"/>
            <c:spPr>
              <a:solidFill>
                <a:schemeClr val="accent1"/>
              </a:solidFill>
              <a:ln w="19050"/>
            </c:spPr>
          </c:dPt>
          <c:dPt>
            <c:idx val="3"/>
            <c:bubble3D val="0"/>
            <c:spPr>
              <a:solidFill>
                <a:schemeClr val="accent3"/>
              </a:solidFill>
              <a:ln w="19050"/>
            </c:spPr>
          </c:dPt>
          <c:dPt>
            <c:idx val="4"/>
            <c:bubble3D val="0"/>
            <c:spPr>
              <a:solidFill>
                <a:schemeClr val="accent4">
                  <a:lumMod val="60000"/>
                  <a:lumOff val="40000"/>
                </a:schemeClr>
              </a:solidFill>
              <a:ln w="19050"/>
            </c:spPr>
          </c:dPt>
          <c:dPt>
            <c:idx val="5"/>
            <c:bubble3D val="0"/>
            <c:spPr>
              <a:solidFill>
                <a:schemeClr val="bg2">
                  <a:lumMod val="75000"/>
                </a:schemeClr>
              </a:solidFill>
              <a:ln w="19050"/>
            </c:spPr>
          </c:dPt>
          <c:dPt>
            <c:idx val="6"/>
            <c:bubble3D val="0"/>
            <c:spPr>
              <a:solidFill>
                <a:schemeClr val="accent6"/>
              </a:solidFill>
              <a:ln w="19050"/>
            </c:spPr>
          </c:dPt>
          <c:dPt>
            <c:idx val="7"/>
            <c:bubble3D val="0"/>
            <c:spPr>
              <a:solidFill>
                <a:schemeClr val="accent5"/>
              </a:solidFill>
              <a:ln w="19050"/>
            </c:spPr>
          </c:dPt>
          <c:dLbls>
            <c:dLbl>
              <c:idx val="0"/>
              <c:layout>
                <c:manualLayout>
                  <c:x val="4.1359245897823811E-2"/>
                  <c:y val="3.0233055974386212E-2"/>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4.8261311395193567E-2"/>
                  <c:y val="1.5640997003034205E-2"/>
                </c:manualLayout>
              </c:layout>
              <c:showLegendKey val="0"/>
              <c:showVal val="1"/>
              <c:showCatName val="1"/>
              <c:showSerName val="0"/>
              <c:showPercent val="0"/>
              <c:showBubbleSize val="0"/>
              <c:extLst>
                <c:ext xmlns:c15="http://schemas.microsoft.com/office/drawing/2012/chart" uri="{CE6537A1-D6FC-4f65-9D91-7224C49458BB}">
                  <c15:layout>
                    <c:manualLayout>
                      <c:w val="0.27344524154892597"/>
                      <c:h val="6.7927501970055162E-2"/>
                    </c:manualLayout>
                  </c15:layout>
                </c:ext>
              </c:extLst>
            </c:dLbl>
            <c:dLbl>
              <c:idx val="2"/>
              <c:layout>
                <c:manualLayout>
                  <c:x val="-9.4979341360987068E-2"/>
                  <c:y val="-1.8273114796820776E-2"/>
                </c:manualLayout>
              </c:layout>
              <c:showLegendKey val="0"/>
              <c:showVal val="1"/>
              <c:showCatName val="1"/>
              <c:showSerName val="0"/>
              <c:showPercent val="0"/>
              <c:showBubbleSize val="0"/>
              <c:extLst>
                <c:ext xmlns:c15="http://schemas.microsoft.com/office/drawing/2012/chart" uri="{CE6537A1-D6FC-4f65-9D91-7224C49458BB}"/>
              </c:extLst>
            </c:dLbl>
            <c:dLbl>
              <c:idx val="3"/>
              <c:layout>
                <c:manualLayout>
                  <c:x val="-8.685755023086926E-2"/>
                  <c:y val="-3.510731371344564E-3"/>
                </c:manualLayout>
              </c:layout>
              <c:showLegendKey val="0"/>
              <c:showVal val="1"/>
              <c:showCatName val="1"/>
              <c:showSerName val="0"/>
              <c:showPercent val="0"/>
              <c:showBubbleSize val="0"/>
              <c:extLst>
                <c:ext xmlns:c15="http://schemas.microsoft.com/office/drawing/2012/chart" uri="{CE6537A1-D6FC-4f65-9D91-7224C49458BB}"/>
              </c:extLst>
            </c:dLbl>
            <c:dLbl>
              <c:idx val="4"/>
              <c:layout>
                <c:manualLayout>
                  <c:x val="6.0135561723468317E-2"/>
                  <c:y val="6.2374738618665593E-3"/>
                </c:manualLayout>
              </c:layout>
              <c:showLegendKey val="0"/>
              <c:showVal val="1"/>
              <c:showCatName val="1"/>
              <c:showSerName val="0"/>
              <c:showPercent val="0"/>
              <c:showBubbleSize val="0"/>
              <c:extLst>
                <c:ext xmlns:c15="http://schemas.microsoft.com/office/drawing/2012/chart" uri="{CE6537A1-D6FC-4f65-9D91-7224C49458BB}"/>
              </c:extLst>
            </c:dLbl>
            <c:dLbl>
              <c:idx val="5"/>
              <c:layout>
                <c:manualLayout>
                  <c:x val="8.3684119375686872E-2"/>
                  <c:y val="-1.8802702853632679E-2"/>
                </c:manualLayout>
              </c:layout>
              <c:showLegendKey val="0"/>
              <c:showVal val="1"/>
              <c:showCatName val="1"/>
              <c:showSerName val="0"/>
              <c:showPercent val="0"/>
              <c:showBubbleSize val="0"/>
              <c:extLst>
                <c:ext xmlns:c15="http://schemas.microsoft.com/office/drawing/2012/chart" uri="{CE6537A1-D6FC-4f65-9D91-7224C49458BB}"/>
              </c:extLst>
            </c:dLbl>
            <c:dLbl>
              <c:idx val="6"/>
              <c:layout>
                <c:manualLayout>
                  <c:x val="6.4808656744044457E-2"/>
                  <c:y val="-2.8045519132803447E-2"/>
                </c:manualLayout>
              </c:layout>
              <c:showLegendKey val="0"/>
              <c:showVal val="1"/>
              <c:showCatName val="1"/>
              <c:showSerName val="0"/>
              <c:showPercent val="0"/>
              <c:showBubbleSize val="0"/>
              <c:extLst>
                <c:ext xmlns:c15="http://schemas.microsoft.com/office/drawing/2012/chart" uri="{CE6537A1-D6FC-4f65-9D91-7224C49458BB}"/>
              </c:extLst>
            </c:dLbl>
            <c:dLbl>
              <c:idx val="7"/>
              <c:layout>
                <c:manualLayout>
                  <c:x val="7.4571043451408497E-2"/>
                  <c:y val="-2.0137996934781028E-3"/>
                </c:manualLayout>
              </c:layout>
              <c:showLegendKey val="0"/>
              <c:showVal val="1"/>
              <c:showCatName val="1"/>
              <c:showSerName val="0"/>
              <c:showPercent val="0"/>
              <c:showBubbleSize val="0"/>
              <c:extLst>
                <c:ext xmlns:c15="http://schemas.microsoft.com/office/drawing/2012/chart" uri="{CE6537A1-D6FC-4f65-9D91-7224C49458BB}"/>
              </c:extLst>
            </c:dLbl>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Sheet1!$A$4:$A$11</c:f>
              <c:strCache>
                <c:ptCount val="8"/>
                <c:pt idx="0">
                  <c:v>Contact Us</c:v>
                </c:pt>
                <c:pt idx="1">
                  <c:v>Opportunities / Media</c:v>
                </c:pt>
                <c:pt idx="2">
                  <c:v>Homepage</c:v>
                </c:pt>
                <c:pt idx="3">
                  <c:v>Toolkits</c:v>
                </c:pt>
                <c:pt idx="4">
                  <c:v>Materials</c:v>
                </c:pt>
                <c:pt idx="5">
                  <c:v>Activities</c:v>
                </c:pt>
                <c:pt idx="6">
                  <c:v>Newsletter</c:v>
                </c:pt>
                <c:pt idx="7">
                  <c:v>PEC</c:v>
                </c:pt>
              </c:strCache>
            </c:strRef>
          </c:cat>
          <c:val>
            <c:numRef>
              <c:f>Sheet1!$B$4:$B$11</c:f>
              <c:numCache>
                <c:formatCode>General</c:formatCode>
                <c:ptCount val="8"/>
                <c:pt idx="0">
                  <c:v>90</c:v>
                </c:pt>
                <c:pt idx="1">
                  <c:v>246</c:v>
                </c:pt>
                <c:pt idx="2">
                  <c:v>781</c:v>
                </c:pt>
                <c:pt idx="3">
                  <c:v>538</c:v>
                </c:pt>
                <c:pt idx="4">
                  <c:v>282</c:v>
                </c:pt>
                <c:pt idx="5">
                  <c:v>151</c:v>
                </c:pt>
                <c:pt idx="6">
                  <c:v>188</c:v>
                </c:pt>
                <c:pt idx="7">
                  <c:v>103</c:v>
                </c:pt>
              </c:numCache>
            </c:numRef>
          </c:val>
        </c:ser>
        <c:dLbls>
          <c:showLegendKey val="0"/>
          <c:showVal val="0"/>
          <c:showCatName val="0"/>
          <c:showSerName val="0"/>
          <c:showPercent val="0"/>
          <c:showBubbleSize val="0"/>
          <c:showLeaderLines val="1"/>
        </c:dLbls>
        <c:firstSliceAng val="114"/>
      </c:pieChart>
      <c:spPr>
        <a:effectLst/>
      </c:spPr>
    </c:plotArea>
    <c:plotVisOnly val="1"/>
    <c:dispBlanksAs val="zero"/>
    <c:showDLblsOverMax val="0"/>
  </c:chart>
  <c:spPr>
    <a:noFill/>
    <a:ln>
      <a:noFill/>
    </a:ln>
  </c:spPr>
  <c:txPr>
    <a:bodyPr/>
    <a:lstStyle/>
    <a:p>
      <a:pPr>
        <a:defRPr sz="1100">
          <a:latin typeface="Arial Narrow" panose="020B0606020202030204" pitchFamily="34" charset="0"/>
          <a:cs typeface="Arabic Typesetting" panose="03020402040406030203" pitchFamily="66" charset="-78"/>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A85688-9C61-4EEA-9F6D-562F4EFC8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38</Pages>
  <Words>12764</Words>
  <Characters>72761</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PJDP 6-Monthly Progress Report (Jan-Jun 2014)</dc:title>
  <dc:creator>Lorenz Metzner</dc:creator>
  <cp:lastModifiedBy>Lany Fernandez</cp:lastModifiedBy>
  <cp:revision>12</cp:revision>
  <cp:lastPrinted>2014-06-30T23:51:00Z</cp:lastPrinted>
  <dcterms:created xsi:type="dcterms:W3CDTF">2014-06-30T01:45:00Z</dcterms:created>
  <dcterms:modified xsi:type="dcterms:W3CDTF">2014-11-05T06:01:00Z</dcterms:modified>
</cp:coreProperties>
</file>