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2B97F" w14:textId="77777777" w:rsidR="004377D6" w:rsidRPr="005F01BC" w:rsidRDefault="008246F1" w:rsidP="00A66703">
      <w:pPr>
        <w:pStyle w:val="Heading2"/>
        <w:spacing w:line="360" w:lineRule="auto"/>
        <w:rPr>
          <w:b/>
          <w:sz w:val="36"/>
          <w:szCs w:val="36"/>
        </w:rPr>
      </w:pPr>
      <w:r w:rsidRPr="005F01BC">
        <w:rPr>
          <w:b/>
          <w:sz w:val="36"/>
          <w:szCs w:val="36"/>
        </w:rPr>
        <w:t>COMMERCIAL AND CORPORATIONS</w:t>
      </w:r>
      <w:r w:rsidR="005B47FB" w:rsidRPr="005F01BC">
        <w:rPr>
          <w:b/>
          <w:sz w:val="36"/>
          <w:szCs w:val="36"/>
        </w:rPr>
        <w:t xml:space="preserve"> PRACTICE NOTE (C&amp;C-1)</w:t>
      </w:r>
    </w:p>
    <w:p w14:paraId="6B86EC3F" w14:textId="77777777" w:rsidR="00D558A5" w:rsidRPr="005F01BC" w:rsidRDefault="00D558A5" w:rsidP="00A66703">
      <w:pPr>
        <w:pStyle w:val="Heading5"/>
        <w:spacing w:line="360" w:lineRule="auto"/>
        <w:rPr>
          <w:rStyle w:val="Hyperlink"/>
          <w:color w:val="auto"/>
          <w:sz w:val="30"/>
          <w:szCs w:val="32"/>
        </w:rPr>
      </w:pPr>
      <w:r w:rsidRPr="005F01BC">
        <w:t>Schedule 1</w:t>
      </w:r>
    </w:p>
    <w:p w14:paraId="32221171" w14:textId="77777777" w:rsidR="00D30FF3" w:rsidRPr="005F01BC" w:rsidRDefault="007A52C5" w:rsidP="00A66703">
      <w:pPr>
        <w:pStyle w:val="Heading6"/>
        <w:spacing w:line="360" w:lineRule="auto"/>
      </w:pPr>
      <w:r w:rsidRPr="005F01BC">
        <w:t>CORPORATIONS AND CORPORATE INSOLVENCY SUB-AREA</w:t>
      </w:r>
    </w:p>
    <w:p w14:paraId="6003ECE6" w14:textId="77777777" w:rsidR="0052096A" w:rsidRPr="005F01BC" w:rsidRDefault="00D30FF3" w:rsidP="00A66703">
      <w:pPr>
        <w:pStyle w:val="Heading7"/>
        <w:spacing w:line="360" w:lineRule="auto"/>
      </w:pPr>
      <w:r w:rsidRPr="005F01BC">
        <w:t>SCOPE OF SUB-AREA – CORPORATIONS MATTERS</w:t>
      </w:r>
    </w:p>
    <w:p w14:paraId="11A40D06" w14:textId="77777777" w:rsidR="00DA2389" w:rsidRPr="005F01BC" w:rsidRDefault="00DA2389" w:rsidP="00DA2389">
      <w:pPr>
        <w:pStyle w:val="Style2"/>
        <w:numPr>
          <w:ilvl w:val="0"/>
          <w:numId w:val="7"/>
        </w:numPr>
        <w:spacing w:line="360" w:lineRule="auto"/>
        <w:jc w:val="both"/>
        <w:rPr>
          <w:rFonts w:asciiTheme="minorHAnsi" w:hAnsiTheme="minorHAnsi"/>
          <w:lang w:eastAsia="en-AU"/>
        </w:rPr>
      </w:pPr>
      <w:r w:rsidRPr="005F01BC">
        <w:rPr>
          <w:rFonts w:asciiTheme="minorHAnsi" w:hAnsiTheme="minorHAnsi"/>
          <w:lang w:eastAsia="en-AU"/>
        </w:rPr>
        <w:t>The expression “c</w:t>
      </w:r>
      <w:r w:rsidRPr="005F01BC">
        <w:rPr>
          <w:rFonts w:asciiTheme="minorHAnsi" w:hAnsiTheme="minorHAnsi"/>
          <w:bCs/>
          <w:lang w:eastAsia="en-AU"/>
        </w:rPr>
        <w:t xml:space="preserve">orporations matters” applies to matters in the Corporations and Corporate Insolvency Sub-area and </w:t>
      </w:r>
      <w:r w:rsidRPr="005F01BC">
        <w:rPr>
          <w:rFonts w:asciiTheme="minorHAnsi" w:hAnsiTheme="minorHAnsi"/>
          <w:lang w:eastAsia="en-AU"/>
        </w:rPr>
        <w:t>includes matters arising under or in relation to:</w:t>
      </w:r>
    </w:p>
    <w:p w14:paraId="5D944E02" w14:textId="5F01B2EB" w:rsidR="00DA2389" w:rsidRPr="005F01BC" w:rsidRDefault="00DA2389" w:rsidP="00DA2389">
      <w:pPr>
        <w:pStyle w:val="Style2"/>
        <w:numPr>
          <w:ilvl w:val="2"/>
          <w:numId w:val="7"/>
        </w:numPr>
        <w:spacing w:line="360" w:lineRule="auto"/>
        <w:jc w:val="both"/>
        <w:rPr>
          <w:rFonts w:asciiTheme="minorHAnsi" w:hAnsiTheme="minorHAnsi"/>
          <w:lang w:eastAsia="en-AU"/>
        </w:rPr>
      </w:pPr>
      <w:r w:rsidRPr="005F01BC">
        <w:rPr>
          <w:rFonts w:asciiTheme="minorHAnsi" w:hAnsiTheme="minorHAnsi"/>
        </w:rPr>
        <w:t xml:space="preserve">the </w:t>
      </w:r>
      <w:hyperlink r:id="rId8" w:history="1">
        <w:r w:rsidRPr="005F01BC">
          <w:rPr>
            <w:rStyle w:val="Hyperlink"/>
            <w:rFonts w:asciiTheme="minorHAnsi" w:hAnsiTheme="minorHAnsi"/>
            <w:i/>
          </w:rPr>
          <w:t xml:space="preserve">Corporations Act 2001 </w:t>
        </w:r>
        <w:r w:rsidRPr="005F01BC">
          <w:rPr>
            <w:rStyle w:val="Hyperlink"/>
            <w:rFonts w:asciiTheme="minorHAnsi" w:hAnsiTheme="minorHAnsi"/>
          </w:rPr>
          <w:t>(Cth)</w:t>
        </w:r>
      </w:hyperlink>
      <w:r w:rsidRPr="005F01BC">
        <w:rPr>
          <w:rFonts w:asciiTheme="minorHAnsi" w:hAnsiTheme="minorHAnsi"/>
        </w:rPr>
        <w:t xml:space="preserve"> (</w:t>
      </w:r>
      <w:r w:rsidRPr="005F01BC">
        <w:rPr>
          <w:rFonts w:asciiTheme="minorHAnsi" w:hAnsiTheme="minorHAnsi"/>
          <w:b/>
        </w:rPr>
        <w:t>Corporations Act</w:t>
      </w:r>
      <w:r w:rsidRPr="005F01BC">
        <w:rPr>
          <w:rFonts w:asciiTheme="minorHAnsi" w:hAnsiTheme="minorHAnsi"/>
        </w:rPr>
        <w:t>);</w:t>
      </w:r>
    </w:p>
    <w:p w14:paraId="1D8190B9" w14:textId="77777777" w:rsidR="00DA2389" w:rsidRPr="005F01BC" w:rsidRDefault="00DA2389" w:rsidP="00DA2389">
      <w:pPr>
        <w:pStyle w:val="Style2"/>
        <w:numPr>
          <w:ilvl w:val="2"/>
          <w:numId w:val="7"/>
        </w:numPr>
        <w:spacing w:line="360" w:lineRule="auto"/>
        <w:jc w:val="both"/>
        <w:rPr>
          <w:rFonts w:asciiTheme="minorHAnsi" w:hAnsiTheme="minorHAnsi"/>
        </w:rPr>
      </w:pPr>
      <w:r w:rsidRPr="005F01BC">
        <w:rPr>
          <w:rFonts w:asciiTheme="minorHAnsi" w:hAnsiTheme="minorHAnsi"/>
        </w:rPr>
        <w:t xml:space="preserve">the </w:t>
      </w:r>
      <w:hyperlink r:id="rId9" w:history="1">
        <w:r w:rsidRPr="005F01BC">
          <w:rPr>
            <w:rStyle w:val="Hyperlink"/>
            <w:rFonts w:asciiTheme="minorHAnsi" w:hAnsiTheme="minorHAnsi"/>
            <w:i/>
          </w:rPr>
          <w:t xml:space="preserve">Australian Securities and Investments Commission Act 2001 </w:t>
        </w:r>
        <w:r w:rsidRPr="005F01BC">
          <w:rPr>
            <w:rStyle w:val="Hyperlink"/>
            <w:rFonts w:asciiTheme="minorHAnsi" w:hAnsiTheme="minorHAnsi"/>
          </w:rPr>
          <w:t>(Cth)</w:t>
        </w:r>
      </w:hyperlink>
      <w:r w:rsidRPr="005F01BC">
        <w:rPr>
          <w:rFonts w:asciiTheme="minorHAnsi" w:hAnsiTheme="minorHAnsi"/>
        </w:rPr>
        <w:t>;</w:t>
      </w:r>
    </w:p>
    <w:p w14:paraId="0E99D590" w14:textId="737B6980" w:rsidR="00DA2389" w:rsidRDefault="00DA2389" w:rsidP="00DA2389">
      <w:pPr>
        <w:pStyle w:val="Style2"/>
        <w:numPr>
          <w:ilvl w:val="2"/>
          <w:numId w:val="7"/>
        </w:numPr>
        <w:spacing w:line="360" w:lineRule="auto"/>
        <w:jc w:val="both"/>
        <w:rPr>
          <w:rFonts w:asciiTheme="minorHAnsi" w:hAnsiTheme="minorHAnsi"/>
        </w:rPr>
      </w:pPr>
      <w:r w:rsidRPr="005F01BC">
        <w:rPr>
          <w:rFonts w:asciiTheme="minorHAnsi" w:hAnsiTheme="minorHAnsi"/>
        </w:rPr>
        <w:t xml:space="preserve">the </w:t>
      </w:r>
      <w:hyperlink r:id="rId10" w:history="1">
        <w:r w:rsidRPr="005F01BC">
          <w:rPr>
            <w:rStyle w:val="Hyperlink"/>
            <w:rFonts w:asciiTheme="minorHAnsi" w:hAnsiTheme="minorHAnsi"/>
            <w:i/>
          </w:rPr>
          <w:t>Cross-Border Insolvency Act 2008</w:t>
        </w:r>
        <w:r w:rsidRPr="005F01BC">
          <w:rPr>
            <w:rStyle w:val="Hyperlink"/>
            <w:rFonts w:asciiTheme="minorHAnsi" w:hAnsiTheme="minorHAnsi"/>
          </w:rPr>
          <w:t xml:space="preserve"> (Cth)</w:t>
        </w:r>
      </w:hyperlink>
      <w:r w:rsidR="007D0B33">
        <w:rPr>
          <w:rStyle w:val="Hyperlink"/>
          <w:rFonts w:asciiTheme="minorHAnsi" w:hAnsiTheme="minorHAnsi"/>
        </w:rPr>
        <w:t xml:space="preserve"> (</w:t>
      </w:r>
      <w:r w:rsidR="007D0B33" w:rsidRPr="007D0B33">
        <w:rPr>
          <w:rStyle w:val="Hyperlink"/>
          <w:rFonts w:asciiTheme="minorHAnsi" w:hAnsiTheme="minorHAnsi"/>
          <w:b/>
          <w:bCs/>
        </w:rPr>
        <w:t>Cross Border Insolvency Act</w:t>
      </w:r>
      <w:r w:rsidR="007D0B33">
        <w:rPr>
          <w:rStyle w:val="Hyperlink"/>
          <w:rFonts w:asciiTheme="minorHAnsi" w:hAnsiTheme="minorHAnsi"/>
        </w:rPr>
        <w:t>)</w:t>
      </w:r>
      <w:r w:rsidRPr="005F01BC">
        <w:rPr>
          <w:rFonts w:asciiTheme="minorHAnsi" w:hAnsiTheme="minorHAnsi"/>
        </w:rPr>
        <w:t>;</w:t>
      </w:r>
      <w:r>
        <w:rPr>
          <w:rFonts w:asciiTheme="minorHAnsi" w:hAnsiTheme="minorHAnsi"/>
        </w:rPr>
        <w:t xml:space="preserve"> and </w:t>
      </w:r>
    </w:p>
    <w:p w14:paraId="3EA2AC4F" w14:textId="77777777" w:rsidR="00DA2389" w:rsidRPr="00DA2389" w:rsidRDefault="00DA2389" w:rsidP="00DA2389">
      <w:pPr>
        <w:pStyle w:val="Style2"/>
        <w:numPr>
          <w:ilvl w:val="2"/>
          <w:numId w:val="7"/>
        </w:numPr>
        <w:spacing w:line="360" w:lineRule="auto"/>
        <w:jc w:val="both"/>
        <w:rPr>
          <w:rFonts w:asciiTheme="minorHAnsi" w:hAnsiTheme="minorHAnsi"/>
        </w:rPr>
      </w:pPr>
      <w:r w:rsidRPr="00DA2389">
        <w:rPr>
          <w:rFonts w:asciiTheme="minorHAnsi" w:hAnsiTheme="minorHAnsi"/>
        </w:rPr>
        <w:t>all corporate insolvency matters, but not personal bankruptcy matters (the latter being in the General and Personal Insolvency Sub-area).</w:t>
      </w:r>
    </w:p>
    <w:p w14:paraId="01B938FB" w14:textId="77777777" w:rsidR="00D30FF3" w:rsidRPr="005F01BC" w:rsidRDefault="00D30FF3" w:rsidP="00A66703">
      <w:pPr>
        <w:pStyle w:val="Heading7"/>
        <w:spacing w:line="360" w:lineRule="auto"/>
        <w:rPr>
          <w:i/>
          <w:lang w:eastAsia="en-AU"/>
        </w:rPr>
      </w:pPr>
      <w:r w:rsidRPr="005F01BC">
        <w:t>OPERATION OF SUB-AREA</w:t>
      </w:r>
    </w:p>
    <w:p w14:paraId="39CBA656" w14:textId="77777777" w:rsidR="00D30FF3" w:rsidRPr="005F01BC" w:rsidRDefault="008938C5" w:rsidP="00A66703">
      <w:pPr>
        <w:pStyle w:val="Style2"/>
        <w:numPr>
          <w:ilvl w:val="0"/>
          <w:numId w:val="7"/>
        </w:numPr>
        <w:spacing w:line="360" w:lineRule="auto"/>
        <w:jc w:val="both"/>
        <w:rPr>
          <w:rFonts w:asciiTheme="minorHAnsi" w:hAnsiTheme="minorHAnsi"/>
          <w:lang w:eastAsia="en-AU"/>
        </w:rPr>
      </w:pPr>
      <w:r w:rsidRPr="005F01BC">
        <w:rPr>
          <w:rFonts w:asciiTheme="minorHAnsi" w:hAnsiTheme="minorHAnsi"/>
          <w:lang w:eastAsia="en-AU"/>
        </w:rPr>
        <w:t xml:space="preserve">The </w:t>
      </w:r>
      <w:r w:rsidR="003003FF" w:rsidRPr="005F01BC">
        <w:rPr>
          <w:rFonts w:asciiTheme="minorHAnsi" w:hAnsiTheme="minorHAnsi"/>
          <w:lang w:eastAsia="en-AU"/>
        </w:rPr>
        <w:t>C</w:t>
      </w:r>
      <w:r w:rsidRPr="005F01BC">
        <w:rPr>
          <w:rFonts w:asciiTheme="minorHAnsi" w:hAnsiTheme="minorHAnsi"/>
          <w:lang w:eastAsia="en-AU"/>
        </w:rPr>
        <w:t xml:space="preserve">ommercial and </w:t>
      </w:r>
      <w:r w:rsidR="003003FF" w:rsidRPr="005F01BC">
        <w:rPr>
          <w:rFonts w:asciiTheme="minorHAnsi" w:hAnsiTheme="minorHAnsi"/>
          <w:lang w:eastAsia="en-AU"/>
        </w:rPr>
        <w:t>C</w:t>
      </w:r>
      <w:r w:rsidRPr="005F01BC">
        <w:rPr>
          <w:rFonts w:asciiTheme="minorHAnsi" w:hAnsiTheme="minorHAnsi"/>
          <w:lang w:eastAsia="en-AU"/>
        </w:rPr>
        <w:t xml:space="preserve">orporations </w:t>
      </w:r>
      <w:r w:rsidR="003003FF" w:rsidRPr="005F01BC">
        <w:rPr>
          <w:rFonts w:asciiTheme="minorHAnsi" w:hAnsiTheme="minorHAnsi"/>
          <w:lang w:eastAsia="en-AU"/>
        </w:rPr>
        <w:t>P</w:t>
      </w:r>
      <w:r w:rsidRPr="005F01BC">
        <w:rPr>
          <w:rFonts w:asciiTheme="minorHAnsi" w:hAnsiTheme="minorHAnsi"/>
          <w:lang w:eastAsia="en-AU"/>
        </w:rPr>
        <w:t xml:space="preserve">ractice </w:t>
      </w:r>
      <w:r w:rsidR="003003FF" w:rsidRPr="005F01BC">
        <w:rPr>
          <w:rFonts w:asciiTheme="minorHAnsi" w:hAnsiTheme="minorHAnsi"/>
          <w:lang w:eastAsia="en-AU"/>
        </w:rPr>
        <w:t>N</w:t>
      </w:r>
      <w:r w:rsidRPr="005F01BC">
        <w:rPr>
          <w:rFonts w:asciiTheme="minorHAnsi" w:hAnsiTheme="minorHAnsi"/>
          <w:lang w:eastAsia="en-AU"/>
        </w:rPr>
        <w:t>ote</w:t>
      </w:r>
      <w:r w:rsidR="003003FF" w:rsidRPr="005F01BC">
        <w:rPr>
          <w:rFonts w:asciiTheme="minorHAnsi" w:hAnsiTheme="minorHAnsi"/>
          <w:lang w:eastAsia="en-AU"/>
        </w:rPr>
        <w:t xml:space="preserve"> (C&amp;C-1)</w:t>
      </w:r>
      <w:r w:rsidRPr="005F01BC">
        <w:rPr>
          <w:rFonts w:asciiTheme="minorHAnsi" w:hAnsiTheme="minorHAnsi"/>
          <w:lang w:eastAsia="en-AU"/>
        </w:rPr>
        <w:t xml:space="preserve"> </w:t>
      </w:r>
      <w:r w:rsidR="00D30FF3" w:rsidRPr="005F01BC">
        <w:rPr>
          <w:rFonts w:asciiTheme="minorHAnsi" w:hAnsiTheme="minorHAnsi"/>
          <w:lang w:eastAsia="en-AU"/>
        </w:rPr>
        <w:t>(</w:t>
      </w:r>
      <w:r w:rsidRPr="005F01BC">
        <w:rPr>
          <w:rFonts w:asciiTheme="minorHAnsi" w:hAnsiTheme="minorHAnsi"/>
          <w:lang w:eastAsia="en-AU"/>
        </w:rPr>
        <w:t xml:space="preserve">to which this </w:t>
      </w:r>
      <w:r w:rsidR="00EA0E3D" w:rsidRPr="005F01BC">
        <w:rPr>
          <w:rFonts w:asciiTheme="minorHAnsi" w:hAnsiTheme="minorHAnsi"/>
          <w:lang w:eastAsia="en-AU"/>
        </w:rPr>
        <w:t>s</w:t>
      </w:r>
      <w:r w:rsidRPr="005F01BC">
        <w:rPr>
          <w:rFonts w:asciiTheme="minorHAnsi" w:hAnsiTheme="minorHAnsi"/>
          <w:lang w:eastAsia="en-AU"/>
        </w:rPr>
        <w:t>chedule is attached</w:t>
      </w:r>
      <w:r w:rsidR="00D30FF3" w:rsidRPr="005F01BC">
        <w:rPr>
          <w:rFonts w:asciiTheme="minorHAnsi" w:hAnsiTheme="minorHAnsi"/>
          <w:lang w:eastAsia="en-AU"/>
        </w:rPr>
        <w:t>)</w:t>
      </w:r>
      <w:r w:rsidRPr="005F01BC">
        <w:rPr>
          <w:rFonts w:asciiTheme="minorHAnsi" w:hAnsiTheme="minorHAnsi"/>
          <w:lang w:eastAsia="en-AU"/>
        </w:rPr>
        <w:t xml:space="preserve"> appli</w:t>
      </w:r>
      <w:r w:rsidR="00D30FF3" w:rsidRPr="005F01BC">
        <w:rPr>
          <w:rFonts w:asciiTheme="minorHAnsi" w:hAnsiTheme="minorHAnsi"/>
          <w:lang w:eastAsia="en-AU"/>
        </w:rPr>
        <w:t xml:space="preserve">es to all </w:t>
      </w:r>
      <w:r w:rsidR="00B9082A" w:rsidRPr="005F01BC">
        <w:rPr>
          <w:rFonts w:asciiTheme="minorHAnsi" w:hAnsiTheme="minorHAnsi"/>
          <w:lang w:eastAsia="en-AU"/>
        </w:rPr>
        <w:t>c</w:t>
      </w:r>
      <w:r w:rsidR="00D30FF3" w:rsidRPr="005F01BC">
        <w:rPr>
          <w:rFonts w:asciiTheme="minorHAnsi" w:hAnsiTheme="minorHAnsi"/>
          <w:lang w:eastAsia="en-AU"/>
        </w:rPr>
        <w:t>orporations matters.</w:t>
      </w:r>
    </w:p>
    <w:p w14:paraId="13D7C47C" w14:textId="3E17AE41" w:rsidR="00C9514C" w:rsidRPr="00C9514C" w:rsidRDefault="0052096A" w:rsidP="00372BA8">
      <w:pPr>
        <w:pStyle w:val="Heading8"/>
        <w:spacing w:line="360" w:lineRule="auto"/>
      </w:pPr>
      <w:r w:rsidRPr="005F01BC">
        <w:t>Corporations Judges</w:t>
      </w:r>
    </w:p>
    <w:p w14:paraId="59D7A997" w14:textId="4A3BAB30" w:rsidR="00C459F7" w:rsidRDefault="0052096A" w:rsidP="00A66703">
      <w:pPr>
        <w:pStyle w:val="Style2"/>
        <w:numPr>
          <w:ilvl w:val="0"/>
          <w:numId w:val="7"/>
        </w:numPr>
        <w:spacing w:line="360" w:lineRule="auto"/>
        <w:jc w:val="both"/>
        <w:rPr>
          <w:rFonts w:asciiTheme="minorHAnsi" w:hAnsiTheme="minorHAnsi"/>
          <w:lang w:eastAsia="en-AU"/>
        </w:rPr>
      </w:pPr>
      <w:r w:rsidRPr="005F01BC">
        <w:rPr>
          <w:rFonts w:asciiTheme="minorHAnsi" w:hAnsiTheme="minorHAnsi"/>
          <w:lang w:eastAsia="en-AU"/>
        </w:rPr>
        <w:t xml:space="preserve">All </w:t>
      </w:r>
      <w:r w:rsidR="00EA0E3D" w:rsidRPr="005F01BC">
        <w:rPr>
          <w:rFonts w:asciiTheme="minorHAnsi" w:hAnsiTheme="minorHAnsi"/>
          <w:lang w:eastAsia="en-AU"/>
        </w:rPr>
        <w:t>r</w:t>
      </w:r>
      <w:r w:rsidRPr="005F01BC">
        <w:rPr>
          <w:rFonts w:asciiTheme="minorHAnsi" w:hAnsiTheme="minorHAnsi"/>
          <w:lang w:eastAsia="en-AU"/>
        </w:rPr>
        <w:t xml:space="preserve">egistries </w:t>
      </w:r>
      <w:r w:rsidR="00EA0E3D" w:rsidRPr="005F01BC">
        <w:rPr>
          <w:rFonts w:asciiTheme="minorHAnsi" w:hAnsiTheme="minorHAnsi"/>
          <w:lang w:eastAsia="en-AU"/>
        </w:rPr>
        <w:t>n</w:t>
      </w:r>
      <w:r w:rsidRPr="005F01BC">
        <w:rPr>
          <w:rFonts w:asciiTheme="minorHAnsi" w:hAnsiTheme="minorHAnsi"/>
          <w:lang w:eastAsia="en-AU"/>
        </w:rPr>
        <w:t xml:space="preserve">ationally have dedicated </w:t>
      </w:r>
      <w:r w:rsidR="00EA0E3D" w:rsidRPr="005F01BC">
        <w:rPr>
          <w:rFonts w:asciiTheme="minorHAnsi" w:hAnsiTheme="minorHAnsi"/>
          <w:lang w:eastAsia="en-AU"/>
        </w:rPr>
        <w:t>c</w:t>
      </w:r>
      <w:r w:rsidRPr="005F01BC">
        <w:rPr>
          <w:rFonts w:asciiTheme="minorHAnsi" w:hAnsiTheme="minorHAnsi"/>
          <w:lang w:eastAsia="en-AU"/>
        </w:rPr>
        <w:t xml:space="preserve">orporations </w:t>
      </w:r>
      <w:r w:rsidR="00EA0E3D" w:rsidRPr="005F01BC">
        <w:rPr>
          <w:rFonts w:asciiTheme="minorHAnsi" w:hAnsiTheme="minorHAnsi"/>
          <w:lang w:eastAsia="en-AU"/>
        </w:rPr>
        <w:t>j</w:t>
      </w:r>
      <w:r w:rsidRPr="005F01BC">
        <w:rPr>
          <w:rFonts w:asciiTheme="minorHAnsi" w:hAnsiTheme="minorHAnsi"/>
          <w:lang w:eastAsia="en-AU"/>
        </w:rPr>
        <w:t xml:space="preserve">udges.  The </w:t>
      </w:r>
      <w:hyperlink r:id="rId11" w:history="1">
        <w:r w:rsidR="00EA0E3D" w:rsidRPr="005F01BC">
          <w:rPr>
            <w:rStyle w:val="Hyperlink"/>
            <w:rFonts w:asciiTheme="minorHAnsi" w:hAnsiTheme="minorHAnsi"/>
            <w:lang w:eastAsia="en-AU"/>
          </w:rPr>
          <w:t>c</w:t>
        </w:r>
        <w:r w:rsidRPr="005F01BC">
          <w:rPr>
            <w:rStyle w:val="Hyperlink"/>
            <w:rFonts w:asciiTheme="minorHAnsi" w:hAnsiTheme="minorHAnsi"/>
            <w:lang w:eastAsia="en-AU"/>
          </w:rPr>
          <w:t xml:space="preserve">orporations </w:t>
        </w:r>
        <w:r w:rsidR="00EA0E3D" w:rsidRPr="005F01BC">
          <w:rPr>
            <w:rStyle w:val="Hyperlink"/>
            <w:rFonts w:asciiTheme="minorHAnsi" w:hAnsiTheme="minorHAnsi"/>
            <w:lang w:eastAsia="en-AU"/>
          </w:rPr>
          <w:t>j</w:t>
        </w:r>
        <w:r w:rsidRPr="005F01BC">
          <w:rPr>
            <w:rStyle w:val="Hyperlink"/>
            <w:rFonts w:asciiTheme="minorHAnsi" w:hAnsiTheme="minorHAnsi"/>
            <w:lang w:eastAsia="en-AU"/>
          </w:rPr>
          <w:t>udges</w:t>
        </w:r>
      </w:hyperlink>
      <w:r w:rsidRPr="005F01BC">
        <w:rPr>
          <w:rFonts w:asciiTheme="minorHAnsi" w:hAnsiTheme="minorHAnsi"/>
          <w:lang w:eastAsia="en-AU"/>
        </w:rPr>
        <w:t xml:space="preserve"> in each </w:t>
      </w:r>
      <w:r w:rsidR="00EA0E3D" w:rsidRPr="005F01BC">
        <w:rPr>
          <w:rFonts w:asciiTheme="minorHAnsi" w:hAnsiTheme="minorHAnsi"/>
          <w:lang w:eastAsia="en-AU"/>
        </w:rPr>
        <w:t>r</w:t>
      </w:r>
      <w:r w:rsidRPr="005F01BC">
        <w:rPr>
          <w:rFonts w:asciiTheme="minorHAnsi" w:hAnsiTheme="minorHAnsi"/>
          <w:lang w:eastAsia="en-AU"/>
        </w:rPr>
        <w:t xml:space="preserve">egistry are set out on the Court’s website.  </w:t>
      </w:r>
    </w:p>
    <w:p w14:paraId="468609AC" w14:textId="4CF1443C" w:rsidR="00372BA8" w:rsidRDefault="003A715A" w:rsidP="00150B52">
      <w:pPr>
        <w:pStyle w:val="Heading8"/>
      </w:pPr>
      <w:r>
        <w:t xml:space="preserve">Weekly </w:t>
      </w:r>
      <w:r w:rsidR="00372BA8" w:rsidRPr="005F01BC">
        <w:t>Corporations Lists</w:t>
      </w:r>
    </w:p>
    <w:p w14:paraId="725DEF14" w14:textId="6F933270" w:rsidR="00FF37F9" w:rsidRDefault="00FF37F9" w:rsidP="00A66703">
      <w:pPr>
        <w:pStyle w:val="Style2"/>
        <w:numPr>
          <w:ilvl w:val="0"/>
          <w:numId w:val="7"/>
        </w:numPr>
        <w:spacing w:line="360" w:lineRule="auto"/>
        <w:jc w:val="both"/>
        <w:rPr>
          <w:rFonts w:asciiTheme="minorHAnsi" w:hAnsiTheme="minorHAnsi"/>
          <w:lang w:eastAsia="en-AU"/>
        </w:rPr>
      </w:pPr>
      <w:r>
        <w:rPr>
          <w:rFonts w:asciiTheme="minorHAnsi" w:hAnsiTheme="minorHAnsi"/>
          <w:lang w:eastAsia="en-AU"/>
        </w:rPr>
        <w:t xml:space="preserve">The purpose of the weekly Corporations List conducted in the registries specified below is to provide efficient triaging of corporations matters which seek relief under Ch 5 and/or Ch 5A of the Corporations Act (other than those that seek relief under Pt 5.1 of Ch 5) or under the </w:t>
      </w:r>
      <w:r w:rsidRPr="007D0B33">
        <w:rPr>
          <w:rFonts w:asciiTheme="minorHAnsi" w:hAnsiTheme="minorHAnsi"/>
          <w:lang w:eastAsia="en-AU"/>
        </w:rPr>
        <w:t>Cross Border Insolvency Act</w:t>
      </w:r>
      <w:r>
        <w:rPr>
          <w:rFonts w:asciiTheme="minorHAnsi" w:hAnsiTheme="minorHAnsi"/>
          <w:lang w:eastAsia="en-AU"/>
        </w:rPr>
        <w:t>.</w:t>
      </w:r>
    </w:p>
    <w:p w14:paraId="5AD102F5" w14:textId="0A8E3870" w:rsidR="0052096A" w:rsidRPr="005F01BC" w:rsidRDefault="00AB2B2C" w:rsidP="00A66703">
      <w:pPr>
        <w:pStyle w:val="Style2"/>
        <w:numPr>
          <w:ilvl w:val="0"/>
          <w:numId w:val="7"/>
        </w:numPr>
        <w:spacing w:line="360" w:lineRule="auto"/>
        <w:jc w:val="both"/>
        <w:rPr>
          <w:rFonts w:asciiTheme="minorHAnsi" w:hAnsiTheme="minorHAnsi"/>
          <w:lang w:eastAsia="en-AU"/>
        </w:rPr>
      </w:pPr>
      <w:hyperlink r:id="rId12" w:anchor="list" w:history="1">
        <w:r w:rsidR="00C459F7">
          <w:rPr>
            <w:rStyle w:val="Hyperlink"/>
            <w:rFonts w:asciiTheme="minorHAnsi" w:hAnsiTheme="minorHAnsi"/>
            <w:lang w:eastAsia="en-AU"/>
          </w:rPr>
          <w:t>C</w:t>
        </w:r>
        <w:r w:rsidR="0052096A" w:rsidRPr="005F01BC">
          <w:rPr>
            <w:rStyle w:val="Hyperlink"/>
            <w:rFonts w:asciiTheme="minorHAnsi" w:hAnsiTheme="minorHAnsi"/>
            <w:lang w:eastAsia="en-AU"/>
          </w:rPr>
          <w:t xml:space="preserve">orporations </w:t>
        </w:r>
        <w:r w:rsidR="00C459F7">
          <w:rPr>
            <w:rStyle w:val="Hyperlink"/>
            <w:rFonts w:asciiTheme="minorHAnsi" w:hAnsiTheme="minorHAnsi"/>
            <w:lang w:eastAsia="en-AU"/>
          </w:rPr>
          <w:t>L</w:t>
        </w:r>
        <w:r w:rsidR="0052096A" w:rsidRPr="005F01BC">
          <w:rPr>
            <w:rStyle w:val="Hyperlink"/>
            <w:rFonts w:asciiTheme="minorHAnsi" w:hAnsiTheme="minorHAnsi"/>
            <w:lang w:eastAsia="en-AU"/>
          </w:rPr>
          <w:t>ist</w:t>
        </w:r>
      </w:hyperlink>
      <w:r w:rsidR="00C75EC7">
        <w:rPr>
          <w:rStyle w:val="Hyperlink"/>
          <w:rFonts w:asciiTheme="minorHAnsi" w:hAnsiTheme="minorHAnsi"/>
          <w:lang w:eastAsia="en-AU"/>
        </w:rPr>
        <w:t>s</w:t>
      </w:r>
      <w:r w:rsidR="0052096A" w:rsidRPr="005F01BC">
        <w:rPr>
          <w:rFonts w:asciiTheme="minorHAnsi" w:hAnsiTheme="minorHAnsi"/>
          <w:lang w:eastAsia="en-AU"/>
        </w:rPr>
        <w:t xml:space="preserve"> </w:t>
      </w:r>
      <w:r w:rsidR="00372BA8">
        <w:rPr>
          <w:rFonts w:asciiTheme="minorHAnsi" w:hAnsiTheme="minorHAnsi"/>
          <w:lang w:eastAsia="en-AU"/>
        </w:rPr>
        <w:t xml:space="preserve">are </w:t>
      </w:r>
      <w:r w:rsidR="006F2A28">
        <w:rPr>
          <w:rFonts w:asciiTheme="minorHAnsi" w:hAnsiTheme="minorHAnsi"/>
          <w:lang w:eastAsia="en-AU"/>
        </w:rPr>
        <w:t>conducted</w:t>
      </w:r>
      <w:r w:rsidR="00372BA8">
        <w:rPr>
          <w:rFonts w:asciiTheme="minorHAnsi" w:hAnsiTheme="minorHAnsi"/>
          <w:lang w:eastAsia="en-AU"/>
        </w:rPr>
        <w:t xml:space="preserve"> </w:t>
      </w:r>
      <w:r w:rsidR="0052096A" w:rsidRPr="005F01BC">
        <w:rPr>
          <w:rFonts w:asciiTheme="minorHAnsi" w:hAnsiTheme="minorHAnsi"/>
          <w:lang w:eastAsia="en-AU"/>
        </w:rPr>
        <w:t xml:space="preserve">in </w:t>
      </w:r>
      <w:r w:rsidR="002C7A44">
        <w:rPr>
          <w:rFonts w:asciiTheme="minorHAnsi" w:hAnsiTheme="minorHAnsi"/>
          <w:lang w:eastAsia="en-AU"/>
        </w:rPr>
        <w:t>the New South Wales, Victoria</w:t>
      </w:r>
      <w:r w:rsidR="007C6854">
        <w:rPr>
          <w:rFonts w:asciiTheme="minorHAnsi" w:hAnsiTheme="minorHAnsi"/>
          <w:lang w:eastAsia="en-AU"/>
        </w:rPr>
        <w:t>n</w:t>
      </w:r>
      <w:r w:rsidR="002C7A44">
        <w:rPr>
          <w:rFonts w:asciiTheme="minorHAnsi" w:hAnsiTheme="minorHAnsi"/>
          <w:lang w:eastAsia="en-AU"/>
        </w:rPr>
        <w:t xml:space="preserve">, Queensland and West Australian </w:t>
      </w:r>
      <w:r w:rsidR="007C6854">
        <w:rPr>
          <w:rFonts w:asciiTheme="minorHAnsi" w:hAnsiTheme="minorHAnsi"/>
          <w:lang w:eastAsia="en-AU"/>
        </w:rPr>
        <w:t>registries</w:t>
      </w:r>
      <w:r w:rsidR="00372BA8">
        <w:rPr>
          <w:rFonts w:asciiTheme="minorHAnsi" w:hAnsiTheme="minorHAnsi"/>
          <w:lang w:eastAsia="en-AU"/>
        </w:rPr>
        <w:t>.  They</w:t>
      </w:r>
      <w:r w:rsidR="0052096A" w:rsidRPr="005F01BC">
        <w:rPr>
          <w:rFonts w:asciiTheme="minorHAnsi" w:hAnsiTheme="minorHAnsi"/>
          <w:lang w:eastAsia="en-AU"/>
        </w:rPr>
        <w:t xml:space="preserve"> operate on consistent </w:t>
      </w:r>
      <w:r w:rsidR="001336D5" w:rsidRPr="005F01BC">
        <w:rPr>
          <w:rFonts w:asciiTheme="minorHAnsi" w:hAnsiTheme="minorHAnsi"/>
          <w:lang w:eastAsia="en-AU"/>
        </w:rPr>
        <w:t xml:space="preserve">NCF </w:t>
      </w:r>
      <w:r w:rsidR="0052096A" w:rsidRPr="005F01BC">
        <w:rPr>
          <w:rFonts w:asciiTheme="minorHAnsi" w:hAnsiTheme="minorHAnsi"/>
          <w:lang w:eastAsia="en-AU"/>
        </w:rPr>
        <w:t xml:space="preserve">principles for </w:t>
      </w:r>
      <w:r w:rsidR="00B9082A" w:rsidRPr="005F01BC">
        <w:rPr>
          <w:rFonts w:asciiTheme="minorHAnsi" w:hAnsiTheme="minorHAnsi"/>
          <w:lang w:eastAsia="en-AU"/>
        </w:rPr>
        <w:t>c</w:t>
      </w:r>
      <w:r w:rsidR="0052096A" w:rsidRPr="005F01BC">
        <w:rPr>
          <w:rFonts w:asciiTheme="minorHAnsi" w:hAnsiTheme="minorHAnsi"/>
          <w:lang w:eastAsia="en-AU"/>
        </w:rPr>
        <w:t xml:space="preserve">orporations matters and according to the workflow and needs of the </w:t>
      </w:r>
      <w:proofErr w:type="gramStart"/>
      <w:r w:rsidR="0052096A" w:rsidRPr="005F01BC">
        <w:rPr>
          <w:rFonts w:asciiTheme="minorHAnsi" w:hAnsiTheme="minorHAnsi"/>
          <w:lang w:eastAsia="en-AU"/>
        </w:rPr>
        <w:t xml:space="preserve">particular </w:t>
      </w:r>
      <w:r w:rsidR="00EA0E3D" w:rsidRPr="005F01BC">
        <w:rPr>
          <w:rFonts w:asciiTheme="minorHAnsi" w:hAnsiTheme="minorHAnsi"/>
          <w:lang w:eastAsia="en-AU"/>
        </w:rPr>
        <w:t>r</w:t>
      </w:r>
      <w:r w:rsidR="0052096A" w:rsidRPr="005F01BC">
        <w:rPr>
          <w:rFonts w:asciiTheme="minorHAnsi" w:hAnsiTheme="minorHAnsi"/>
          <w:lang w:eastAsia="en-AU"/>
        </w:rPr>
        <w:t>egistry</w:t>
      </w:r>
      <w:proofErr w:type="gramEnd"/>
      <w:r w:rsidR="0052096A" w:rsidRPr="005F01BC">
        <w:rPr>
          <w:rFonts w:asciiTheme="minorHAnsi" w:hAnsiTheme="minorHAnsi"/>
          <w:lang w:eastAsia="en-AU"/>
        </w:rPr>
        <w:t xml:space="preserve">. </w:t>
      </w:r>
      <w:r w:rsidR="00F353F9">
        <w:rPr>
          <w:rFonts w:asciiTheme="minorHAnsi" w:hAnsiTheme="minorHAnsi"/>
          <w:lang w:eastAsia="en-AU"/>
        </w:rPr>
        <w:t xml:space="preserve"> At present there is no </w:t>
      </w:r>
      <w:r w:rsidR="00F353F9" w:rsidRPr="00F353F9">
        <w:rPr>
          <w:rFonts w:asciiTheme="minorHAnsi" w:hAnsiTheme="minorHAnsi"/>
          <w:lang w:eastAsia="en-AU"/>
        </w:rPr>
        <w:t xml:space="preserve">weekly </w:t>
      </w:r>
      <w:r w:rsidR="00F353F9" w:rsidRPr="00F353F9">
        <w:rPr>
          <w:rFonts w:asciiTheme="minorHAnsi" w:hAnsiTheme="minorHAnsi"/>
          <w:lang w:eastAsia="en-AU"/>
        </w:rPr>
        <w:lastRenderedPageBreak/>
        <w:t>Corporations List in the South Australian registry</w:t>
      </w:r>
      <w:r w:rsidR="006F2A28">
        <w:rPr>
          <w:rFonts w:asciiTheme="minorHAnsi" w:hAnsiTheme="minorHAnsi"/>
          <w:lang w:eastAsia="en-AU"/>
        </w:rPr>
        <w:t xml:space="preserve"> because</w:t>
      </w:r>
      <w:r w:rsidR="006F2A28" w:rsidRPr="00F353F9">
        <w:rPr>
          <w:rFonts w:asciiTheme="minorHAnsi" w:hAnsiTheme="minorHAnsi"/>
          <w:lang w:eastAsia="en-AU"/>
        </w:rPr>
        <w:t xml:space="preserve"> there are insufficient filings to justify running a separate list.</w:t>
      </w:r>
      <w:r w:rsidR="00250518">
        <w:rPr>
          <w:rFonts w:asciiTheme="minorHAnsi" w:hAnsiTheme="minorHAnsi"/>
          <w:lang w:eastAsia="en-AU"/>
        </w:rPr>
        <w:t xml:space="preserve"> </w:t>
      </w:r>
      <w:r w:rsidR="006F2A28" w:rsidRPr="005F01BC">
        <w:rPr>
          <w:rFonts w:asciiTheme="minorHAnsi" w:hAnsiTheme="minorHAnsi"/>
          <w:lang w:eastAsia="en-AU"/>
        </w:rPr>
        <w:t xml:space="preserve"> </w:t>
      </w:r>
    </w:p>
    <w:p w14:paraId="1F6B50EA" w14:textId="43E123DA" w:rsidR="00FE33A2" w:rsidRPr="00BC0F8E" w:rsidRDefault="006D0C30" w:rsidP="00BC0F8E">
      <w:pPr>
        <w:pStyle w:val="Style2"/>
        <w:numPr>
          <w:ilvl w:val="0"/>
          <w:numId w:val="7"/>
        </w:numPr>
        <w:spacing w:line="360" w:lineRule="auto"/>
        <w:jc w:val="both"/>
        <w:rPr>
          <w:rFonts w:asciiTheme="minorHAnsi" w:hAnsiTheme="minorHAnsi"/>
          <w:lang w:eastAsia="en-AU"/>
        </w:rPr>
      </w:pPr>
      <w:r w:rsidRPr="005F01BC">
        <w:rPr>
          <w:rFonts w:asciiTheme="minorHAnsi" w:hAnsiTheme="minorHAnsi"/>
          <w:lang w:eastAsia="en-AU"/>
        </w:rPr>
        <w:t xml:space="preserve">On the return date for </w:t>
      </w:r>
      <w:r w:rsidR="0052554E">
        <w:rPr>
          <w:rFonts w:asciiTheme="minorHAnsi" w:hAnsiTheme="minorHAnsi"/>
          <w:lang w:eastAsia="en-AU"/>
        </w:rPr>
        <w:t>an</w:t>
      </w:r>
      <w:r w:rsidRPr="005F01BC">
        <w:rPr>
          <w:rFonts w:asciiTheme="minorHAnsi" w:hAnsiTheme="minorHAnsi"/>
          <w:lang w:eastAsia="en-AU"/>
        </w:rPr>
        <w:t xml:space="preserve"> application (</w:t>
      </w:r>
      <w:r w:rsidR="0052096A" w:rsidRPr="005F01BC">
        <w:rPr>
          <w:rFonts w:asciiTheme="minorHAnsi" w:hAnsiTheme="minorHAnsi"/>
          <w:lang w:eastAsia="en-AU"/>
        </w:rPr>
        <w:t>which will be</w:t>
      </w:r>
      <w:r w:rsidR="00590588">
        <w:rPr>
          <w:rFonts w:asciiTheme="minorHAnsi" w:hAnsiTheme="minorHAnsi"/>
          <w:lang w:eastAsia="en-AU"/>
        </w:rPr>
        <w:t xml:space="preserve"> </w:t>
      </w:r>
      <w:r w:rsidR="008E33F1">
        <w:rPr>
          <w:rFonts w:asciiTheme="minorHAnsi" w:hAnsiTheme="minorHAnsi"/>
          <w:lang w:eastAsia="en-AU"/>
        </w:rPr>
        <w:t xml:space="preserve">in accordance with the </w:t>
      </w:r>
      <w:r w:rsidR="00722176">
        <w:rPr>
          <w:rFonts w:asciiTheme="minorHAnsi" w:hAnsiTheme="minorHAnsi"/>
          <w:lang w:eastAsia="en-AU"/>
        </w:rPr>
        <w:t xml:space="preserve">allocation procedure for </w:t>
      </w:r>
      <w:r w:rsidR="00590588">
        <w:rPr>
          <w:rFonts w:asciiTheme="minorHAnsi" w:hAnsiTheme="minorHAnsi"/>
          <w:lang w:eastAsia="en-AU"/>
        </w:rPr>
        <w:t xml:space="preserve"> the weekly Corporations List </w:t>
      </w:r>
      <w:r w:rsidR="00C75EC7">
        <w:rPr>
          <w:rFonts w:asciiTheme="minorHAnsi" w:hAnsiTheme="minorHAnsi"/>
          <w:lang w:eastAsia="en-AU"/>
        </w:rPr>
        <w:t xml:space="preserve">(see below) </w:t>
      </w:r>
      <w:r w:rsidR="00590588">
        <w:rPr>
          <w:rFonts w:asciiTheme="minorHAnsi" w:hAnsiTheme="minorHAnsi"/>
          <w:lang w:eastAsia="en-AU"/>
        </w:rPr>
        <w:t>or otherwise generally</w:t>
      </w:r>
      <w:r w:rsidR="0052096A" w:rsidRPr="005F01BC">
        <w:rPr>
          <w:rFonts w:asciiTheme="minorHAnsi" w:hAnsiTheme="minorHAnsi"/>
          <w:lang w:eastAsia="en-AU"/>
        </w:rPr>
        <w:t xml:space="preserve"> between 2 – 5 weeks from the date of filing</w:t>
      </w:r>
      <w:r w:rsidRPr="005F01BC">
        <w:rPr>
          <w:rFonts w:asciiTheme="minorHAnsi" w:hAnsiTheme="minorHAnsi"/>
          <w:lang w:eastAsia="en-AU"/>
        </w:rPr>
        <w:t>)</w:t>
      </w:r>
      <w:r w:rsidR="0052096A" w:rsidRPr="005F01BC">
        <w:rPr>
          <w:rFonts w:asciiTheme="minorHAnsi" w:hAnsiTheme="minorHAnsi"/>
          <w:lang w:eastAsia="en-AU"/>
        </w:rPr>
        <w:t xml:space="preserve">, depending on the needs of the parties and the character of the matter, the </w:t>
      </w:r>
      <w:r w:rsidR="00E45CFC">
        <w:rPr>
          <w:rFonts w:asciiTheme="minorHAnsi" w:hAnsiTheme="minorHAnsi"/>
          <w:lang w:eastAsia="en-AU"/>
        </w:rPr>
        <w:t>c</w:t>
      </w:r>
      <w:r w:rsidR="0052096A" w:rsidRPr="005F01BC">
        <w:rPr>
          <w:rFonts w:asciiTheme="minorHAnsi" w:hAnsiTheme="minorHAnsi"/>
          <w:lang w:eastAsia="en-AU"/>
        </w:rPr>
        <w:t xml:space="preserve">orporations </w:t>
      </w:r>
      <w:r w:rsidR="00EA0E3D" w:rsidRPr="005F01BC">
        <w:rPr>
          <w:rFonts w:asciiTheme="minorHAnsi" w:hAnsiTheme="minorHAnsi"/>
          <w:lang w:eastAsia="en-AU"/>
        </w:rPr>
        <w:t>j</w:t>
      </w:r>
      <w:r w:rsidR="0052096A" w:rsidRPr="005F01BC">
        <w:rPr>
          <w:rFonts w:asciiTheme="minorHAnsi" w:hAnsiTheme="minorHAnsi"/>
          <w:lang w:eastAsia="en-AU"/>
        </w:rPr>
        <w:t xml:space="preserve">udge will either substantively determine the matter or deal with any case management, interlocutory or procedural matters that arise and explore the suitability of making a mediation order. </w:t>
      </w:r>
    </w:p>
    <w:p w14:paraId="730BE7AA" w14:textId="7182CBF0" w:rsidR="006D0C30" w:rsidRPr="00455CF8" w:rsidRDefault="006D0C30" w:rsidP="00455CF8">
      <w:pPr>
        <w:pStyle w:val="Style2"/>
        <w:numPr>
          <w:ilvl w:val="0"/>
          <w:numId w:val="7"/>
        </w:numPr>
        <w:spacing w:line="360" w:lineRule="auto"/>
        <w:jc w:val="both"/>
        <w:rPr>
          <w:rFonts w:asciiTheme="minorHAnsi" w:hAnsiTheme="minorHAnsi"/>
          <w:lang w:eastAsia="en-AU"/>
        </w:rPr>
      </w:pPr>
      <w:r w:rsidRPr="005F01BC">
        <w:rPr>
          <w:rFonts w:asciiTheme="minorHAnsi" w:hAnsiTheme="minorHAnsi"/>
          <w:lang w:eastAsia="en-AU"/>
        </w:rPr>
        <w:t xml:space="preserve">Shorter </w:t>
      </w:r>
      <w:r w:rsidR="00615ABB" w:rsidRPr="005F01BC">
        <w:rPr>
          <w:rFonts w:asciiTheme="minorHAnsi" w:hAnsiTheme="minorHAnsi"/>
          <w:lang w:eastAsia="en-AU"/>
        </w:rPr>
        <w:t>c</w:t>
      </w:r>
      <w:r w:rsidRPr="005F01BC">
        <w:rPr>
          <w:rFonts w:asciiTheme="minorHAnsi" w:hAnsiTheme="minorHAnsi"/>
          <w:lang w:eastAsia="en-AU"/>
        </w:rPr>
        <w:t>orporations matters (</w:t>
      </w:r>
      <w:r w:rsidR="0095096E" w:rsidRPr="005F01BC">
        <w:rPr>
          <w:rFonts w:asciiTheme="minorHAnsi" w:hAnsiTheme="minorHAnsi"/>
          <w:lang w:eastAsia="en-AU"/>
        </w:rPr>
        <w:t>e.g.</w:t>
      </w:r>
      <w:r w:rsidRPr="005F01BC">
        <w:rPr>
          <w:rFonts w:asciiTheme="minorHAnsi" w:hAnsiTheme="minorHAnsi"/>
          <w:lang w:eastAsia="en-AU"/>
        </w:rPr>
        <w:t xml:space="preserve"> an application for extension of a convening period for a meeting of a company’s creditors) will likely be dealt with on the return date or soon after.  </w:t>
      </w:r>
      <w:r w:rsidR="00FF37F9">
        <w:rPr>
          <w:rFonts w:asciiTheme="minorHAnsi" w:hAnsiTheme="minorHAnsi"/>
          <w:lang w:eastAsia="en-AU"/>
        </w:rPr>
        <w:t>L</w:t>
      </w:r>
      <w:r w:rsidR="00FF37F9" w:rsidRPr="00590588">
        <w:rPr>
          <w:rFonts w:asciiTheme="minorHAnsi" w:hAnsiTheme="minorHAnsi"/>
          <w:lang w:eastAsia="en-AU"/>
        </w:rPr>
        <w:t>onger matters will be programmed for hearing and allocated to a docket judge for hearing on a date to be fixed by that judge</w:t>
      </w:r>
      <w:r w:rsidR="00FF37F9">
        <w:rPr>
          <w:rFonts w:asciiTheme="minorHAnsi" w:hAnsiTheme="minorHAnsi"/>
          <w:lang w:eastAsia="en-AU"/>
        </w:rPr>
        <w:t xml:space="preserve"> or, in some cases, may be allocated upon filing to a docket judge, for example where </w:t>
      </w:r>
      <w:r w:rsidR="00FF37F9" w:rsidRPr="00591757">
        <w:rPr>
          <w:rFonts w:asciiTheme="minorHAnsi" w:hAnsiTheme="minorHAnsi"/>
          <w:lang w:eastAsia="en-AU"/>
        </w:rPr>
        <w:t xml:space="preserve">an application </w:t>
      </w:r>
      <w:r w:rsidR="00FF37F9">
        <w:rPr>
          <w:rFonts w:asciiTheme="minorHAnsi" w:hAnsiTheme="minorHAnsi"/>
          <w:lang w:eastAsia="en-AU"/>
        </w:rPr>
        <w:t xml:space="preserve">seeks both relief for </w:t>
      </w:r>
      <w:r w:rsidR="00FF37F9" w:rsidRPr="00591757">
        <w:rPr>
          <w:rFonts w:asciiTheme="minorHAnsi" w:hAnsiTheme="minorHAnsi"/>
          <w:lang w:eastAsia="en-AU"/>
        </w:rPr>
        <w:t xml:space="preserve">breach of directors’ duties and </w:t>
      </w:r>
      <w:r w:rsidR="00FF37F9">
        <w:rPr>
          <w:rFonts w:asciiTheme="minorHAnsi" w:hAnsiTheme="minorHAnsi"/>
          <w:lang w:eastAsia="en-AU"/>
        </w:rPr>
        <w:t xml:space="preserve">for </w:t>
      </w:r>
      <w:r w:rsidR="00FF37F9" w:rsidRPr="00591757">
        <w:rPr>
          <w:rFonts w:asciiTheme="minorHAnsi" w:hAnsiTheme="minorHAnsi"/>
          <w:lang w:eastAsia="en-AU"/>
        </w:rPr>
        <w:t>voidable transactions</w:t>
      </w:r>
      <w:r w:rsidR="00FF37F9">
        <w:rPr>
          <w:rFonts w:asciiTheme="minorHAnsi" w:hAnsiTheme="minorHAnsi"/>
          <w:lang w:eastAsia="en-AU"/>
        </w:rPr>
        <w:t>.</w:t>
      </w:r>
      <w:r w:rsidR="00455CF8">
        <w:rPr>
          <w:rFonts w:asciiTheme="minorHAnsi" w:hAnsiTheme="minorHAnsi"/>
          <w:lang w:eastAsia="en-AU"/>
        </w:rPr>
        <w:t xml:space="preserve">  </w:t>
      </w:r>
      <w:r w:rsidRPr="00455CF8">
        <w:rPr>
          <w:rFonts w:asciiTheme="minorHAnsi" w:hAnsiTheme="minorHAnsi"/>
          <w:lang w:eastAsia="en-AU"/>
        </w:rPr>
        <w:t xml:space="preserve">For larger or more complex </w:t>
      </w:r>
      <w:r w:rsidR="00615ABB" w:rsidRPr="00455CF8">
        <w:rPr>
          <w:rFonts w:asciiTheme="minorHAnsi" w:hAnsiTheme="minorHAnsi"/>
          <w:lang w:eastAsia="en-AU"/>
        </w:rPr>
        <w:t>c</w:t>
      </w:r>
      <w:r w:rsidRPr="00455CF8">
        <w:rPr>
          <w:rFonts w:asciiTheme="minorHAnsi" w:hAnsiTheme="minorHAnsi"/>
          <w:lang w:eastAsia="en-AU"/>
        </w:rPr>
        <w:t xml:space="preserve">orporations matters, parties should consider whether the innovative case management procedures set out in the </w:t>
      </w:r>
      <w:r w:rsidR="00F57B9E" w:rsidRPr="00455CF8">
        <w:rPr>
          <w:rFonts w:asciiTheme="minorHAnsi" w:hAnsiTheme="minorHAnsi"/>
          <w:lang w:eastAsia="en-AU"/>
        </w:rPr>
        <w:t>C</w:t>
      </w:r>
      <w:r w:rsidRPr="00455CF8">
        <w:rPr>
          <w:rFonts w:asciiTheme="minorHAnsi" w:hAnsiTheme="minorHAnsi"/>
          <w:lang w:eastAsia="en-AU"/>
        </w:rPr>
        <w:t xml:space="preserve">ommercial and </w:t>
      </w:r>
      <w:r w:rsidR="00F57B9E" w:rsidRPr="00455CF8">
        <w:rPr>
          <w:rFonts w:asciiTheme="minorHAnsi" w:hAnsiTheme="minorHAnsi"/>
          <w:lang w:eastAsia="en-AU"/>
        </w:rPr>
        <w:t>C</w:t>
      </w:r>
      <w:r w:rsidRPr="00455CF8">
        <w:rPr>
          <w:rFonts w:asciiTheme="minorHAnsi" w:hAnsiTheme="minorHAnsi"/>
          <w:lang w:eastAsia="en-AU"/>
        </w:rPr>
        <w:t xml:space="preserve">orporations </w:t>
      </w:r>
      <w:r w:rsidR="00F57B9E" w:rsidRPr="00455CF8">
        <w:rPr>
          <w:rFonts w:asciiTheme="minorHAnsi" w:hAnsiTheme="minorHAnsi"/>
          <w:lang w:eastAsia="en-AU"/>
        </w:rPr>
        <w:t>P</w:t>
      </w:r>
      <w:r w:rsidRPr="00455CF8">
        <w:rPr>
          <w:rFonts w:asciiTheme="minorHAnsi" w:hAnsiTheme="minorHAnsi"/>
          <w:lang w:eastAsia="en-AU"/>
        </w:rPr>
        <w:t xml:space="preserve">ractice </w:t>
      </w:r>
      <w:r w:rsidR="00F57B9E" w:rsidRPr="00455CF8">
        <w:rPr>
          <w:rFonts w:asciiTheme="minorHAnsi" w:hAnsiTheme="minorHAnsi"/>
          <w:lang w:eastAsia="en-AU"/>
        </w:rPr>
        <w:t>N</w:t>
      </w:r>
      <w:r w:rsidRPr="00455CF8">
        <w:rPr>
          <w:rFonts w:asciiTheme="minorHAnsi" w:hAnsiTheme="minorHAnsi"/>
          <w:lang w:eastAsia="en-AU"/>
        </w:rPr>
        <w:t>ote may be applied.</w:t>
      </w:r>
    </w:p>
    <w:p w14:paraId="0F5C8B96" w14:textId="5C8BF646" w:rsidR="00AE79A4" w:rsidRPr="00EB7946" w:rsidRDefault="00AE79A4" w:rsidP="00590588">
      <w:pPr>
        <w:pStyle w:val="Style2"/>
        <w:numPr>
          <w:ilvl w:val="0"/>
          <w:numId w:val="7"/>
        </w:numPr>
        <w:spacing w:line="360" w:lineRule="auto"/>
        <w:jc w:val="both"/>
        <w:rPr>
          <w:rFonts w:asciiTheme="minorHAnsi" w:hAnsiTheme="minorHAnsi"/>
          <w:lang w:eastAsia="en-AU"/>
        </w:rPr>
      </w:pPr>
      <w:r w:rsidRPr="00590588">
        <w:rPr>
          <w:rFonts w:asciiTheme="minorHAnsi" w:hAnsiTheme="minorHAnsi"/>
          <w:lang w:eastAsia="en-AU"/>
        </w:rPr>
        <w:t xml:space="preserve">If the matter is allocated to a docket judge, rather than made returnable in the </w:t>
      </w:r>
      <w:r>
        <w:rPr>
          <w:rFonts w:asciiTheme="minorHAnsi" w:hAnsiTheme="minorHAnsi"/>
          <w:lang w:eastAsia="en-AU"/>
        </w:rPr>
        <w:t xml:space="preserve">weekly </w:t>
      </w:r>
      <w:r w:rsidRPr="00590588">
        <w:rPr>
          <w:rFonts w:asciiTheme="minorHAnsi" w:hAnsiTheme="minorHAnsi"/>
          <w:lang w:eastAsia="en-AU"/>
        </w:rPr>
        <w:t>Corporations List, the parties will be notified of the date for a first case management hearing by the docket judg</w:t>
      </w:r>
      <w:r w:rsidRPr="00EB7946">
        <w:rPr>
          <w:rFonts w:asciiTheme="minorHAnsi" w:hAnsiTheme="minorHAnsi"/>
          <w:lang w:eastAsia="en-AU"/>
        </w:rPr>
        <w:t xml:space="preserve">e.  </w:t>
      </w:r>
      <w:r w:rsidR="00C65827" w:rsidRPr="00EB7946">
        <w:rPr>
          <w:rFonts w:asciiTheme="minorHAnsi" w:hAnsiTheme="minorHAnsi"/>
          <w:lang w:eastAsia="en-AU"/>
        </w:rPr>
        <w:t>In the South Australian registry, in which there is presently no weekly Corporations List, all corporations matters will be allocated to a docket judge</w:t>
      </w:r>
      <w:r w:rsidR="002159EE" w:rsidRPr="00EB7946">
        <w:rPr>
          <w:rFonts w:asciiTheme="minorHAnsi" w:hAnsiTheme="minorHAnsi"/>
          <w:lang w:eastAsia="en-AU"/>
        </w:rPr>
        <w:t xml:space="preserve">. </w:t>
      </w:r>
    </w:p>
    <w:p w14:paraId="3A5EDE2D" w14:textId="50D92BBE" w:rsidR="00590588" w:rsidRDefault="002159EE" w:rsidP="00590588">
      <w:pPr>
        <w:pStyle w:val="Style2"/>
        <w:numPr>
          <w:ilvl w:val="0"/>
          <w:numId w:val="7"/>
        </w:numPr>
        <w:spacing w:line="360" w:lineRule="auto"/>
        <w:jc w:val="both"/>
        <w:rPr>
          <w:rFonts w:asciiTheme="minorHAnsi" w:hAnsiTheme="minorHAnsi"/>
          <w:lang w:eastAsia="en-AU"/>
        </w:rPr>
      </w:pPr>
      <w:r w:rsidRPr="00EB7946">
        <w:rPr>
          <w:rFonts w:asciiTheme="minorHAnsi" w:hAnsiTheme="minorHAnsi"/>
          <w:lang w:eastAsia="en-AU"/>
        </w:rPr>
        <w:t>In all registries</w:t>
      </w:r>
      <w:r w:rsidR="00AD7EE4" w:rsidRPr="00EB7946">
        <w:rPr>
          <w:rFonts w:asciiTheme="minorHAnsi" w:hAnsiTheme="minorHAnsi"/>
          <w:lang w:eastAsia="en-AU"/>
        </w:rPr>
        <w:t>,</w:t>
      </w:r>
      <w:r w:rsidR="00AA16E5" w:rsidRPr="00EB7946">
        <w:rPr>
          <w:rFonts w:asciiTheme="minorHAnsi" w:hAnsiTheme="minorHAnsi"/>
          <w:lang w:eastAsia="en-AU"/>
        </w:rPr>
        <w:t xml:space="preserve"> m</w:t>
      </w:r>
      <w:r w:rsidR="00590588" w:rsidRPr="00EB7946">
        <w:rPr>
          <w:rFonts w:asciiTheme="minorHAnsi" w:hAnsiTheme="minorHAnsi"/>
          <w:lang w:eastAsia="en-AU"/>
        </w:rPr>
        <w:t>o</w:t>
      </w:r>
      <w:r w:rsidR="00590588" w:rsidRPr="00590588">
        <w:rPr>
          <w:rFonts w:asciiTheme="minorHAnsi" w:hAnsiTheme="minorHAnsi"/>
          <w:lang w:eastAsia="en-AU"/>
        </w:rPr>
        <w:t>re urgent matters may be referred to the Commercial and Corporations Duty Judge.</w:t>
      </w:r>
    </w:p>
    <w:p w14:paraId="647E4441" w14:textId="77777777" w:rsidR="00590588" w:rsidRPr="003E300E" w:rsidRDefault="00590588" w:rsidP="00150B52">
      <w:pPr>
        <w:pStyle w:val="Heading9"/>
      </w:pPr>
      <w:r w:rsidRPr="003E300E">
        <w:t>New South Wales and Western Australia</w:t>
      </w:r>
    </w:p>
    <w:p w14:paraId="5B0D5EA2" w14:textId="0213BB2A" w:rsidR="00590588" w:rsidRPr="00DA2389" w:rsidRDefault="00590588" w:rsidP="00590588">
      <w:pPr>
        <w:pStyle w:val="Style2"/>
        <w:numPr>
          <w:ilvl w:val="0"/>
          <w:numId w:val="7"/>
        </w:numPr>
        <w:spacing w:line="360" w:lineRule="auto"/>
        <w:jc w:val="both"/>
        <w:rPr>
          <w:rFonts w:asciiTheme="minorHAnsi" w:hAnsiTheme="minorHAnsi"/>
          <w:lang w:eastAsia="en-AU"/>
        </w:rPr>
      </w:pPr>
      <w:r w:rsidRPr="00DA2389">
        <w:rPr>
          <w:rFonts w:asciiTheme="minorHAnsi" w:hAnsiTheme="minorHAnsi"/>
          <w:lang w:eastAsia="en-AU"/>
        </w:rPr>
        <w:t>The Corporations List in New South Wales and Western Australia is conducted at 9.30</w:t>
      </w:r>
      <w:r w:rsidR="00AE79A4">
        <w:rPr>
          <w:rFonts w:asciiTheme="minorHAnsi" w:hAnsiTheme="minorHAnsi"/>
          <w:lang w:eastAsia="en-AU"/>
        </w:rPr>
        <w:t> </w:t>
      </w:r>
      <w:r w:rsidRPr="00DA2389">
        <w:rPr>
          <w:rFonts w:asciiTheme="minorHAnsi" w:hAnsiTheme="minorHAnsi"/>
          <w:lang w:eastAsia="en-AU"/>
        </w:rPr>
        <w:t>am (local time) on Thursday of each week. Corporations matters filed in the New South Wales and Western Australian registries will be returned in the weekly Corporations List as follows:</w:t>
      </w:r>
    </w:p>
    <w:p w14:paraId="2AF451B5" w14:textId="1AD22DE9" w:rsidR="00590588" w:rsidRDefault="00AE79A4" w:rsidP="00590588">
      <w:pPr>
        <w:pStyle w:val="Style2"/>
        <w:numPr>
          <w:ilvl w:val="1"/>
          <w:numId w:val="7"/>
        </w:numPr>
        <w:spacing w:line="360" w:lineRule="auto"/>
        <w:jc w:val="both"/>
        <w:rPr>
          <w:rFonts w:asciiTheme="minorHAnsi" w:hAnsiTheme="minorHAnsi"/>
          <w:lang w:eastAsia="en-AU"/>
        </w:rPr>
      </w:pPr>
      <w:r>
        <w:rPr>
          <w:rFonts w:asciiTheme="minorHAnsi" w:hAnsiTheme="minorHAnsi"/>
          <w:lang w:eastAsia="en-AU"/>
        </w:rPr>
        <w:t>a</w:t>
      </w:r>
      <w:r w:rsidR="00590588">
        <w:rPr>
          <w:rFonts w:asciiTheme="minorHAnsi" w:hAnsiTheme="minorHAnsi"/>
          <w:lang w:eastAsia="en-AU"/>
        </w:rPr>
        <w:t>pplications filed on or before 12 noon on a Wednesday in any week will be returned in the Corporations List for the Thursday of the next week; and</w:t>
      </w:r>
    </w:p>
    <w:p w14:paraId="79EF52F5" w14:textId="0C381326" w:rsidR="00590588" w:rsidRDefault="00AE79A4" w:rsidP="00590588">
      <w:pPr>
        <w:pStyle w:val="Style2"/>
        <w:numPr>
          <w:ilvl w:val="1"/>
          <w:numId w:val="7"/>
        </w:numPr>
        <w:spacing w:line="360" w:lineRule="auto"/>
        <w:jc w:val="both"/>
        <w:rPr>
          <w:rFonts w:asciiTheme="minorHAnsi" w:hAnsiTheme="minorHAnsi"/>
          <w:lang w:eastAsia="en-AU"/>
        </w:rPr>
      </w:pPr>
      <w:r>
        <w:rPr>
          <w:rFonts w:asciiTheme="minorHAnsi" w:hAnsiTheme="minorHAnsi"/>
          <w:lang w:eastAsia="en-AU"/>
        </w:rPr>
        <w:t>a</w:t>
      </w:r>
      <w:r w:rsidR="00590588">
        <w:rPr>
          <w:rFonts w:asciiTheme="minorHAnsi" w:hAnsiTheme="minorHAnsi"/>
          <w:lang w:eastAsia="en-AU"/>
        </w:rPr>
        <w:t>pplications filed after 12 noon on a Wednesday in any week will be returned in the Corporations List for the Thursday of the week after the next week.</w:t>
      </w:r>
      <w:r w:rsidR="00590588" w:rsidRPr="005F01BC">
        <w:rPr>
          <w:rFonts w:asciiTheme="minorHAnsi" w:hAnsiTheme="minorHAnsi"/>
          <w:lang w:eastAsia="en-AU"/>
        </w:rPr>
        <w:t xml:space="preserve"> </w:t>
      </w:r>
    </w:p>
    <w:p w14:paraId="6D4E88C6" w14:textId="4DD2DF99" w:rsidR="00590588" w:rsidRPr="003E300E" w:rsidRDefault="00590588" w:rsidP="00150B52">
      <w:pPr>
        <w:pStyle w:val="Heading9"/>
      </w:pPr>
      <w:r w:rsidRPr="003E300E">
        <w:t>Queensland and Victoria</w:t>
      </w:r>
    </w:p>
    <w:p w14:paraId="78E1F2DC" w14:textId="4F3EEF5E" w:rsidR="00590588" w:rsidRDefault="00590588" w:rsidP="00AE79A4">
      <w:pPr>
        <w:pStyle w:val="Style2"/>
        <w:keepNext/>
        <w:keepLines/>
        <w:numPr>
          <w:ilvl w:val="0"/>
          <w:numId w:val="7"/>
        </w:numPr>
        <w:spacing w:line="360" w:lineRule="auto"/>
        <w:jc w:val="both"/>
        <w:rPr>
          <w:rFonts w:asciiTheme="minorHAnsi" w:hAnsiTheme="minorHAnsi"/>
          <w:lang w:eastAsia="en-AU"/>
        </w:rPr>
      </w:pPr>
      <w:r>
        <w:rPr>
          <w:rFonts w:asciiTheme="minorHAnsi" w:hAnsiTheme="minorHAnsi"/>
          <w:lang w:eastAsia="en-AU"/>
        </w:rPr>
        <w:t>The Corporations List in Queensland and Victoria is conducted at 9.30</w:t>
      </w:r>
      <w:r w:rsidR="00ED59D7">
        <w:rPr>
          <w:rFonts w:asciiTheme="minorHAnsi" w:hAnsiTheme="minorHAnsi"/>
          <w:lang w:eastAsia="en-AU"/>
        </w:rPr>
        <w:t> </w:t>
      </w:r>
      <w:r>
        <w:rPr>
          <w:rFonts w:asciiTheme="minorHAnsi" w:hAnsiTheme="minorHAnsi"/>
          <w:lang w:eastAsia="en-AU"/>
        </w:rPr>
        <w:t>am (local time) on Friday of each week. Corporations matters filed in the Queensland and Victorian registries will be returned in the weekly Corporations List as follows:</w:t>
      </w:r>
    </w:p>
    <w:p w14:paraId="0F2EE786" w14:textId="77777777" w:rsidR="00590588" w:rsidRDefault="00590588" w:rsidP="00590588">
      <w:pPr>
        <w:pStyle w:val="Style2"/>
        <w:numPr>
          <w:ilvl w:val="1"/>
          <w:numId w:val="7"/>
        </w:numPr>
        <w:spacing w:line="360" w:lineRule="auto"/>
        <w:jc w:val="both"/>
        <w:rPr>
          <w:rFonts w:asciiTheme="minorHAnsi" w:hAnsiTheme="minorHAnsi"/>
          <w:lang w:eastAsia="en-AU"/>
        </w:rPr>
      </w:pPr>
      <w:r>
        <w:rPr>
          <w:rFonts w:asciiTheme="minorHAnsi" w:hAnsiTheme="minorHAnsi"/>
          <w:lang w:eastAsia="en-AU"/>
        </w:rPr>
        <w:t>Applications filed on or before 12 noon on a Thursday in any week will be returned in the Corporations List for the Friday of the next week; and</w:t>
      </w:r>
    </w:p>
    <w:p w14:paraId="1574AE10" w14:textId="77777777" w:rsidR="00590588" w:rsidRDefault="00590588" w:rsidP="00590588">
      <w:pPr>
        <w:pStyle w:val="Style2"/>
        <w:numPr>
          <w:ilvl w:val="1"/>
          <w:numId w:val="7"/>
        </w:numPr>
        <w:spacing w:line="360" w:lineRule="auto"/>
        <w:jc w:val="both"/>
        <w:rPr>
          <w:rFonts w:asciiTheme="minorHAnsi" w:hAnsiTheme="minorHAnsi"/>
          <w:lang w:eastAsia="en-AU"/>
        </w:rPr>
      </w:pPr>
      <w:r w:rsidRPr="003C090F">
        <w:rPr>
          <w:rFonts w:asciiTheme="minorHAnsi" w:hAnsiTheme="minorHAnsi"/>
          <w:lang w:eastAsia="en-AU"/>
        </w:rPr>
        <w:t xml:space="preserve">Applications filed after 12 noon on </w:t>
      </w:r>
      <w:r w:rsidRPr="00315801">
        <w:rPr>
          <w:rFonts w:asciiTheme="minorHAnsi" w:hAnsiTheme="minorHAnsi"/>
          <w:lang w:eastAsia="en-AU"/>
        </w:rPr>
        <w:t xml:space="preserve">a </w:t>
      </w:r>
      <w:r>
        <w:rPr>
          <w:rFonts w:asciiTheme="minorHAnsi" w:hAnsiTheme="minorHAnsi"/>
          <w:lang w:eastAsia="en-AU"/>
        </w:rPr>
        <w:t xml:space="preserve">Thursday </w:t>
      </w:r>
      <w:r w:rsidRPr="003C090F">
        <w:rPr>
          <w:rFonts w:asciiTheme="minorHAnsi" w:hAnsiTheme="minorHAnsi"/>
          <w:lang w:eastAsia="en-AU"/>
        </w:rPr>
        <w:t>in any week will be returned in the Corporation</w:t>
      </w:r>
      <w:r w:rsidRPr="00315801">
        <w:rPr>
          <w:rFonts w:asciiTheme="minorHAnsi" w:hAnsiTheme="minorHAnsi"/>
          <w:lang w:eastAsia="en-AU"/>
        </w:rPr>
        <w:t>s List for t</w:t>
      </w:r>
      <w:r w:rsidRPr="001639F7">
        <w:rPr>
          <w:rFonts w:asciiTheme="minorHAnsi" w:hAnsiTheme="minorHAnsi"/>
          <w:lang w:eastAsia="en-AU"/>
        </w:rPr>
        <w:t xml:space="preserve">he </w:t>
      </w:r>
      <w:r>
        <w:rPr>
          <w:rFonts w:asciiTheme="minorHAnsi" w:hAnsiTheme="minorHAnsi"/>
          <w:lang w:eastAsia="en-AU"/>
        </w:rPr>
        <w:t xml:space="preserve">Friday </w:t>
      </w:r>
      <w:r w:rsidRPr="003C090F">
        <w:rPr>
          <w:rFonts w:asciiTheme="minorHAnsi" w:hAnsiTheme="minorHAnsi"/>
          <w:lang w:eastAsia="en-AU"/>
        </w:rPr>
        <w:t>of the week after the next week.</w:t>
      </w:r>
    </w:p>
    <w:p w14:paraId="1FFD6B66" w14:textId="21DC46C5" w:rsidR="0052096A" w:rsidRPr="005F01BC" w:rsidRDefault="002F7DAF" w:rsidP="00150B52">
      <w:pPr>
        <w:pStyle w:val="Heading8"/>
      </w:pPr>
      <w:r>
        <w:t>Urgent applications – Commercial and Corporations Duty Judges</w:t>
      </w:r>
    </w:p>
    <w:p w14:paraId="580DFCA6" w14:textId="77777777" w:rsidR="0052096A" w:rsidRPr="005F01BC" w:rsidRDefault="0052096A" w:rsidP="00A66703">
      <w:pPr>
        <w:pStyle w:val="Style2"/>
        <w:keepNext/>
        <w:keepLines/>
        <w:numPr>
          <w:ilvl w:val="0"/>
          <w:numId w:val="7"/>
        </w:numPr>
        <w:spacing w:line="360" w:lineRule="auto"/>
        <w:jc w:val="both"/>
        <w:rPr>
          <w:rFonts w:asciiTheme="minorHAnsi" w:hAnsiTheme="minorHAnsi"/>
          <w:lang w:eastAsia="en-AU"/>
        </w:rPr>
      </w:pPr>
      <w:r w:rsidRPr="005F01BC">
        <w:rPr>
          <w:rFonts w:asciiTheme="minorHAnsi" w:hAnsiTheme="minorHAnsi"/>
          <w:lang w:eastAsia="en-AU"/>
        </w:rPr>
        <w:t xml:space="preserve">The following </w:t>
      </w:r>
      <w:r w:rsidR="00A46D22" w:rsidRPr="005F01BC">
        <w:rPr>
          <w:rFonts w:asciiTheme="minorHAnsi" w:hAnsiTheme="minorHAnsi"/>
          <w:lang w:eastAsia="en-AU"/>
        </w:rPr>
        <w:t xml:space="preserve">originating </w:t>
      </w:r>
      <w:r w:rsidR="00615ABB" w:rsidRPr="005F01BC">
        <w:rPr>
          <w:rFonts w:asciiTheme="minorHAnsi" w:hAnsiTheme="minorHAnsi"/>
          <w:lang w:eastAsia="en-AU"/>
        </w:rPr>
        <w:t>c</w:t>
      </w:r>
      <w:r w:rsidRPr="005F01BC">
        <w:rPr>
          <w:rFonts w:asciiTheme="minorHAnsi" w:hAnsiTheme="minorHAnsi"/>
          <w:lang w:eastAsia="en-AU"/>
        </w:rPr>
        <w:t xml:space="preserve">orporations </w:t>
      </w:r>
      <w:r w:rsidR="00A46D22" w:rsidRPr="005F01BC">
        <w:rPr>
          <w:rFonts w:asciiTheme="minorHAnsi" w:hAnsiTheme="minorHAnsi"/>
          <w:lang w:eastAsia="en-AU"/>
        </w:rPr>
        <w:t xml:space="preserve">applications </w:t>
      </w:r>
      <w:r w:rsidRPr="005F01BC">
        <w:rPr>
          <w:rFonts w:asciiTheme="minorHAnsi" w:hAnsiTheme="minorHAnsi"/>
          <w:lang w:eastAsia="en-AU"/>
        </w:rPr>
        <w:t xml:space="preserve">may be dealt with by the </w:t>
      </w:r>
      <w:r w:rsidR="00763DCB" w:rsidRPr="005F01BC">
        <w:rPr>
          <w:rFonts w:asciiTheme="minorHAnsi" w:hAnsiTheme="minorHAnsi"/>
          <w:lang w:eastAsia="en-AU"/>
        </w:rPr>
        <w:t>C</w:t>
      </w:r>
      <w:r w:rsidRPr="005F01BC">
        <w:rPr>
          <w:rFonts w:asciiTheme="minorHAnsi" w:hAnsiTheme="minorHAnsi"/>
          <w:lang w:eastAsia="en-AU"/>
        </w:rPr>
        <w:t xml:space="preserve">ommercial and </w:t>
      </w:r>
      <w:r w:rsidR="00763DCB" w:rsidRPr="005F01BC">
        <w:rPr>
          <w:rFonts w:asciiTheme="minorHAnsi" w:hAnsiTheme="minorHAnsi"/>
          <w:lang w:eastAsia="en-AU"/>
        </w:rPr>
        <w:t>C</w:t>
      </w:r>
      <w:r w:rsidRPr="005F01BC">
        <w:rPr>
          <w:rFonts w:asciiTheme="minorHAnsi" w:hAnsiTheme="minorHAnsi"/>
          <w:lang w:eastAsia="en-AU"/>
        </w:rPr>
        <w:t xml:space="preserve">orporations </w:t>
      </w:r>
      <w:r w:rsidR="00763DCB" w:rsidRPr="005F01BC">
        <w:rPr>
          <w:rFonts w:asciiTheme="minorHAnsi" w:hAnsiTheme="minorHAnsi"/>
          <w:lang w:eastAsia="en-AU"/>
        </w:rPr>
        <w:t>D</w:t>
      </w:r>
      <w:r w:rsidRPr="005F01BC">
        <w:rPr>
          <w:rFonts w:asciiTheme="minorHAnsi" w:hAnsiTheme="minorHAnsi"/>
          <w:lang w:eastAsia="en-AU"/>
        </w:rPr>
        <w:t xml:space="preserve">uty </w:t>
      </w:r>
      <w:r w:rsidR="00763DCB" w:rsidRPr="005F01BC">
        <w:rPr>
          <w:rFonts w:asciiTheme="minorHAnsi" w:hAnsiTheme="minorHAnsi"/>
          <w:lang w:eastAsia="en-AU"/>
        </w:rPr>
        <w:t>J</w:t>
      </w:r>
      <w:r w:rsidRPr="005F01BC">
        <w:rPr>
          <w:rFonts w:asciiTheme="minorHAnsi" w:hAnsiTheme="minorHAnsi"/>
          <w:lang w:eastAsia="en-AU"/>
        </w:rPr>
        <w:t xml:space="preserve">udge:  </w:t>
      </w:r>
    </w:p>
    <w:p w14:paraId="2BA248EB" w14:textId="0AAEC404" w:rsidR="0052096A" w:rsidRPr="005F01BC" w:rsidRDefault="0052096A" w:rsidP="00A66703">
      <w:pPr>
        <w:pStyle w:val="NormalWeb"/>
        <w:numPr>
          <w:ilvl w:val="0"/>
          <w:numId w:val="2"/>
        </w:numPr>
        <w:spacing w:before="120" w:beforeAutospacing="0" w:after="0" w:afterAutospacing="0" w:line="360" w:lineRule="auto"/>
        <w:jc w:val="both"/>
        <w:rPr>
          <w:rFonts w:asciiTheme="minorHAnsi" w:hAnsiTheme="minorHAnsi"/>
        </w:rPr>
      </w:pPr>
      <w:r w:rsidRPr="005F01BC">
        <w:rPr>
          <w:rFonts w:asciiTheme="minorHAnsi" w:hAnsiTheme="minorHAnsi"/>
        </w:rPr>
        <w:t xml:space="preserve">any urgent </w:t>
      </w:r>
      <w:r w:rsidR="00483A3C" w:rsidRPr="005F01BC">
        <w:rPr>
          <w:rFonts w:asciiTheme="minorHAnsi" w:hAnsiTheme="minorHAnsi"/>
        </w:rPr>
        <w:t xml:space="preserve">Commercial </w:t>
      </w:r>
      <w:r w:rsidRPr="005F01BC">
        <w:rPr>
          <w:rFonts w:asciiTheme="minorHAnsi" w:hAnsiTheme="minorHAnsi"/>
        </w:rPr>
        <w:t xml:space="preserve">and </w:t>
      </w:r>
      <w:r w:rsidR="00483A3C" w:rsidRPr="005F01BC">
        <w:rPr>
          <w:rFonts w:asciiTheme="minorHAnsi" w:hAnsiTheme="minorHAnsi"/>
        </w:rPr>
        <w:t xml:space="preserve">Corporations </w:t>
      </w:r>
      <w:r w:rsidRPr="005F01BC">
        <w:rPr>
          <w:rFonts w:asciiTheme="minorHAnsi" w:hAnsiTheme="minorHAnsi"/>
        </w:rPr>
        <w:t>NPA matters</w:t>
      </w:r>
      <w:r w:rsidR="00090805">
        <w:rPr>
          <w:rFonts w:asciiTheme="minorHAnsi" w:hAnsiTheme="minorHAnsi"/>
        </w:rPr>
        <w:t xml:space="preserve"> (other than matters under the </w:t>
      </w:r>
      <w:r w:rsidR="00090805" w:rsidRPr="00470A73">
        <w:rPr>
          <w:rFonts w:asciiTheme="minorHAnsi" w:hAnsiTheme="minorHAnsi"/>
          <w:i/>
          <w:iCs/>
        </w:rPr>
        <w:t>Bankruptcy Act 1966</w:t>
      </w:r>
      <w:r w:rsidR="00090805">
        <w:rPr>
          <w:rFonts w:asciiTheme="minorHAnsi" w:hAnsiTheme="minorHAnsi"/>
        </w:rPr>
        <w:t xml:space="preserve"> (Cth) in relation to which see the General and Personal Insolvency Practice Notice (GPI-1))</w:t>
      </w:r>
      <w:r w:rsidRPr="005F01BC">
        <w:rPr>
          <w:rFonts w:asciiTheme="minorHAnsi" w:hAnsiTheme="minorHAnsi"/>
        </w:rPr>
        <w:t>;</w:t>
      </w:r>
    </w:p>
    <w:p w14:paraId="0BD42655" w14:textId="77777777" w:rsidR="0052096A" w:rsidRPr="005F01BC" w:rsidRDefault="0052096A" w:rsidP="00A66703">
      <w:pPr>
        <w:pStyle w:val="NormalWeb"/>
        <w:numPr>
          <w:ilvl w:val="0"/>
          <w:numId w:val="2"/>
        </w:numPr>
        <w:spacing w:before="120" w:beforeAutospacing="0" w:after="0" w:afterAutospacing="0" w:line="360" w:lineRule="auto"/>
        <w:jc w:val="both"/>
        <w:rPr>
          <w:rFonts w:asciiTheme="minorHAnsi" w:hAnsiTheme="minorHAnsi"/>
        </w:rPr>
      </w:pPr>
      <w:r w:rsidRPr="005F01BC">
        <w:rPr>
          <w:rFonts w:asciiTheme="minorHAnsi" w:hAnsiTheme="minorHAnsi"/>
          <w:i/>
        </w:rPr>
        <w:t xml:space="preserve">ex </w:t>
      </w:r>
      <w:proofErr w:type="spellStart"/>
      <w:r w:rsidRPr="005F01BC">
        <w:rPr>
          <w:rFonts w:asciiTheme="minorHAnsi" w:hAnsiTheme="minorHAnsi"/>
          <w:i/>
        </w:rPr>
        <w:t>parte</w:t>
      </w:r>
      <w:proofErr w:type="spellEnd"/>
      <w:r w:rsidRPr="005F01BC">
        <w:rPr>
          <w:rFonts w:asciiTheme="minorHAnsi" w:hAnsiTheme="minorHAnsi"/>
        </w:rPr>
        <w:t xml:space="preserve"> applications in respect of </w:t>
      </w:r>
      <w:r w:rsidR="00615ABB" w:rsidRPr="005F01BC">
        <w:rPr>
          <w:rFonts w:asciiTheme="minorHAnsi" w:hAnsiTheme="minorHAnsi"/>
        </w:rPr>
        <w:t>c</w:t>
      </w:r>
      <w:r w:rsidRPr="005F01BC">
        <w:rPr>
          <w:rFonts w:asciiTheme="minorHAnsi" w:hAnsiTheme="minorHAnsi"/>
        </w:rPr>
        <w:t xml:space="preserve">orporations matters, such as abridgement of time for service, interlocutory injunctions, </w:t>
      </w:r>
      <w:r w:rsidR="00873AE8" w:rsidRPr="005F01BC">
        <w:rPr>
          <w:rFonts w:asciiTheme="minorHAnsi" w:hAnsiTheme="minorHAnsi"/>
        </w:rPr>
        <w:t xml:space="preserve">search and </w:t>
      </w:r>
      <w:r w:rsidRPr="005F01BC">
        <w:rPr>
          <w:rFonts w:asciiTheme="minorHAnsi" w:hAnsiTheme="minorHAnsi"/>
        </w:rPr>
        <w:t>freezing orders;</w:t>
      </w:r>
    </w:p>
    <w:p w14:paraId="64CF3EE1" w14:textId="7BEF4DFE" w:rsidR="0052096A" w:rsidRPr="005F01BC" w:rsidRDefault="0052096A" w:rsidP="00A66703">
      <w:pPr>
        <w:pStyle w:val="NormalWeb"/>
        <w:numPr>
          <w:ilvl w:val="0"/>
          <w:numId w:val="2"/>
        </w:numPr>
        <w:spacing w:before="120" w:beforeAutospacing="0" w:after="0" w:afterAutospacing="0" w:line="360" w:lineRule="auto"/>
        <w:jc w:val="both"/>
        <w:rPr>
          <w:rFonts w:asciiTheme="minorHAnsi" w:hAnsiTheme="minorHAnsi"/>
        </w:rPr>
      </w:pPr>
      <w:r w:rsidRPr="005F01BC">
        <w:rPr>
          <w:rFonts w:asciiTheme="minorHAnsi" w:hAnsiTheme="minorHAnsi"/>
        </w:rPr>
        <w:t xml:space="preserve">any other application that may arise in respect of a </w:t>
      </w:r>
      <w:r w:rsidR="00615ABB" w:rsidRPr="005F01BC">
        <w:rPr>
          <w:rFonts w:asciiTheme="minorHAnsi" w:hAnsiTheme="minorHAnsi"/>
        </w:rPr>
        <w:t>c</w:t>
      </w:r>
      <w:r w:rsidRPr="005F01BC">
        <w:rPr>
          <w:rFonts w:asciiTheme="minorHAnsi" w:hAnsiTheme="minorHAnsi"/>
        </w:rPr>
        <w:t xml:space="preserve">orporations matter that is not conveniently accommodated by filing a </w:t>
      </w:r>
      <w:r w:rsidR="00615ABB" w:rsidRPr="005F01BC">
        <w:rPr>
          <w:rFonts w:asciiTheme="minorHAnsi" w:hAnsiTheme="minorHAnsi"/>
        </w:rPr>
        <w:t>c</w:t>
      </w:r>
      <w:r w:rsidRPr="005F01BC">
        <w:rPr>
          <w:rFonts w:asciiTheme="minorHAnsi" w:hAnsiTheme="minorHAnsi"/>
        </w:rPr>
        <w:t>orporations matter in the usual way; and</w:t>
      </w:r>
    </w:p>
    <w:p w14:paraId="4E67968F" w14:textId="7D441ABB" w:rsidR="005B4ED7" w:rsidRPr="005F01BC" w:rsidRDefault="0052096A" w:rsidP="0034030E">
      <w:pPr>
        <w:pStyle w:val="NormalWeb"/>
        <w:numPr>
          <w:ilvl w:val="0"/>
          <w:numId w:val="2"/>
        </w:numPr>
        <w:spacing w:before="120" w:beforeAutospacing="0" w:after="0" w:afterAutospacing="0" w:line="360" w:lineRule="auto"/>
        <w:jc w:val="both"/>
      </w:pPr>
      <w:r w:rsidRPr="005F01BC">
        <w:rPr>
          <w:rFonts w:asciiTheme="minorHAnsi" w:hAnsiTheme="minorHAnsi"/>
        </w:rPr>
        <w:t xml:space="preserve">so far as is practicable, a referral from a </w:t>
      </w:r>
      <w:r w:rsidR="00EA0E3D" w:rsidRPr="005F01BC">
        <w:rPr>
          <w:rFonts w:asciiTheme="minorHAnsi" w:hAnsiTheme="minorHAnsi"/>
        </w:rPr>
        <w:t>r</w:t>
      </w:r>
      <w:r w:rsidRPr="005F01BC">
        <w:rPr>
          <w:rFonts w:asciiTheme="minorHAnsi" w:hAnsiTheme="minorHAnsi"/>
        </w:rPr>
        <w:t xml:space="preserve">egistrar’s </w:t>
      </w:r>
      <w:r w:rsidR="004B4952" w:rsidRPr="005F01BC">
        <w:rPr>
          <w:rFonts w:asciiTheme="minorHAnsi" w:hAnsiTheme="minorHAnsi"/>
        </w:rPr>
        <w:t>c</w:t>
      </w:r>
      <w:r w:rsidRPr="005F01BC">
        <w:rPr>
          <w:rFonts w:asciiTheme="minorHAnsi" w:hAnsiTheme="minorHAnsi"/>
        </w:rPr>
        <w:t xml:space="preserve">orporations </w:t>
      </w:r>
      <w:r w:rsidR="004B4952" w:rsidRPr="005F01BC">
        <w:rPr>
          <w:rFonts w:asciiTheme="minorHAnsi" w:hAnsiTheme="minorHAnsi"/>
        </w:rPr>
        <w:t>l</w:t>
      </w:r>
      <w:r w:rsidRPr="005F01BC">
        <w:rPr>
          <w:rFonts w:asciiTheme="minorHAnsi" w:hAnsiTheme="minorHAnsi"/>
        </w:rPr>
        <w:t xml:space="preserve">ist on the same day the application is listed for hearing before a </w:t>
      </w:r>
      <w:r w:rsidR="00EA0E3D" w:rsidRPr="005F01BC">
        <w:rPr>
          <w:rFonts w:asciiTheme="minorHAnsi" w:hAnsiTheme="minorHAnsi"/>
        </w:rPr>
        <w:t>r</w:t>
      </w:r>
      <w:r w:rsidRPr="005F01BC">
        <w:rPr>
          <w:rFonts w:asciiTheme="minorHAnsi" w:hAnsiTheme="minorHAnsi"/>
        </w:rPr>
        <w:t xml:space="preserve">egistrar.  </w:t>
      </w:r>
    </w:p>
    <w:p w14:paraId="7707BCCB" w14:textId="1EAFFCBE" w:rsidR="0052096A" w:rsidRPr="005C7538" w:rsidRDefault="00513314" w:rsidP="00B6102C">
      <w:pPr>
        <w:pStyle w:val="ListParagraph"/>
        <w:numPr>
          <w:ilvl w:val="0"/>
          <w:numId w:val="7"/>
        </w:numPr>
        <w:spacing w:line="360" w:lineRule="auto"/>
        <w:rPr>
          <w:lang w:eastAsia="en-AU"/>
        </w:rPr>
      </w:pPr>
      <w:r w:rsidRPr="0034030E">
        <w:rPr>
          <w:szCs w:val="24"/>
          <w:lang w:eastAsia="en-AU"/>
        </w:rPr>
        <w:t>Originating</w:t>
      </w:r>
      <w:r w:rsidR="00A46D22" w:rsidRPr="0034030E">
        <w:rPr>
          <w:szCs w:val="24"/>
          <w:lang w:eastAsia="en-AU"/>
        </w:rPr>
        <w:t xml:space="preserve"> c</w:t>
      </w:r>
      <w:r w:rsidR="0052096A" w:rsidRPr="0034030E">
        <w:rPr>
          <w:szCs w:val="24"/>
          <w:lang w:eastAsia="en-AU"/>
        </w:rPr>
        <w:t xml:space="preserve">ommercial and </w:t>
      </w:r>
      <w:r w:rsidR="00EA0E3D" w:rsidRPr="0034030E">
        <w:rPr>
          <w:szCs w:val="24"/>
          <w:lang w:eastAsia="en-AU"/>
        </w:rPr>
        <w:t>c</w:t>
      </w:r>
      <w:r w:rsidR="0052096A" w:rsidRPr="0034030E">
        <w:rPr>
          <w:szCs w:val="24"/>
          <w:lang w:eastAsia="en-AU"/>
        </w:rPr>
        <w:t xml:space="preserve">orporations </w:t>
      </w:r>
      <w:r w:rsidR="00EA0E3D" w:rsidRPr="0034030E">
        <w:rPr>
          <w:szCs w:val="24"/>
          <w:lang w:eastAsia="en-AU"/>
        </w:rPr>
        <w:t>d</w:t>
      </w:r>
      <w:r w:rsidR="0052096A" w:rsidRPr="0034030E">
        <w:rPr>
          <w:szCs w:val="24"/>
          <w:lang w:eastAsia="en-AU"/>
        </w:rPr>
        <w:t xml:space="preserve">uty matters will be heard by dedicated </w:t>
      </w:r>
      <w:r w:rsidR="00EA0E3D" w:rsidRPr="0034030E">
        <w:rPr>
          <w:szCs w:val="24"/>
          <w:lang w:eastAsia="en-AU"/>
        </w:rPr>
        <w:t>c</w:t>
      </w:r>
      <w:r w:rsidR="0052096A" w:rsidRPr="0034030E">
        <w:rPr>
          <w:szCs w:val="24"/>
          <w:lang w:eastAsia="en-AU"/>
        </w:rPr>
        <w:t xml:space="preserve">ommercial and </w:t>
      </w:r>
      <w:r w:rsidR="00EA0E3D" w:rsidRPr="0034030E">
        <w:rPr>
          <w:szCs w:val="24"/>
          <w:lang w:eastAsia="en-AU"/>
        </w:rPr>
        <w:t>c</w:t>
      </w:r>
      <w:r w:rsidR="0052096A" w:rsidRPr="0034030E">
        <w:rPr>
          <w:szCs w:val="24"/>
          <w:lang w:eastAsia="en-AU"/>
        </w:rPr>
        <w:t xml:space="preserve">orporations </w:t>
      </w:r>
      <w:r w:rsidR="00EA0E3D" w:rsidRPr="0034030E">
        <w:rPr>
          <w:szCs w:val="24"/>
          <w:lang w:eastAsia="en-AU"/>
        </w:rPr>
        <w:t>j</w:t>
      </w:r>
      <w:r w:rsidR="0052096A" w:rsidRPr="0034030E">
        <w:rPr>
          <w:szCs w:val="24"/>
          <w:lang w:eastAsia="en-AU"/>
        </w:rPr>
        <w:t>udges</w:t>
      </w:r>
      <w:r w:rsidR="005B4ED7" w:rsidRPr="0034030E">
        <w:rPr>
          <w:szCs w:val="24"/>
          <w:lang w:eastAsia="en-AU"/>
        </w:rPr>
        <w:t xml:space="preserve"> who</w:t>
      </w:r>
      <w:r w:rsidR="0052096A" w:rsidRPr="0034030E">
        <w:rPr>
          <w:szCs w:val="24"/>
          <w:lang w:eastAsia="en-AU"/>
        </w:rPr>
        <w:t xml:space="preserve"> will be regularly available to the parties for genuinely urgent matters</w:t>
      </w:r>
      <w:r w:rsidR="002C311B" w:rsidRPr="0034030E">
        <w:rPr>
          <w:szCs w:val="24"/>
          <w:lang w:eastAsia="en-AU"/>
        </w:rPr>
        <w:t>,</w:t>
      </w:r>
      <w:r w:rsidR="0052096A" w:rsidRPr="0034030E">
        <w:rPr>
          <w:szCs w:val="24"/>
          <w:lang w:eastAsia="en-AU"/>
        </w:rPr>
        <w:t xml:space="preserve"> based on a regular roster system.  </w:t>
      </w:r>
      <w:r w:rsidR="005C7538" w:rsidRPr="005C7538">
        <w:rPr>
          <w:szCs w:val="24"/>
          <w:lang w:eastAsia="en-AU"/>
        </w:rPr>
        <w:t xml:space="preserve">These applications will be listed and heard separately to the Corporations List, although once the urgent aspects of a matter are resolved it may be appropriate to place it in the Corporations List for case management or resolution in the usual way. </w:t>
      </w:r>
    </w:p>
    <w:p w14:paraId="7EE2B792" w14:textId="6298DFCE" w:rsidR="00944BC6" w:rsidRPr="005F01BC" w:rsidRDefault="0052096A" w:rsidP="00A66703">
      <w:pPr>
        <w:pStyle w:val="Style2"/>
        <w:numPr>
          <w:ilvl w:val="0"/>
          <w:numId w:val="7"/>
        </w:numPr>
        <w:spacing w:line="360" w:lineRule="auto"/>
        <w:jc w:val="both"/>
        <w:rPr>
          <w:rFonts w:asciiTheme="minorHAnsi" w:hAnsiTheme="minorHAnsi"/>
        </w:rPr>
      </w:pPr>
      <w:r w:rsidRPr="005F01BC">
        <w:rPr>
          <w:rFonts w:asciiTheme="minorHAnsi" w:hAnsiTheme="minorHAnsi"/>
          <w:lang w:eastAsia="en-AU"/>
        </w:rPr>
        <w:t xml:space="preserve">Arrangements for hearing </w:t>
      </w:r>
      <w:r w:rsidR="00A74077">
        <w:rPr>
          <w:rFonts w:asciiTheme="minorHAnsi" w:hAnsiTheme="minorHAnsi"/>
          <w:lang w:eastAsia="en-AU"/>
        </w:rPr>
        <w:t xml:space="preserve">urgent </w:t>
      </w:r>
      <w:r w:rsidR="00A46D22" w:rsidRPr="005F01BC">
        <w:rPr>
          <w:rFonts w:asciiTheme="minorHAnsi" w:hAnsiTheme="minorHAnsi"/>
          <w:lang w:eastAsia="en-AU"/>
        </w:rPr>
        <w:t xml:space="preserve">originating </w:t>
      </w:r>
      <w:r w:rsidRPr="005F01BC">
        <w:rPr>
          <w:rFonts w:asciiTheme="minorHAnsi" w:hAnsiTheme="minorHAnsi"/>
          <w:lang w:eastAsia="en-AU"/>
        </w:rPr>
        <w:t xml:space="preserve">applications in respect of </w:t>
      </w:r>
      <w:r w:rsidR="00483A3C" w:rsidRPr="005F01BC">
        <w:rPr>
          <w:rFonts w:asciiTheme="minorHAnsi" w:hAnsiTheme="minorHAnsi"/>
          <w:lang w:eastAsia="en-AU"/>
        </w:rPr>
        <w:t xml:space="preserve">Commercial </w:t>
      </w:r>
      <w:r w:rsidRPr="005F01BC">
        <w:rPr>
          <w:rFonts w:asciiTheme="minorHAnsi" w:hAnsiTheme="minorHAnsi"/>
          <w:lang w:eastAsia="en-AU"/>
        </w:rPr>
        <w:t xml:space="preserve">and </w:t>
      </w:r>
      <w:r w:rsidR="00483A3C" w:rsidRPr="005F01BC">
        <w:rPr>
          <w:rFonts w:asciiTheme="minorHAnsi" w:hAnsiTheme="minorHAnsi"/>
          <w:lang w:eastAsia="en-AU"/>
        </w:rPr>
        <w:t xml:space="preserve">Corporations Duty Judge </w:t>
      </w:r>
      <w:r w:rsidRPr="005F01BC">
        <w:rPr>
          <w:rFonts w:asciiTheme="minorHAnsi" w:hAnsiTheme="minorHAnsi"/>
          <w:lang w:eastAsia="en-AU"/>
        </w:rPr>
        <w:t xml:space="preserve">matters </w:t>
      </w:r>
      <w:r w:rsidR="00944BC6" w:rsidRPr="005F01BC">
        <w:rPr>
          <w:rFonts w:asciiTheme="minorHAnsi" w:hAnsiTheme="minorHAnsi"/>
          <w:lang w:eastAsia="en-AU"/>
        </w:rPr>
        <w:t xml:space="preserve">and </w:t>
      </w:r>
      <w:r w:rsidR="00CF1B3D" w:rsidRPr="005F01BC">
        <w:rPr>
          <w:rFonts w:asciiTheme="minorHAnsi" w:hAnsiTheme="minorHAnsi"/>
          <w:lang w:eastAsia="en-AU"/>
        </w:rPr>
        <w:t xml:space="preserve">relevant </w:t>
      </w:r>
      <w:r w:rsidR="00944BC6" w:rsidRPr="005F01BC">
        <w:rPr>
          <w:rFonts w:asciiTheme="minorHAnsi" w:hAnsiTheme="minorHAnsi"/>
          <w:lang w:eastAsia="en-AU"/>
        </w:rPr>
        <w:t xml:space="preserve">contact information </w:t>
      </w:r>
      <w:r w:rsidR="006F22FD">
        <w:rPr>
          <w:rFonts w:asciiTheme="minorHAnsi" w:hAnsiTheme="minorHAnsi"/>
          <w:lang w:eastAsia="en-AU"/>
        </w:rPr>
        <w:t>are</w:t>
      </w:r>
      <w:r w:rsidR="00944BC6" w:rsidRPr="005F01BC">
        <w:rPr>
          <w:rFonts w:asciiTheme="minorHAnsi" w:hAnsiTheme="minorHAnsi"/>
          <w:lang w:eastAsia="en-AU"/>
        </w:rPr>
        <w:t xml:space="preserve"> set out in </w:t>
      </w:r>
      <w:r w:rsidR="00FE6DE7" w:rsidRPr="005F01BC">
        <w:rPr>
          <w:rFonts w:asciiTheme="minorHAnsi" w:hAnsiTheme="minorHAnsi"/>
          <w:lang w:eastAsia="en-AU"/>
        </w:rPr>
        <w:t xml:space="preserve">Part </w:t>
      </w:r>
      <w:r w:rsidR="009D7AA5" w:rsidRPr="005F01BC">
        <w:rPr>
          <w:rFonts w:asciiTheme="minorHAnsi" w:hAnsiTheme="minorHAnsi"/>
          <w:lang w:eastAsia="en-AU"/>
        </w:rPr>
        <w:t>4</w:t>
      </w:r>
      <w:r w:rsidR="00584195" w:rsidRPr="005F01BC">
        <w:rPr>
          <w:rFonts w:asciiTheme="minorHAnsi" w:hAnsiTheme="minorHAnsi"/>
          <w:lang w:eastAsia="en-AU"/>
        </w:rPr>
        <w:t xml:space="preserve"> of the Commercial and </w:t>
      </w:r>
      <w:r w:rsidR="00483A3C" w:rsidRPr="005F01BC">
        <w:rPr>
          <w:rFonts w:asciiTheme="minorHAnsi" w:hAnsiTheme="minorHAnsi"/>
          <w:lang w:eastAsia="en-AU"/>
        </w:rPr>
        <w:t>Corporations Practice Note</w:t>
      </w:r>
      <w:r w:rsidR="00B84EDD" w:rsidRPr="005F01BC">
        <w:rPr>
          <w:rFonts w:asciiTheme="minorHAnsi" w:hAnsiTheme="minorHAnsi"/>
          <w:lang w:eastAsia="en-AU"/>
        </w:rPr>
        <w:t>.</w:t>
      </w:r>
    </w:p>
    <w:p w14:paraId="5AA957BF" w14:textId="77777777" w:rsidR="00A46D22" w:rsidRPr="005F01BC" w:rsidRDefault="00A46D22" w:rsidP="00A66703">
      <w:pPr>
        <w:pStyle w:val="Heading8"/>
        <w:spacing w:line="360" w:lineRule="auto"/>
      </w:pPr>
      <w:r w:rsidRPr="005F01BC">
        <w:t>Urge</w:t>
      </w:r>
      <w:r w:rsidRPr="005F01BC">
        <w:rPr>
          <w:bCs/>
        </w:rPr>
        <w:t>n</w:t>
      </w:r>
      <w:r w:rsidRPr="005F01BC">
        <w:t xml:space="preserve">t Interlocutory Applications </w:t>
      </w:r>
    </w:p>
    <w:p w14:paraId="2D981008" w14:textId="5E434190" w:rsidR="00A46D22" w:rsidRPr="005F01BC" w:rsidRDefault="00A46D22" w:rsidP="00A66703">
      <w:pPr>
        <w:pStyle w:val="Style2"/>
        <w:numPr>
          <w:ilvl w:val="0"/>
          <w:numId w:val="7"/>
        </w:numPr>
        <w:spacing w:line="360" w:lineRule="auto"/>
        <w:jc w:val="both"/>
        <w:rPr>
          <w:rFonts w:asciiTheme="minorHAnsi" w:hAnsiTheme="minorHAnsi"/>
        </w:rPr>
      </w:pPr>
      <w:r w:rsidRPr="005F01BC">
        <w:rPr>
          <w:rFonts w:asciiTheme="minorHAnsi" w:hAnsiTheme="minorHAnsi"/>
        </w:rPr>
        <w:t>Urgent interlocutory matters</w:t>
      </w:r>
      <w:r w:rsidR="002C311B">
        <w:rPr>
          <w:rFonts w:asciiTheme="minorHAnsi" w:hAnsiTheme="minorHAnsi"/>
        </w:rPr>
        <w:t xml:space="preserve"> that arise after a matter has been allocated to a docket judge</w:t>
      </w:r>
      <w:r w:rsidRPr="005F01BC">
        <w:rPr>
          <w:rFonts w:asciiTheme="minorHAnsi" w:hAnsiTheme="minorHAnsi"/>
        </w:rPr>
        <w:t xml:space="preserve"> will be heard by </w:t>
      </w:r>
      <w:r w:rsidR="002C311B">
        <w:rPr>
          <w:rFonts w:asciiTheme="minorHAnsi" w:hAnsiTheme="minorHAnsi"/>
        </w:rPr>
        <w:t xml:space="preserve">that </w:t>
      </w:r>
      <w:r w:rsidRPr="005F01BC">
        <w:rPr>
          <w:rFonts w:asciiTheme="minorHAnsi" w:hAnsiTheme="minorHAnsi"/>
        </w:rPr>
        <w:t xml:space="preserve">judge as set out in </w:t>
      </w:r>
      <w:r w:rsidR="00FE6DE7" w:rsidRPr="005F01BC">
        <w:rPr>
          <w:rFonts w:asciiTheme="minorHAnsi" w:hAnsiTheme="minorHAnsi"/>
          <w:lang w:eastAsia="en-AU"/>
        </w:rPr>
        <w:t xml:space="preserve">Part </w:t>
      </w:r>
      <w:r w:rsidRPr="005F01BC">
        <w:rPr>
          <w:rFonts w:asciiTheme="minorHAnsi" w:hAnsiTheme="minorHAnsi"/>
          <w:lang w:eastAsia="en-AU"/>
        </w:rPr>
        <w:t>4</w:t>
      </w:r>
      <w:r w:rsidR="00FE6DE7" w:rsidRPr="005F01BC">
        <w:rPr>
          <w:rFonts w:asciiTheme="minorHAnsi" w:hAnsiTheme="minorHAnsi"/>
          <w:lang w:eastAsia="en-AU"/>
        </w:rPr>
        <w:t xml:space="preserve"> of the </w:t>
      </w:r>
      <w:r w:rsidR="00483A3C" w:rsidRPr="005F01BC">
        <w:rPr>
          <w:rFonts w:asciiTheme="minorHAnsi" w:hAnsiTheme="minorHAnsi"/>
          <w:lang w:eastAsia="en-AU"/>
        </w:rPr>
        <w:t xml:space="preserve">Commercial </w:t>
      </w:r>
      <w:r w:rsidR="00FE6DE7" w:rsidRPr="005F01BC">
        <w:rPr>
          <w:rFonts w:asciiTheme="minorHAnsi" w:hAnsiTheme="minorHAnsi"/>
          <w:lang w:eastAsia="en-AU"/>
        </w:rPr>
        <w:t xml:space="preserve">and </w:t>
      </w:r>
      <w:r w:rsidR="00483A3C" w:rsidRPr="005F01BC">
        <w:rPr>
          <w:rFonts w:asciiTheme="minorHAnsi" w:hAnsiTheme="minorHAnsi"/>
          <w:lang w:eastAsia="en-AU"/>
        </w:rPr>
        <w:t>Corporations Practice Note</w:t>
      </w:r>
      <w:r w:rsidRPr="005F01BC">
        <w:rPr>
          <w:rFonts w:asciiTheme="minorHAnsi" w:hAnsiTheme="minorHAnsi"/>
          <w:lang w:eastAsia="en-AU"/>
        </w:rPr>
        <w:t>.</w:t>
      </w:r>
    </w:p>
    <w:p w14:paraId="3DABCDFC" w14:textId="77777777" w:rsidR="00E15C6A" w:rsidRPr="005F01BC" w:rsidRDefault="00E15C6A" w:rsidP="00A66703">
      <w:pPr>
        <w:pStyle w:val="Heading7"/>
        <w:spacing w:line="360" w:lineRule="auto"/>
      </w:pPr>
      <w:r w:rsidRPr="005F01BC">
        <w:t xml:space="preserve">FILING APPLICATIONS </w:t>
      </w:r>
      <w:r w:rsidR="00FE199F" w:rsidRPr="005F01BC">
        <w:t>AND SUPPORTING MATERIAL</w:t>
      </w:r>
      <w:r w:rsidRPr="005F01BC">
        <w:t xml:space="preserve"> </w:t>
      </w:r>
    </w:p>
    <w:p w14:paraId="030A168A" w14:textId="77777777" w:rsidR="008B75E8" w:rsidRPr="005F01BC" w:rsidRDefault="008138D0" w:rsidP="00A66703">
      <w:pPr>
        <w:pStyle w:val="Style2"/>
        <w:numPr>
          <w:ilvl w:val="0"/>
          <w:numId w:val="7"/>
        </w:numPr>
        <w:spacing w:line="360" w:lineRule="auto"/>
        <w:jc w:val="both"/>
        <w:rPr>
          <w:rFonts w:asciiTheme="minorHAnsi" w:hAnsiTheme="minorHAnsi"/>
        </w:rPr>
      </w:pPr>
      <w:r w:rsidRPr="005F01BC">
        <w:rPr>
          <w:rFonts w:asciiTheme="minorHAnsi" w:hAnsiTheme="minorHAnsi"/>
          <w:lang w:eastAsia="en-AU"/>
        </w:rPr>
        <w:t>When filing</w:t>
      </w:r>
      <w:r w:rsidR="008B75E8" w:rsidRPr="005F01BC">
        <w:rPr>
          <w:rFonts w:asciiTheme="minorHAnsi" w:hAnsiTheme="minorHAnsi"/>
          <w:lang w:eastAsia="en-AU"/>
        </w:rPr>
        <w:t xml:space="preserve"> an originating application </w:t>
      </w:r>
      <w:r w:rsidR="00944BC6" w:rsidRPr="005F01BC">
        <w:rPr>
          <w:rFonts w:asciiTheme="minorHAnsi" w:hAnsiTheme="minorHAnsi"/>
          <w:lang w:eastAsia="en-AU"/>
        </w:rPr>
        <w:t xml:space="preserve">in </w:t>
      </w:r>
      <w:r w:rsidR="008B75E8" w:rsidRPr="005F01BC">
        <w:rPr>
          <w:rFonts w:asciiTheme="minorHAnsi" w:hAnsiTheme="minorHAnsi"/>
          <w:lang w:eastAsia="en-AU"/>
        </w:rPr>
        <w:t xml:space="preserve">a </w:t>
      </w:r>
      <w:r w:rsidR="00615ABB" w:rsidRPr="005F01BC">
        <w:rPr>
          <w:rFonts w:asciiTheme="minorHAnsi" w:hAnsiTheme="minorHAnsi"/>
          <w:lang w:eastAsia="en-AU"/>
        </w:rPr>
        <w:t>c</w:t>
      </w:r>
      <w:r w:rsidR="008B75E8" w:rsidRPr="005F01BC">
        <w:rPr>
          <w:rFonts w:asciiTheme="minorHAnsi" w:hAnsiTheme="minorHAnsi"/>
          <w:lang w:eastAsia="en-AU"/>
        </w:rPr>
        <w:t xml:space="preserve">orporations matter, </w:t>
      </w:r>
      <w:r w:rsidR="009870D2" w:rsidRPr="005F01BC">
        <w:rPr>
          <w:rFonts w:asciiTheme="minorHAnsi" w:hAnsiTheme="minorHAnsi"/>
          <w:lang w:eastAsia="en-AU"/>
        </w:rPr>
        <w:t>an originating process should be used (</w:t>
      </w:r>
      <w:r w:rsidR="008B75E8" w:rsidRPr="005F01BC">
        <w:rPr>
          <w:rFonts w:asciiTheme="minorHAnsi" w:hAnsiTheme="minorHAnsi"/>
          <w:lang w:eastAsia="en-AU"/>
        </w:rPr>
        <w:t>Form 2</w:t>
      </w:r>
      <w:r w:rsidR="00483A3C" w:rsidRPr="005F01BC">
        <w:rPr>
          <w:rFonts w:asciiTheme="minorHAnsi" w:hAnsiTheme="minorHAnsi"/>
          <w:lang w:eastAsia="en-AU"/>
        </w:rPr>
        <w:t xml:space="preserve"> of the</w:t>
      </w:r>
      <w:r w:rsidR="002A673F" w:rsidRPr="005F01BC">
        <w:rPr>
          <w:rFonts w:asciiTheme="minorHAnsi" w:hAnsiTheme="minorHAnsi"/>
          <w:lang w:eastAsia="en-AU"/>
        </w:rPr>
        <w:t xml:space="preserve"> </w:t>
      </w:r>
      <w:hyperlink r:id="rId13" w:history="1">
        <w:r w:rsidR="008D2007" w:rsidRPr="005F01BC">
          <w:rPr>
            <w:rStyle w:val="Hyperlink"/>
            <w:rFonts w:asciiTheme="minorHAnsi" w:hAnsiTheme="minorHAnsi"/>
            <w:i/>
            <w:lang w:eastAsia="en-AU"/>
          </w:rPr>
          <w:t>Federal Court (</w:t>
        </w:r>
        <w:r w:rsidR="002A673F" w:rsidRPr="005F01BC">
          <w:rPr>
            <w:rStyle w:val="Hyperlink"/>
            <w:rFonts w:asciiTheme="minorHAnsi" w:hAnsiTheme="minorHAnsi"/>
            <w:i/>
            <w:lang w:eastAsia="en-AU"/>
          </w:rPr>
          <w:t>Corporations</w:t>
        </w:r>
        <w:r w:rsidR="008D2007" w:rsidRPr="005F01BC">
          <w:rPr>
            <w:rStyle w:val="Hyperlink"/>
            <w:rFonts w:asciiTheme="minorHAnsi" w:hAnsiTheme="minorHAnsi"/>
            <w:i/>
            <w:lang w:eastAsia="en-AU"/>
          </w:rPr>
          <w:t>)</w:t>
        </w:r>
        <w:r w:rsidR="002A673F" w:rsidRPr="005F01BC">
          <w:rPr>
            <w:rStyle w:val="Hyperlink"/>
            <w:rFonts w:asciiTheme="minorHAnsi" w:hAnsiTheme="minorHAnsi"/>
            <w:i/>
            <w:lang w:eastAsia="en-AU"/>
          </w:rPr>
          <w:t xml:space="preserve"> Rules</w:t>
        </w:r>
        <w:r w:rsidR="008D2007" w:rsidRPr="005F01BC">
          <w:rPr>
            <w:rStyle w:val="Hyperlink"/>
            <w:rFonts w:asciiTheme="minorHAnsi" w:hAnsiTheme="minorHAnsi"/>
            <w:lang w:eastAsia="en-AU"/>
          </w:rPr>
          <w:t xml:space="preserve"> </w:t>
        </w:r>
        <w:r w:rsidR="008D2007" w:rsidRPr="005F01BC">
          <w:rPr>
            <w:rStyle w:val="Hyperlink"/>
            <w:rFonts w:asciiTheme="minorHAnsi" w:hAnsiTheme="minorHAnsi"/>
            <w:i/>
            <w:lang w:eastAsia="en-AU"/>
          </w:rPr>
          <w:t>2000</w:t>
        </w:r>
        <w:r w:rsidR="008D2007" w:rsidRPr="005F01BC">
          <w:rPr>
            <w:rStyle w:val="Hyperlink"/>
            <w:rFonts w:asciiTheme="minorHAnsi" w:hAnsiTheme="minorHAnsi"/>
            <w:i/>
          </w:rPr>
          <w:t xml:space="preserve"> </w:t>
        </w:r>
        <w:r w:rsidR="00DC6283" w:rsidRPr="005F01BC">
          <w:rPr>
            <w:rStyle w:val="Hyperlink"/>
            <w:rFonts w:asciiTheme="minorHAnsi" w:hAnsiTheme="minorHAnsi"/>
          </w:rPr>
          <w:t>(</w:t>
        </w:r>
        <w:r w:rsidR="00483A3C" w:rsidRPr="005F01BC">
          <w:rPr>
            <w:rStyle w:val="Hyperlink"/>
            <w:rFonts w:asciiTheme="minorHAnsi" w:hAnsiTheme="minorHAnsi"/>
          </w:rPr>
          <w:t>Cth</w:t>
        </w:r>
      </w:hyperlink>
      <w:r w:rsidR="00DC6283" w:rsidRPr="005F01BC">
        <w:rPr>
          <w:rStyle w:val="Hyperlink"/>
          <w:rFonts w:asciiTheme="minorHAnsi" w:hAnsiTheme="minorHAnsi"/>
        </w:rPr>
        <w:t>)</w:t>
      </w:r>
      <w:r w:rsidR="00483A3C" w:rsidRPr="005F01BC">
        <w:rPr>
          <w:rFonts w:asciiTheme="minorHAnsi" w:hAnsiTheme="minorHAnsi"/>
        </w:rPr>
        <w:t xml:space="preserve"> </w:t>
      </w:r>
      <w:r w:rsidR="008D2007" w:rsidRPr="005F01BC">
        <w:rPr>
          <w:rFonts w:asciiTheme="minorHAnsi" w:hAnsiTheme="minorHAnsi"/>
        </w:rPr>
        <w:t>(</w:t>
      </w:r>
      <w:r w:rsidR="00483A3C" w:rsidRPr="005F01BC">
        <w:rPr>
          <w:rFonts w:asciiTheme="minorHAnsi" w:hAnsiTheme="minorHAnsi"/>
        </w:rPr>
        <w:t>“</w:t>
      </w:r>
      <w:r w:rsidR="008D2007" w:rsidRPr="005F01BC">
        <w:rPr>
          <w:rFonts w:asciiTheme="minorHAnsi" w:hAnsiTheme="minorHAnsi"/>
          <w:b/>
        </w:rPr>
        <w:t>Corporations Rules</w:t>
      </w:r>
      <w:r w:rsidR="00483A3C" w:rsidRPr="005F01BC">
        <w:rPr>
          <w:rFonts w:asciiTheme="minorHAnsi" w:hAnsiTheme="minorHAnsi"/>
        </w:rPr>
        <w:t>”</w:t>
      </w:r>
      <w:r w:rsidR="008D2007" w:rsidRPr="005F01BC">
        <w:rPr>
          <w:rFonts w:asciiTheme="minorHAnsi" w:hAnsiTheme="minorHAnsi"/>
        </w:rPr>
        <w:t>)</w:t>
      </w:r>
      <w:r w:rsidR="009870D2" w:rsidRPr="005F01BC">
        <w:rPr>
          <w:rFonts w:asciiTheme="minorHAnsi" w:hAnsiTheme="minorHAnsi"/>
        </w:rPr>
        <w:t>)</w:t>
      </w:r>
      <w:r w:rsidR="008B75E8" w:rsidRPr="005F01BC">
        <w:rPr>
          <w:rFonts w:asciiTheme="minorHAnsi" w:hAnsiTheme="minorHAnsi"/>
        </w:rPr>
        <w:t>.</w:t>
      </w:r>
    </w:p>
    <w:p w14:paraId="350F6561" w14:textId="77777777" w:rsidR="00004022" w:rsidRPr="005F01BC" w:rsidRDefault="008138D0" w:rsidP="00A66703">
      <w:pPr>
        <w:pStyle w:val="Style2"/>
        <w:numPr>
          <w:ilvl w:val="0"/>
          <w:numId w:val="7"/>
        </w:numPr>
        <w:spacing w:line="360" w:lineRule="auto"/>
        <w:jc w:val="both"/>
        <w:rPr>
          <w:rFonts w:asciiTheme="minorHAnsi" w:hAnsiTheme="minorHAnsi"/>
        </w:rPr>
      </w:pPr>
      <w:r w:rsidRPr="005F01BC">
        <w:rPr>
          <w:rFonts w:asciiTheme="minorHAnsi" w:hAnsiTheme="minorHAnsi"/>
        </w:rPr>
        <w:t>When filing</w:t>
      </w:r>
      <w:r w:rsidR="008B75E8" w:rsidRPr="005F01BC">
        <w:rPr>
          <w:rFonts w:asciiTheme="minorHAnsi" w:hAnsiTheme="minorHAnsi"/>
        </w:rPr>
        <w:t xml:space="preserve"> an interlocutory application in a </w:t>
      </w:r>
      <w:r w:rsidR="00615ABB" w:rsidRPr="005F01BC">
        <w:rPr>
          <w:rFonts w:asciiTheme="minorHAnsi" w:hAnsiTheme="minorHAnsi"/>
        </w:rPr>
        <w:t>c</w:t>
      </w:r>
      <w:r w:rsidR="008B75E8" w:rsidRPr="005F01BC">
        <w:rPr>
          <w:rFonts w:asciiTheme="minorHAnsi" w:hAnsiTheme="minorHAnsi"/>
        </w:rPr>
        <w:t xml:space="preserve">orporations matter, </w:t>
      </w:r>
      <w:r w:rsidR="009870D2" w:rsidRPr="005F01BC">
        <w:rPr>
          <w:rFonts w:asciiTheme="minorHAnsi" w:hAnsiTheme="minorHAnsi"/>
        </w:rPr>
        <w:t xml:space="preserve">an interlocutory process </w:t>
      </w:r>
      <w:r w:rsidR="008B75E8" w:rsidRPr="005F01BC">
        <w:rPr>
          <w:rFonts w:asciiTheme="minorHAnsi" w:hAnsiTheme="minorHAnsi"/>
        </w:rPr>
        <w:t>should be used</w:t>
      </w:r>
      <w:r w:rsidR="00EE23D8" w:rsidRPr="005F01BC">
        <w:rPr>
          <w:rFonts w:asciiTheme="minorHAnsi" w:hAnsiTheme="minorHAnsi"/>
        </w:rPr>
        <w:t xml:space="preserve"> (Form 3</w:t>
      </w:r>
      <w:r w:rsidR="00483A3C" w:rsidRPr="005F01BC">
        <w:rPr>
          <w:rFonts w:asciiTheme="minorHAnsi" w:hAnsiTheme="minorHAnsi"/>
        </w:rPr>
        <w:t xml:space="preserve"> of the</w:t>
      </w:r>
      <w:r w:rsidR="002A673F" w:rsidRPr="005F01BC">
        <w:rPr>
          <w:rFonts w:asciiTheme="minorHAnsi" w:hAnsiTheme="minorHAnsi"/>
        </w:rPr>
        <w:t xml:space="preserve"> Corporations Rules</w:t>
      </w:r>
      <w:r w:rsidR="00EE23D8" w:rsidRPr="005F01BC">
        <w:rPr>
          <w:rFonts w:asciiTheme="minorHAnsi" w:hAnsiTheme="minorHAnsi"/>
        </w:rPr>
        <w:t>)</w:t>
      </w:r>
      <w:r w:rsidR="008B75E8" w:rsidRPr="005F01BC">
        <w:rPr>
          <w:rFonts w:asciiTheme="minorHAnsi" w:hAnsiTheme="minorHAnsi"/>
        </w:rPr>
        <w:t>.  This includes interlocutory application</w:t>
      </w:r>
      <w:r w:rsidRPr="005F01BC">
        <w:rPr>
          <w:rFonts w:asciiTheme="minorHAnsi" w:hAnsiTheme="minorHAnsi"/>
        </w:rPr>
        <w:t>s</w:t>
      </w:r>
      <w:r w:rsidR="008B75E8" w:rsidRPr="005F01BC">
        <w:rPr>
          <w:rFonts w:asciiTheme="minorHAnsi" w:hAnsiTheme="minorHAnsi"/>
        </w:rPr>
        <w:t xml:space="preserve"> seek</w:t>
      </w:r>
      <w:r w:rsidRPr="005F01BC">
        <w:rPr>
          <w:rFonts w:asciiTheme="minorHAnsi" w:hAnsiTheme="minorHAnsi"/>
        </w:rPr>
        <w:t>ing</w:t>
      </w:r>
      <w:r w:rsidR="008B75E8" w:rsidRPr="005F01BC">
        <w:rPr>
          <w:rFonts w:asciiTheme="minorHAnsi" w:hAnsiTheme="minorHAnsi"/>
        </w:rPr>
        <w:t xml:space="preserve"> final </w:t>
      </w:r>
      <w:r w:rsidR="009870D2" w:rsidRPr="005F01BC">
        <w:rPr>
          <w:rFonts w:asciiTheme="minorHAnsi" w:hAnsiTheme="minorHAnsi"/>
        </w:rPr>
        <w:t>relief, such as:</w:t>
      </w:r>
    </w:p>
    <w:p w14:paraId="2AB10B64" w14:textId="77777777" w:rsidR="009870D2" w:rsidRPr="005F01BC" w:rsidRDefault="009870D2" w:rsidP="00A66703">
      <w:pPr>
        <w:pStyle w:val="Style2"/>
        <w:numPr>
          <w:ilvl w:val="1"/>
          <w:numId w:val="7"/>
        </w:numPr>
        <w:spacing w:line="360" w:lineRule="auto"/>
        <w:jc w:val="both"/>
        <w:rPr>
          <w:rFonts w:asciiTheme="minorHAnsi" w:hAnsiTheme="minorHAnsi"/>
        </w:rPr>
      </w:pPr>
      <w:r w:rsidRPr="005F01BC">
        <w:rPr>
          <w:rFonts w:asciiTheme="minorHAnsi" w:hAnsiTheme="minorHAnsi"/>
        </w:rPr>
        <w:t>a claim by a defendant in the nature of a cross-</w:t>
      </w:r>
      <w:proofErr w:type="gramStart"/>
      <w:r w:rsidRPr="005F01BC">
        <w:rPr>
          <w:rFonts w:asciiTheme="minorHAnsi" w:hAnsiTheme="minorHAnsi"/>
        </w:rPr>
        <w:t>claim;</w:t>
      </w:r>
      <w:proofErr w:type="gramEnd"/>
    </w:p>
    <w:p w14:paraId="650EBAF1" w14:textId="77777777" w:rsidR="009870D2" w:rsidRPr="005F01BC" w:rsidRDefault="009870D2" w:rsidP="00A66703">
      <w:pPr>
        <w:pStyle w:val="Style2"/>
        <w:numPr>
          <w:ilvl w:val="1"/>
          <w:numId w:val="7"/>
        </w:numPr>
        <w:spacing w:line="360" w:lineRule="auto"/>
        <w:jc w:val="both"/>
        <w:rPr>
          <w:rFonts w:asciiTheme="minorHAnsi" w:hAnsiTheme="minorHAnsi"/>
          <w:lang w:eastAsia="en-AU"/>
        </w:rPr>
      </w:pPr>
      <w:r w:rsidRPr="005F01BC">
        <w:rPr>
          <w:rFonts w:asciiTheme="minorHAnsi" w:hAnsiTheme="minorHAnsi"/>
          <w:lang w:eastAsia="en-AU"/>
        </w:rPr>
        <w:t>a claim for indemnity by the Commissioner of Taxatio</w:t>
      </w:r>
      <w:r w:rsidR="00DC6283" w:rsidRPr="005F01BC">
        <w:rPr>
          <w:rFonts w:asciiTheme="minorHAnsi" w:hAnsiTheme="minorHAnsi"/>
          <w:lang w:eastAsia="en-AU"/>
        </w:rPr>
        <w:t>n against a company d</w:t>
      </w:r>
      <w:r w:rsidRPr="005F01BC">
        <w:rPr>
          <w:rFonts w:asciiTheme="minorHAnsi" w:hAnsiTheme="minorHAnsi"/>
          <w:lang w:eastAsia="en-AU"/>
        </w:rPr>
        <w:t xml:space="preserve">irector where certain payments </w:t>
      </w:r>
      <w:r w:rsidR="00EE23D8" w:rsidRPr="005F01BC">
        <w:rPr>
          <w:rFonts w:asciiTheme="minorHAnsi" w:hAnsiTheme="minorHAnsi"/>
          <w:lang w:eastAsia="en-AU"/>
        </w:rPr>
        <w:t xml:space="preserve">have been </w:t>
      </w:r>
      <w:r w:rsidRPr="005F01BC">
        <w:rPr>
          <w:rFonts w:asciiTheme="minorHAnsi" w:hAnsiTheme="minorHAnsi"/>
          <w:lang w:eastAsia="en-AU"/>
        </w:rPr>
        <w:t xml:space="preserve">set aside (see </w:t>
      </w:r>
      <w:r w:rsidR="00E15C6A" w:rsidRPr="005F01BC">
        <w:rPr>
          <w:rFonts w:asciiTheme="minorHAnsi" w:hAnsiTheme="minorHAnsi"/>
          <w:lang w:eastAsia="en-AU"/>
        </w:rPr>
        <w:t>s</w:t>
      </w:r>
      <w:r w:rsidRPr="005F01BC">
        <w:rPr>
          <w:rFonts w:asciiTheme="minorHAnsi" w:hAnsiTheme="minorHAnsi"/>
          <w:lang w:eastAsia="en-AU"/>
        </w:rPr>
        <w:t xml:space="preserve"> 588FGA(4) of the </w:t>
      </w:r>
      <w:hyperlink r:id="rId14" w:history="1">
        <w:r w:rsidRPr="005F01BC">
          <w:rPr>
            <w:rStyle w:val="Hyperlink"/>
            <w:rFonts w:asciiTheme="minorHAnsi" w:hAnsiTheme="minorHAnsi"/>
            <w:lang w:eastAsia="en-AU"/>
          </w:rPr>
          <w:t>Corporations Act</w:t>
        </w:r>
      </w:hyperlink>
      <w:r w:rsidRPr="005F01BC">
        <w:rPr>
          <w:rFonts w:asciiTheme="minorHAnsi" w:hAnsiTheme="minorHAnsi"/>
          <w:lang w:eastAsia="en-AU"/>
        </w:rPr>
        <w:t xml:space="preserve"> and </w:t>
      </w:r>
      <w:r w:rsidRPr="005F01BC">
        <w:rPr>
          <w:rFonts w:asciiTheme="minorHAnsi" w:hAnsiTheme="minorHAnsi"/>
          <w:i/>
          <w:lang w:eastAsia="en-AU"/>
        </w:rPr>
        <w:t>Condon v Commissioner of Taxation</w:t>
      </w:r>
      <w:r w:rsidRPr="005F01BC">
        <w:rPr>
          <w:rFonts w:asciiTheme="minorHAnsi" w:hAnsiTheme="minorHAnsi"/>
          <w:lang w:eastAsia="en-AU"/>
        </w:rPr>
        <w:t xml:space="preserve"> [2004] NSWSC 481).</w:t>
      </w:r>
    </w:p>
    <w:p w14:paraId="01269190" w14:textId="77777777" w:rsidR="00FE199F" w:rsidRPr="005F01BC" w:rsidRDefault="00FE199F" w:rsidP="00A66703">
      <w:pPr>
        <w:pStyle w:val="Style2"/>
        <w:numPr>
          <w:ilvl w:val="0"/>
          <w:numId w:val="7"/>
        </w:numPr>
        <w:spacing w:line="360" w:lineRule="auto"/>
        <w:jc w:val="both"/>
        <w:rPr>
          <w:rFonts w:asciiTheme="minorHAnsi" w:hAnsiTheme="minorHAnsi"/>
        </w:rPr>
      </w:pPr>
      <w:r w:rsidRPr="005F01BC">
        <w:rPr>
          <w:rFonts w:asciiTheme="minorHAnsi" w:hAnsiTheme="minorHAnsi"/>
        </w:rPr>
        <w:t xml:space="preserve">In some circumstances it may not be immediately apparent to a filing party whether </w:t>
      </w:r>
      <w:r w:rsidR="000B6442" w:rsidRPr="005F01BC">
        <w:rPr>
          <w:rFonts w:asciiTheme="minorHAnsi" w:hAnsiTheme="minorHAnsi"/>
        </w:rPr>
        <w:t>an</w:t>
      </w:r>
      <w:r w:rsidRPr="005F01BC">
        <w:rPr>
          <w:rFonts w:asciiTheme="minorHAnsi" w:hAnsiTheme="minorHAnsi"/>
        </w:rPr>
        <w:t xml:space="preserve"> application should be properly commenced by way of an interlocutory </w:t>
      </w:r>
      <w:r w:rsidR="00370673" w:rsidRPr="005F01BC">
        <w:rPr>
          <w:rFonts w:asciiTheme="minorHAnsi" w:hAnsiTheme="minorHAnsi"/>
        </w:rPr>
        <w:t xml:space="preserve">process </w:t>
      </w:r>
      <w:r w:rsidRPr="005F01BC">
        <w:rPr>
          <w:rFonts w:asciiTheme="minorHAnsi" w:hAnsiTheme="minorHAnsi"/>
        </w:rPr>
        <w:t xml:space="preserve">(brought within a current or pre-existing proceeding in this Court) or an originating </w:t>
      </w:r>
      <w:r w:rsidR="00370673" w:rsidRPr="005F01BC">
        <w:rPr>
          <w:rFonts w:asciiTheme="minorHAnsi" w:hAnsiTheme="minorHAnsi"/>
        </w:rPr>
        <w:t xml:space="preserve">process </w:t>
      </w:r>
      <w:r w:rsidRPr="005F01BC">
        <w:rPr>
          <w:rFonts w:asciiTheme="minorHAnsi" w:hAnsiTheme="minorHAnsi"/>
        </w:rPr>
        <w:t>(commencing a new proceeding).  This can be an important decision which may affect the case management of the matter and the applicable filing fee.</w:t>
      </w:r>
    </w:p>
    <w:p w14:paraId="3FAAE4E7" w14:textId="77777777" w:rsidR="00FE199F" w:rsidRPr="005F01BC" w:rsidRDefault="00FE199F" w:rsidP="00A66703">
      <w:pPr>
        <w:pStyle w:val="Heading8"/>
        <w:spacing w:line="360" w:lineRule="auto"/>
      </w:pPr>
      <w:r w:rsidRPr="005F01BC">
        <w:t>Prescribed Circumstances</w:t>
      </w:r>
    </w:p>
    <w:p w14:paraId="1A1C567A" w14:textId="405F730A" w:rsidR="009C41E7" w:rsidRPr="005F01BC" w:rsidRDefault="000A79AD" w:rsidP="00A66703">
      <w:pPr>
        <w:pStyle w:val="Style2"/>
        <w:numPr>
          <w:ilvl w:val="0"/>
          <w:numId w:val="7"/>
        </w:numPr>
        <w:spacing w:line="360" w:lineRule="auto"/>
        <w:jc w:val="both"/>
        <w:rPr>
          <w:rFonts w:asciiTheme="minorHAnsi" w:hAnsiTheme="minorHAnsi"/>
        </w:rPr>
      </w:pPr>
      <w:r>
        <w:rPr>
          <w:rFonts w:asciiTheme="minorHAnsi" w:hAnsiTheme="minorHAnsi"/>
        </w:rPr>
        <w:t>W</w:t>
      </w:r>
      <w:r w:rsidR="009C41E7" w:rsidRPr="005F01BC">
        <w:rPr>
          <w:rFonts w:asciiTheme="minorHAnsi" w:hAnsiTheme="minorHAnsi"/>
        </w:rPr>
        <w:t xml:space="preserve">hether an interlocutory or originating </w:t>
      </w:r>
      <w:r w:rsidR="00370673" w:rsidRPr="005F01BC">
        <w:rPr>
          <w:rFonts w:asciiTheme="minorHAnsi" w:hAnsiTheme="minorHAnsi"/>
        </w:rPr>
        <w:t xml:space="preserve">process </w:t>
      </w:r>
      <w:r w:rsidR="009C41E7" w:rsidRPr="005F01BC">
        <w:rPr>
          <w:rFonts w:asciiTheme="minorHAnsi" w:hAnsiTheme="minorHAnsi"/>
        </w:rPr>
        <w:t xml:space="preserve">should be filed may be prescribed by relevant Acts or Rules, namely the </w:t>
      </w:r>
      <w:hyperlink r:id="rId15" w:history="1">
        <w:r w:rsidR="009C41E7" w:rsidRPr="005F01BC">
          <w:rPr>
            <w:rStyle w:val="Hyperlink"/>
            <w:rFonts w:asciiTheme="minorHAnsi" w:hAnsiTheme="minorHAnsi"/>
          </w:rPr>
          <w:t>Corporations Act</w:t>
        </w:r>
      </w:hyperlink>
      <w:r w:rsidR="009C41E7" w:rsidRPr="005F01BC">
        <w:rPr>
          <w:rFonts w:asciiTheme="minorHAnsi" w:hAnsiTheme="minorHAnsi"/>
        </w:rPr>
        <w:t>, the</w:t>
      </w:r>
      <w:r w:rsidR="00EC7E01" w:rsidRPr="005F01BC">
        <w:rPr>
          <w:rFonts w:asciiTheme="minorHAnsi" w:hAnsiTheme="minorHAnsi"/>
        </w:rPr>
        <w:t xml:space="preserve"> </w:t>
      </w:r>
      <w:hyperlink r:id="rId16" w:history="1">
        <w:r w:rsidR="009C41E7" w:rsidRPr="005F01BC">
          <w:rPr>
            <w:rStyle w:val="Hyperlink"/>
            <w:rFonts w:asciiTheme="minorHAnsi" w:hAnsiTheme="minorHAnsi"/>
            <w:i/>
          </w:rPr>
          <w:t>Federal Court Rules</w:t>
        </w:r>
      </w:hyperlink>
      <w:r w:rsidR="00EC7E01" w:rsidRPr="005F01BC">
        <w:rPr>
          <w:rStyle w:val="Hyperlink"/>
          <w:rFonts w:asciiTheme="minorHAnsi" w:hAnsiTheme="minorHAnsi"/>
          <w:i/>
        </w:rPr>
        <w:t xml:space="preserve"> 2011</w:t>
      </w:r>
      <w:r w:rsidR="00EC7E01" w:rsidRPr="005F01BC">
        <w:rPr>
          <w:rStyle w:val="Hyperlink"/>
          <w:rFonts w:asciiTheme="minorHAnsi" w:hAnsiTheme="minorHAnsi"/>
        </w:rPr>
        <w:t xml:space="preserve"> (Cth) (“</w:t>
      </w:r>
      <w:r w:rsidR="00EC7E01" w:rsidRPr="005F01BC">
        <w:rPr>
          <w:rStyle w:val="Hyperlink"/>
          <w:rFonts w:asciiTheme="minorHAnsi" w:hAnsiTheme="minorHAnsi"/>
          <w:b/>
        </w:rPr>
        <w:t>Federal Court Rules</w:t>
      </w:r>
      <w:r w:rsidR="00EC7E01" w:rsidRPr="005F01BC">
        <w:rPr>
          <w:rStyle w:val="Hyperlink"/>
          <w:rFonts w:asciiTheme="minorHAnsi" w:hAnsiTheme="minorHAnsi"/>
        </w:rPr>
        <w:t>”)</w:t>
      </w:r>
      <w:r w:rsidR="009C41E7" w:rsidRPr="005F01BC">
        <w:rPr>
          <w:rFonts w:asciiTheme="minorHAnsi" w:hAnsiTheme="minorHAnsi"/>
        </w:rPr>
        <w:t xml:space="preserve"> and the </w:t>
      </w:r>
      <w:hyperlink r:id="rId17" w:history="1">
        <w:r w:rsidR="009C41E7" w:rsidRPr="005F01BC">
          <w:rPr>
            <w:rStyle w:val="Hyperlink"/>
            <w:rFonts w:asciiTheme="minorHAnsi" w:hAnsiTheme="minorHAnsi"/>
          </w:rPr>
          <w:t>Corporations Rules</w:t>
        </w:r>
      </w:hyperlink>
      <w:r w:rsidR="009C41E7" w:rsidRPr="005F01BC">
        <w:rPr>
          <w:rFonts w:asciiTheme="minorHAnsi" w:hAnsiTheme="minorHAnsi"/>
        </w:rPr>
        <w:t>.  The following are two (non-exhaustive) illustrations where the form of the application is prescribed:</w:t>
      </w:r>
    </w:p>
    <w:p w14:paraId="4C2E3C1E" w14:textId="77777777" w:rsidR="006F1CF5" w:rsidRPr="005F01BC" w:rsidRDefault="009C41E7" w:rsidP="00A66703">
      <w:pPr>
        <w:pStyle w:val="Style2"/>
        <w:numPr>
          <w:ilvl w:val="2"/>
          <w:numId w:val="7"/>
        </w:numPr>
        <w:spacing w:line="360" w:lineRule="auto"/>
        <w:jc w:val="both"/>
        <w:rPr>
          <w:rFonts w:asciiTheme="minorHAnsi" w:hAnsiTheme="minorHAnsi"/>
        </w:rPr>
      </w:pPr>
      <w:r w:rsidRPr="005F01BC">
        <w:rPr>
          <w:rFonts w:asciiTheme="minorHAnsi" w:hAnsiTheme="minorHAnsi"/>
          <w:i/>
        </w:rPr>
        <w:t xml:space="preserve">Originating </w:t>
      </w:r>
      <w:r w:rsidR="00370673" w:rsidRPr="005F01BC">
        <w:rPr>
          <w:rFonts w:asciiTheme="minorHAnsi" w:hAnsiTheme="minorHAnsi"/>
          <w:i/>
        </w:rPr>
        <w:t xml:space="preserve">process </w:t>
      </w:r>
      <w:r w:rsidRPr="005F01BC">
        <w:rPr>
          <w:rFonts w:asciiTheme="minorHAnsi" w:hAnsiTheme="minorHAnsi"/>
          <w:i/>
        </w:rPr>
        <w:t>required</w:t>
      </w:r>
      <w:r w:rsidRPr="005F01BC">
        <w:rPr>
          <w:rFonts w:asciiTheme="minorHAnsi" w:hAnsiTheme="minorHAnsi"/>
        </w:rPr>
        <w:t xml:space="preserve"> – an application concerning an act or omission of a receiver, or a controller appointed by the Court </w:t>
      </w:r>
      <w:r w:rsidR="0050486D" w:rsidRPr="005F01BC">
        <w:rPr>
          <w:rFonts w:asciiTheme="minorHAnsi" w:hAnsiTheme="minorHAnsi"/>
        </w:rPr>
        <w:t>(</w:t>
      </w:r>
      <w:r w:rsidR="00D13FDB" w:rsidRPr="005F01BC">
        <w:rPr>
          <w:rFonts w:asciiTheme="minorHAnsi" w:hAnsiTheme="minorHAnsi"/>
        </w:rPr>
        <w:t xml:space="preserve">see s 423(1)(b) of the </w:t>
      </w:r>
      <w:hyperlink r:id="rId18" w:history="1">
        <w:r w:rsidR="0050486D" w:rsidRPr="005F01BC">
          <w:rPr>
            <w:rStyle w:val="Hyperlink"/>
            <w:rFonts w:asciiTheme="minorHAnsi" w:hAnsiTheme="minorHAnsi"/>
          </w:rPr>
          <w:t>Corporations Act</w:t>
        </w:r>
      </w:hyperlink>
      <w:r w:rsidR="0050486D" w:rsidRPr="005F01BC">
        <w:rPr>
          <w:rFonts w:asciiTheme="minorHAnsi" w:hAnsiTheme="minorHAnsi"/>
        </w:rPr>
        <w:t xml:space="preserve">  </w:t>
      </w:r>
      <w:r w:rsidR="00D13FDB" w:rsidRPr="005F01BC">
        <w:rPr>
          <w:rFonts w:asciiTheme="minorHAnsi" w:hAnsiTheme="minorHAnsi"/>
        </w:rPr>
        <w:t xml:space="preserve">and r 4.1 of the </w:t>
      </w:r>
      <w:hyperlink r:id="rId19" w:history="1">
        <w:r w:rsidRPr="005F01BC">
          <w:rPr>
            <w:rStyle w:val="Hyperlink"/>
            <w:rFonts w:asciiTheme="minorHAnsi" w:hAnsiTheme="minorHAnsi"/>
          </w:rPr>
          <w:t>Corporations Rules</w:t>
        </w:r>
      </w:hyperlink>
      <w:r w:rsidR="0050486D" w:rsidRPr="005F01BC">
        <w:rPr>
          <w:rFonts w:asciiTheme="minorHAnsi" w:hAnsiTheme="minorHAnsi"/>
        </w:rPr>
        <w:t>);</w:t>
      </w:r>
    </w:p>
    <w:p w14:paraId="24C534C6" w14:textId="77777777" w:rsidR="009C41E7" w:rsidRPr="005F01BC" w:rsidRDefault="009C41E7" w:rsidP="00A66703">
      <w:pPr>
        <w:pStyle w:val="Style2"/>
        <w:numPr>
          <w:ilvl w:val="2"/>
          <w:numId w:val="7"/>
        </w:numPr>
        <w:spacing w:line="360" w:lineRule="auto"/>
        <w:jc w:val="both"/>
        <w:rPr>
          <w:rFonts w:asciiTheme="minorHAnsi" w:hAnsiTheme="minorHAnsi"/>
        </w:rPr>
      </w:pPr>
      <w:r w:rsidRPr="005F01BC">
        <w:rPr>
          <w:rFonts w:asciiTheme="minorHAnsi" w:hAnsiTheme="minorHAnsi"/>
          <w:i/>
        </w:rPr>
        <w:t xml:space="preserve">Interlocutory </w:t>
      </w:r>
      <w:r w:rsidR="00370673" w:rsidRPr="005F01BC">
        <w:rPr>
          <w:rFonts w:asciiTheme="minorHAnsi" w:hAnsiTheme="minorHAnsi"/>
          <w:i/>
        </w:rPr>
        <w:t xml:space="preserve">process </w:t>
      </w:r>
      <w:r w:rsidRPr="005F01BC">
        <w:rPr>
          <w:rFonts w:asciiTheme="minorHAnsi" w:hAnsiTheme="minorHAnsi"/>
          <w:i/>
        </w:rPr>
        <w:t>required</w:t>
      </w:r>
      <w:r w:rsidRPr="005F01BC">
        <w:rPr>
          <w:rFonts w:asciiTheme="minorHAnsi" w:hAnsiTheme="minorHAnsi"/>
        </w:rPr>
        <w:t xml:space="preserve"> </w:t>
      </w:r>
      <w:r w:rsidR="0050486D" w:rsidRPr="005F01BC">
        <w:rPr>
          <w:rFonts w:asciiTheme="minorHAnsi" w:hAnsiTheme="minorHAnsi"/>
        </w:rPr>
        <w:t>–</w:t>
      </w:r>
      <w:r w:rsidRPr="005F01BC">
        <w:rPr>
          <w:rFonts w:asciiTheme="minorHAnsi" w:hAnsiTheme="minorHAnsi"/>
        </w:rPr>
        <w:t xml:space="preserve"> </w:t>
      </w:r>
      <w:r w:rsidR="0050486D" w:rsidRPr="005F01BC">
        <w:rPr>
          <w:rFonts w:asciiTheme="minorHAnsi" w:hAnsiTheme="minorHAnsi"/>
        </w:rPr>
        <w:t>seeking a determination of a liquidator's remuneration (</w:t>
      </w:r>
      <w:r w:rsidR="00D13FDB" w:rsidRPr="005F01BC">
        <w:rPr>
          <w:rFonts w:asciiTheme="minorHAnsi" w:hAnsiTheme="minorHAnsi"/>
        </w:rPr>
        <w:t xml:space="preserve">See s 473(b)(ii) of the </w:t>
      </w:r>
      <w:hyperlink r:id="rId20" w:history="1">
        <w:r w:rsidR="0050486D" w:rsidRPr="005F01BC">
          <w:rPr>
            <w:rStyle w:val="Hyperlink"/>
            <w:rFonts w:asciiTheme="minorHAnsi" w:hAnsiTheme="minorHAnsi"/>
          </w:rPr>
          <w:t>Corporations Act</w:t>
        </w:r>
      </w:hyperlink>
      <w:r w:rsidR="0050486D" w:rsidRPr="005F01BC">
        <w:rPr>
          <w:rFonts w:asciiTheme="minorHAnsi" w:hAnsiTheme="minorHAnsi"/>
        </w:rPr>
        <w:t xml:space="preserve">  </w:t>
      </w:r>
      <w:r w:rsidR="00D13FDB" w:rsidRPr="005F01BC">
        <w:rPr>
          <w:rFonts w:asciiTheme="minorHAnsi" w:hAnsiTheme="minorHAnsi"/>
        </w:rPr>
        <w:t xml:space="preserve">and r 9.4(2)(a) of the </w:t>
      </w:r>
      <w:hyperlink r:id="rId21" w:history="1">
        <w:r w:rsidR="0050486D" w:rsidRPr="005F01BC">
          <w:rPr>
            <w:rStyle w:val="Hyperlink"/>
            <w:rFonts w:asciiTheme="minorHAnsi" w:hAnsiTheme="minorHAnsi"/>
          </w:rPr>
          <w:t>Corporations Rules</w:t>
        </w:r>
      </w:hyperlink>
      <w:r w:rsidR="0050486D" w:rsidRPr="005F01BC">
        <w:rPr>
          <w:rFonts w:asciiTheme="minorHAnsi" w:hAnsiTheme="minorHAnsi"/>
        </w:rPr>
        <w:t>).</w:t>
      </w:r>
    </w:p>
    <w:p w14:paraId="3C865CA8" w14:textId="77777777" w:rsidR="00FE199F" w:rsidRPr="005F01BC" w:rsidRDefault="0050486D" w:rsidP="00A66703">
      <w:pPr>
        <w:pStyle w:val="Heading8"/>
        <w:spacing w:line="360" w:lineRule="auto"/>
      </w:pPr>
      <w:r w:rsidRPr="005F01BC">
        <w:t>Non-prescribed Circumstances</w:t>
      </w:r>
    </w:p>
    <w:p w14:paraId="099D72E0" w14:textId="77777777" w:rsidR="0050486D" w:rsidRPr="005F01BC" w:rsidRDefault="0050486D" w:rsidP="00A66703">
      <w:pPr>
        <w:pStyle w:val="Style2"/>
        <w:numPr>
          <w:ilvl w:val="0"/>
          <w:numId w:val="7"/>
        </w:numPr>
        <w:spacing w:line="360" w:lineRule="auto"/>
        <w:jc w:val="both"/>
        <w:rPr>
          <w:rFonts w:asciiTheme="minorHAnsi" w:hAnsiTheme="minorHAnsi"/>
        </w:rPr>
      </w:pPr>
      <w:r w:rsidRPr="005F01BC">
        <w:rPr>
          <w:rFonts w:asciiTheme="minorHAnsi" w:hAnsiTheme="minorHAnsi"/>
        </w:rPr>
        <w:t xml:space="preserve">In circumstances where the relevant Acts or Rules do not expressly prescribe which type of application should be used, regard should be had to the following when deciding whether it is appropriate to file an interlocutory </w:t>
      </w:r>
      <w:r w:rsidR="003D3461" w:rsidRPr="005F01BC">
        <w:rPr>
          <w:rFonts w:asciiTheme="minorHAnsi" w:hAnsiTheme="minorHAnsi"/>
        </w:rPr>
        <w:t xml:space="preserve">process </w:t>
      </w:r>
      <w:r w:rsidRPr="005F01BC">
        <w:rPr>
          <w:rFonts w:asciiTheme="minorHAnsi" w:hAnsiTheme="minorHAnsi"/>
        </w:rPr>
        <w:t xml:space="preserve">(rather than an originating </w:t>
      </w:r>
      <w:r w:rsidR="003D3461" w:rsidRPr="005F01BC">
        <w:rPr>
          <w:rFonts w:asciiTheme="minorHAnsi" w:hAnsiTheme="minorHAnsi"/>
        </w:rPr>
        <w:t>process</w:t>
      </w:r>
      <w:r w:rsidRPr="005F01BC">
        <w:rPr>
          <w:rFonts w:asciiTheme="minorHAnsi" w:hAnsiTheme="minorHAnsi"/>
        </w:rPr>
        <w:t>) in a current or pre-existing proceeding:</w:t>
      </w:r>
    </w:p>
    <w:p w14:paraId="784CA6AE" w14:textId="77777777" w:rsidR="0050486D" w:rsidRPr="005F01BC" w:rsidRDefault="0050486D" w:rsidP="00A66703">
      <w:pPr>
        <w:pStyle w:val="Style2"/>
        <w:numPr>
          <w:ilvl w:val="1"/>
          <w:numId w:val="7"/>
        </w:numPr>
        <w:spacing w:line="360" w:lineRule="auto"/>
        <w:jc w:val="both"/>
        <w:rPr>
          <w:rFonts w:asciiTheme="minorHAnsi" w:hAnsiTheme="minorHAnsi"/>
        </w:rPr>
      </w:pPr>
      <w:r w:rsidRPr="005F01BC">
        <w:rPr>
          <w:rFonts w:asciiTheme="minorHAnsi" w:hAnsiTheme="minorHAnsi"/>
        </w:rPr>
        <w:t xml:space="preserve">whether the parties </w:t>
      </w:r>
      <w:r w:rsidR="00C44E31" w:rsidRPr="005F01BC">
        <w:rPr>
          <w:rFonts w:asciiTheme="minorHAnsi" w:hAnsiTheme="minorHAnsi"/>
        </w:rPr>
        <w:t>in the earlier proceeding and the application</w:t>
      </w:r>
      <w:r w:rsidRPr="005F01BC">
        <w:rPr>
          <w:rFonts w:asciiTheme="minorHAnsi" w:hAnsiTheme="minorHAnsi"/>
        </w:rPr>
        <w:t xml:space="preserve"> are common;</w:t>
      </w:r>
    </w:p>
    <w:p w14:paraId="2FA360F7" w14:textId="77777777" w:rsidR="0050486D" w:rsidRPr="005F01BC" w:rsidRDefault="0050486D" w:rsidP="00A66703">
      <w:pPr>
        <w:pStyle w:val="Style2"/>
        <w:numPr>
          <w:ilvl w:val="1"/>
          <w:numId w:val="7"/>
        </w:numPr>
        <w:spacing w:line="360" w:lineRule="auto"/>
        <w:jc w:val="both"/>
        <w:rPr>
          <w:rFonts w:asciiTheme="minorHAnsi" w:hAnsiTheme="minorHAnsi"/>
        </w:rPr>
      </w:pPr>
      <w:r w:rsidRPr="005F01BC">
        <w:rPr>
          <w:rFonts w:asciiTheme="minorHAnsi" w:hAnsiTheme="minorHAnsi"/>
        </w:rPr>
        <w:t xml:space="preserve">the legal and factual nexus between </w:t>
      </w:r>
      <w:r w:rsidR="00C44E31" w:rsidRPr="005F01BC">
        <w:rPr>
          <w:rFonts w:asciiTheme="minorHAnsi" w:hAnsiTheme="minorHAnsi"/>
        </w:rPr>
        <w:t>the</w:t>
      </w:r>
      <w:r w:rsidRPr="005F01BC">
        <w:rPr>
          <w:rFonts w:asciiTheme="minorHAnsi" w:hAnsiTheme="minorHAnsi"/>
        </w:rPr>
        <w:t xml:space="preserve"> </w:t>
      </w:r>
      <w:r w:rsidR="00C44E31" w:rsidRPr="005F01BC">
        <w:rPr>
          <w:rFonts w:asciiTheme="minorHAnsi" w:hAnsiTheme="minorHAnsi"/>
        </w:rPr>
        <w:t>earlier</w:t>
      </w:r>
      <w:r w:rsidRPr="005F01BC">
        <w:rPr>
          <w:rFonts w:asciiTheme="minorHAnsi" w:hAnsiTheme="minorHAnsi"/>
        </w:rPr>
        <w:t xml:space="preserve"> proceeding and the application;</w:t>
      </w:r>
    </w:p>
    <w:p w14:paraId="29CBB208" w14:textId="77777777" w:rsidR="0050486D" w:rsidRPr="005F01BC" w:rsidRDefault="0050486D" w:rsidP="00A66703">
      <w:pPr>
        <w:pStyle w:val="Style2"/>
        <w:numPr>
          <w:ilvl w:val="1"/>
          <w:numId w:val="7"/>
        </w:numPr>
        <w:spacing w:line="360" w:lineRule="auto"/>
        <w:jc w:val="both"/>
        <w:rPr>
          <w:rFonts w:asciiTheme="minorHAnsi" w:hAnsiTheme="minorHAnsi"/>
        </w:rPr>
      </w:pPr>
      <w:r w:rsidRPr="005F01BC">
        <w:rPr>
          <w:rFonts w:asciiTheme="minorHAnsi" w:hAnsiTheme="minorHAnsi"/>
        </w:rPr>
        <w:t xml:space="preserve">whether the </w:t>
      </w:r>
      <w:r w:rsidR="00C44E31" w:rsidRPr="005F01BC">
        <w:rPr>
          <w:rFonts w:asciiTheme="minorHAnsi" w:hAnsiTheme="minorHAnsi"/>
        </w:rPr>
        <w:t>earlier</w:t>
      </w:r>
      <w:r w:rsidRPr="005F01BC">
        <w:rPr>
          <w:rFonts w:asciiTheme="minorHAnsi" w:hAnsiTheme="minorHAnsi"/>
        </w:rPr>
        <w:t xml:space="preserve"> proceeding has been finally determined;</w:t>
      </w:r>
      <w:r w:rsidR="00C44E31" w:rsidRPr="005F01BC">
        <w:rPr>
          <w:rFonts w:asciiTheme="minorHAnsi" w:hAnsiTheme="minorHAnsi"/>
        </w:rPr>
        <w:t xml:space="preserve"> and</w:t>
      </w:r>
    </w:p>
    <w:p w14:paraId="0679AFA2" w14:textId="77777777" w:rsidR="0050486D" w:rsidRPr="005F01BC" w:rsidRDefault="0050486D" w:rsidP="00A66703">
      <w:pPr>
        <w:pStyle w:val="Style2"/>
        <w:numPr>
          <w:ilvl w:val="1"/>
          <w:numId w:val="7"/>
        </w:numPr>
        <w:spacing w:line="360" w:lineRule="auto"/>
        <w:jc w:val="both"/>
        <w:rPr>
          <w:rFonts w:asciiTheme="minorHAnsi" w:hAnsiTheme="minorHAnsi"/>
        </w:rPr>
      </w:pPr>
      <w:r w:rsidRPr="005F01BC">
        <w:rPr>
          <w:rFonts w:asciiTheme="minorHAnsi" w:hAnsiTheme="minorHAnsi"/>
        </w:rPr>
        <w:t xml:space="preserve">the length and complexity of the </w:t>
      </w:r>
      <w:r w:rsidR="00C44E31" w:rsidRPr="005F01BC">
        <w:rPr>
          <w:rFonts w:asciiTheme="minorHAnsi" w:hAnsiTheme="minorHAnsi"/>
        </w:rPr>
        <w:t>application.</w:t>
      </w:r>
    </w:p>
    <w:p w14:paraId="05537B59" w14:textId="77777777" w:rsidR="00FE199F" w:rsidRPr="005F01BC" w:rsidRDefault="00C44E31" w:rsidP="00A66703">
      <w:pPr>
        <w:pStyle w:val="Heading8"/>
        <w:spacing w:line="360" w:lineRule="auto"/>
      </w:pPr>
      <w:r w:rsidRPr="005F01BC">
        <w:t>Request for Pleadings</w:t>
      </w:r>
    </w:p>
    <w:p w14:paraId="6EAFC039" w14:textId="7AA07CD2" w:rsidR="008B75E8" w:rsidRPr="005F01BC" w:rsidRDefault="008138D0" w:rsidP="00A66703">
      <w:pPr>
        <w:pStyle w:val="Style2"/>
        <w:numPr>
          <w:ilvl w:val="0"/>
          <w:numId w:val="7"/>
        </w:numPr>
        <w:spacing w:line="360" w:lineRule="auto"/>
        <w:jc w:val="both"/>
        <w:rPr>
          <w:rFonts w:asciiTheme="minorHAnsi" w:hAnsiTheme="minorHAnsi"/>
        </w:rPr>
      </w:pPr>
      <w:r w:rsidRPr="005F01BC">
        <w:rPr>
          <w:rFonts w:asciiTheme="minorHAnsi" w:hAnsiTheme="minorHAnsi"/>
        </w:rPr>
        <w:t>Given that</w:t>
      </w:r>
      <w:r w:rsidR="00EE23D8" w:rsidRPr="005F01BC">
        <w:rPr>
          <w:rFonts w:asciiTheme="minorHAnsi" w:hAnsiTheme="minorHAnsi"/>
        </w:rPr>
        <w:t xml:space="preserve"> originating and interlocutory processes are accompanie</w:t>
      </w:r>
      <w:r w:rsidR="00C40D76" w:rsidRPr="005F01BC">
        <w:rPr>
          <w:rFonts w:asciiTheme="minorHAnsi" w:hAnsiTheme="minorHAnsi"/>
        </w:rPr>
        <w:t>d</w:t>
      </w:r>
      <w:r w:rsidR="00EE23D8" w:rsidRPr="005F01BC">
        <w:rPr>
          <w:rFonts w:asciiTheme="minorHAnsi" w:hAnsiTheme="minorHAnsi"/>
        </w:rPr>
        <w:t xml:space="preserve"> by supporting affidavits, </w:t>
      </w:r>
      <w:r w:rsidR="001C6C3C" w:rsidRPr="005F01BC">
        <w:rPr>
          <w:rFonts w:asciiTheme="minorHAnsi" w:hAnsiTheme="minorHAnsi"/>
        </w:rPr>
        <w:t xml:space="preserve">any application seeking </w:t>
      </w:r>
      <w:r w:rsidR="00EE23D8" w:rsidRPr="005F01BC">
        <w:rPr>
          <w:rFonts w:asciiTheme="minorHAnsi" w:hAnsiTheme="minorHAnsi"/>
        </w:rPr>
        <w:t>an order for pleadings</w:t>
      </w:r>
      <w:r w:rsidR="001C6C3C" w:rsidRPr="005F01BC">
        <w:rPr>
          <w:rFonts w:asciiTheme="minorHAnsi" w:hAnsiTheme="minorHAnsi"/>
        </w:rPr>
        <w:t xml:space="preserve"> should be included in </w:t>
      </w:r>
      <w:r w:rsidRPr="005F01BC">
        <w:rPr>
          <w:rFonts w:asciiTheme="minorHAnsi" w:hAnsiTheme="minorHAnsi"/>
        </w:rPr>
        <w:t>an</w:t>
      </w:r>
      <w:r w:rsidR="001C6C3C" w:rsidRPr="005F01BC">
        <w:rPr>
          <w:rFonts w:asciiTheme="minorHAnsi" w:hAnsiTheme="minorHAnsi"/>
        </w:rPr>
        <w:t xml:space="preserve"> originating </w:t>
      </w:r>
      <w:r w:rsidRPr="005F01BC">
        <w:rPr>
          <w:rFonts w:asciiTheme="minorHAnsi" w:hAnsiTheme="minorHAnsi"/>
        </w:rPr>
        <w:t>or</w:t>
      </w:r>
      <w:r w:rsidR="001C6C3C" w:rsidRPr="005F01BC">
        <w:rPr>
          <w:rFonts w:asciiTheme="minorHAnsi" w:hAnsiTheme="minorHAnsi"/>
        </w:rPr>
        <w:t xml:space="preserve"> interlocutory process.  </w:t>
      </w:r>
      <w:r w:rsidR="009870D2" w:rsidRPr="005F01BC">
        <w:rPr>
          <w:rFonts w:asciiTheme="minorHAnsi" w:hAnsiTheme="minorHAnsi"/>
        </w:rPr>
        <w:t xml:space="preserve">An originating or interlocutory process should not be amended </w:t>
      </w:r>
      <w:proofErr w:type="gramStart"/>
      <w:r w:rsidR="009870D2" w:rsidRPr="005F01BC">
        <w:rPr>
          <w:rFonts w:asciiTheme="minorHAnsi" w:hAnsiTheme="minorHAnsi"/>
        </w:rPr>
        <w:t>so as to</w:t>
      </w:r>
      <w:proofErr w:type="gramEnd"/>
      <w:r w:rsidR="009870D2" w:rsidRPr="005F01BC">
        <w:rPr>
          <w:rFonts w:asciiTheme="minorHAnsi" w:hAnsiTheme="minorHAnsi"/>
        </w:rPr>
        <w:t xml:space="preserve"> be converted into a pleading.</w:t>
      </w:r>
      <w:r w:rsidR="00466514">
        <w:rPr>
          <w:rFonts w:asciiTheme="minorHAnsi" w:hAnsiTheme="minorHAnsi"/>
        </w:rPr>
        <w:t xml:space="preserve">  </w:t>
      </w:r>
    </w:p>
    <w:p w14:paraId="676E4211" w14:textId="77777777" w:rsidR="00E9485A" w:rsidRPr="005F01BC" w:rsidRDefault="00E9485A" w:rsidP="00A66703">
      <w:pPr>
        <w:pStyle w:val="Heading7"/>
        <w:spacing w:line="360" w:lineRule="auto"/>
      </w:pPr>
      <w:r w:rsidRPr="005F01BC">
        <w:t xml:space="preserve">OPPRESSIVE CONDUCT OF AFFAIRS OF A COMPANY </w:t>
      </w:r>
    </w:p>
    <w:p w14:paraId="0BE96DA8" w14:textId="77777777" w:rsidR="0052096A" w:rsidRPr="005F01BC" w:rsidRDefault="00656337" w:rsidP="00A66703">
      <w:pPr>
        <w:pStyle w:val="Style2"/>
        <w:keepNext/>
        <w:keepLines/>
        <w:numPr>
          <w:ilvl w:val="0"/>
          <w:numId w:val="7"/>
        </w:numPr>
        <w:spacing w:line="360" w:lineRule="auto"/>
        <w:jc w:val="both"/>
        <w:rPr>
          <w:rFonts w:asciiTheme="minorHAnsi" w:hAnsiTheme="minorHAnsi"/>
        </w:rPr>
      </w:pPr>
      <w:r w:rsidRPr="005F01BC">
        <w:rPr>
          <w:rFonts w:asciiTheme="minorHAnsi" w:hAnsiTheme="minorHAnsi"/>
        </w:rPr>
        <w:t xml:space="preserve">Subject to options available to parties as set out in the </w:t>
      </w:r>
      <w:r w:rsidR="006A497A" w:rsidRPr="005F01BC">
        <w:rPr>
          <w:rFonts w:asciiTheme="minorHAnsi" w:hAnsiTheme="minorHAnsi"/>
        </w:rPr>
        <w:t>C</w:t>
      </w:r>
      <w:r w:rsidRPr="005F01BC">
        <w:rPr>
          <w:rFonts w:asciiTheme="minorHAnsi" w:hAnsiTheme="minorHAnsi"/>
        </w:rPr>
        <w:t xml:space="preserve">ommercial and </w:t>
      </w:r>
      <w:r w:rsidR="006A497A" w:rsidRPr="005F01BC">
        <w:rPr>
          <w:rFonts w:asciiTheme="minorHAnsi" w:hAnsiTheme="minorHAnsi"/>
        </w:rPr>
        <w:t>C</w:t>
      </w:r>
      <w:r w:rsidRPr="005F01BC">
        <w:rPr>
          <w:rFonts w:asciiTheme="minorHAnsi" w:hAnsiTheme="minorHAnsi"/>
        </w:rPr>
        <w:t xml:space="preserve">orporations </w:t>
      </w:r>
      <w:r w:rsidR="006A497A" w:rsidRPr="005F01BC">
        <w:rPr>
          <w:rFonts w:asciiTheme="minorHAnsi" w:hAnsiTheme="minorHAnsi"/>
        </w:rPr>
        <w:t>P</w:t>
      </w:r>
      <w:r w:rsidRPr="005F01BC">
        <w:rPr>
          <w:rFonts w:asciiTheme="minorHAnsi" w:hAnsiTheme="minorHAnsi"/>
        </w:rPr>
        <w:t xml:space="preserve">ractice </w:t>
      </w:r>
      <w:r w:rsidR="006A497A" w:rsidRPr="005F01BC">
        <w:rPr>
          <w:rFonts w:asciiTheme="minorHAnsi" w:hAnsiTheme="minorHAnsi"/>
        </w:rPr>
        <w:t>N</w:t>
      </w:r>
      <w:r w:rsidRPr="005F01BC">
        <w:rPr>
          <w:rFonts w:asciiTheme="minorHAnsi" w:hAnsiTheme="minorHAnsi"/>
        </w:rPr>
        <w:t>ote, a</w:t>
      </w:r>
      <w:r w:rsidR="0052096A" w:rsidRPr="005F01BC">
        <w:rPr>
          <w:rFonts w:asciiTheme="minorHAnsi" w:hAnsiTheme="minorHAnsi"/>
        </w:rPr>
        <w:t xml:space="preserve">pplications for relief under s 233 of the </w:t>
      </w:r>
      <w:hyperlink r:id="rId22" w:history="1">
        <w:r w:rsidR="0052096A" w:rsidRPr="005F01BC">
          <w:rPr>
            <w:rStyle w:val="Hyperlink"/>
            <w:rFonts w:asciiTheme="minorHAnsi" w:hAnsiTheme="minorHAnsi"/>
          </w:rPr>
          <w:t>Corporations Act</w:t>
        </w:r>
      </w:hyperlink>
      <w:r w:rsidR="0052096A" w:rsidRPr="005F01BC">
        <w:rPr>
          <w:rFonts w:asciiTheme="minorHAnsi" w:hAnsiTheme="minorHAnsi"/>
          <w:i/>
        </w:rPr>
        <w:t xml:space="preserve"> </w:t>
      </w:r>
      <w:r w:rsidR="0052096A" w:rsidRPr="005F01BC">
        <w:rPr>
          <w:rFonts w:asciiTheme="minorHAnsi" w:hAnsiTheme="minorHAnsi"/>
        </w:rPr>
        <w:t xml:space="preserve">(whether or not other relief is sought) are to be made by originating </w:t>
      </w:r>
      <w:r w:rsidR="003D3461" w:rsidRPr="005F01BC">
        <w:rPr>
          <w:rFonts w:asciiTheme="minorHAnsi" w:hAnsiTheme="minorHAnsi"/>
        </w:rPr>
        <w:t xml:space="preserve">process </w:t>
      </w:r>
      <w:r w:rsidR="0052096A" w:rsidRPr="005F01BC">
        <w:rPr>
          <w:rFonts w:asciiTheme="minorHAnsi" w:hAnsiTheme="minorHAnsi"/>
        </w:rPr>
        <w:t>supported by an affidavit which:</w:t>
      </w:r>
    </w:p>
    <w:p w14:paraId="15207397" w14:textId="77777777" w:rsidR="0052096A" w:rsidRPr="005F01BC" w:rsidRDefault="006406B3" w:rsidP="00A66703">
      <w:pPr>
        <w:pStyle w:val="Style2"/>
        <w:numPr>
          <w:ilvl w:val="1"/>
          <w:numId w:val="7"/>
        </w:numPr>
        <w:spacing w:line="360" w:lineRule="auto"/>
        <w:jc w:val="both"/>
        <w:rPr>
          <w:rFonts w:asciiTheme="minorHAnsi" w:hAnsiTheme="minorHAnsi"/>
        </w:rPr>
      </w:pPr>
      <w:r w:rsidRPr="005F01BC">
        <w:rPr>
          <w:rFonts w:asciiTheme="minorHAnsi" w:hAnsiTheme="minorHAnsi"/>
        </w:rPr>
        <w:t>s</w:t>
      </w:r>
      <w:r w:rsidR="00A66373" w:rsidRPr="005F01BC">
        <w:rPr>
          <w:rFonts w:asciiTheme="minorHAnsi" w:hAnsiTheme="minorHAnsi"/>
        </w:rPr>
        <w:t>hould be as brief as possible and in any event</w:t>
      </w:r>
      <w:r w:rsidR="0052096A" w:rsidRPr="005F01BC">
        <w:rPr>
          <w:rFonts w:asciiTheme="minorHAnsi" w:hAnsiTheme="minorHAnsi"/>
        </w:rPr>
        <w:t xml:space="preserve"> no more than </w:t>
      </w:r>
      <w:r w:rsidR="00D13FDB" w:rsidRPr="005F01BC">
        <w:rPr>
          <w:rFonts w:asciiTheme="minorHAnsi" w:hAnsiTheme="minorHAnsi"/>
        </w:rPr>
        <w:t xml:space="preserve">5 </w:t>
      </w:r>
      <w:r w:rsidR="0052096A" w:rsidRPr="005F01BC">
        <w:rPr>
          <w:rFonts w:asciiTheme="minorHAnsi" w:hAnsiTheme="minorHAnsi"/>
        </w:rPr>
        <w:t>pages in length;</w:t>
      </w:r>
    </w:p>
    <w:p w14:paraId="18FF2C1E" w14:textId="77777777" w:rsidR="0052096A" w:rsidRPr="005F01BC" w:rsidRDefault="00656337" w:rsidP="00A66703">
      <w:pPr>
        <w:pStyle w:val="Style2"/>
        <w:numPr>
          <w:ilvl w:val="1"/>
          <w:numId w:val="7"/>
        </w:numPr>
        <w:spacing w:line="360" w:lineRule="auto"/>
        <w:jc w:val="both"/>
        <w:rPr>
          <w:rFonts w:asciiTheme="minorHAnsi" w:hAnsiTheme="minorHAnsi"/>
        </w:rPr>
      </w:pPr>
      <w:r w:rsidRPr="005F01BC">
        <w:rPr>
          <w:rFonts w:asciiTheme="minorHAnsi" w:hAnsiTheme="minorHAnsi"/>
        </w:rPr>
        <w:t>s</w:t>
      </w:r>
      <w:r w:rsidR="0052096A" w:rsidRPr="005F01BC">
        <w:rPr>
          <w:rFonts w:asciiTheme="minorHAnsi" w:hAnsiTheme="minorHAnsi"/>
        </w:rPr>
        <w:t>ets out a clear and succinct summary of the facts alleged to constitute the acts of oppression;</w:t>
      </w:r>
    </w:p>
    <w:p w14:paraId="104C4096" w14:textId="77777777" w:rsidR="0052096A" w:rsidRPr="005F01BC" w:rsidRDefault="00656337" w:rsidP="00A66703">
      <w:pPr>
        <w:pStyle w:val="Style2"/>
        <w:numPr>
          <w:ilvl w:val="1"/>
          <w:numId w:val="7"/>
        </w:numPr>
        <w:spacing w:line="360" w:lineRule="auto"/>
        <w:jc w:val="both"/>
        <w:rPr>
          <w:rFonts w:asciiTheme="minorHAnsi" w:hAnsiTheme="minorHAnsi"/>
        </w:rPr>
      </w:pPr>
      <w:r w:rsidRPr="005F01BC">
        <w:rPr>
          <w:rFonts w:asciiTheme="minorHAnsi" w:hAnsiTheme="minorHAnsi"/>
        </w:rPr>
        <w:t>e</w:t>
      </w:r>
      <w:r w:rsidR="0052096A" w:rsidRPr="005F01BC">
        <w:rPr>
          <w:rFonts w:asciiTheme="minorHAnsi" w:hAnsiTheme="minorHAnsi"/>
        </w:rPr>
        <w:t xml:space="preserve">xhibits </w:t>
      </w:r>
      <w:r w:rsidRPr="005F01BC">
        <w:rPr>
          <w:rFonts w:asciiTheme="minorHAnsi" w:hAnsiTheme="minorHAnsi"/>
        </w:rPr>
        <w:t xml:space="preserve">only </w:t>
      </w:r>
      <w:r w:rsidR="0052096A" w:rsidRPr="005F01BC">
        <w:rPr>
          <w:rFonts w:asciiTheme="minorHAnsi" w:hAnsiTheme="minorHAnsi"/>
        </w:rPr>
        <w:t>a current ASIC search of the company</w:t>
      </w:r>
      <w:r w:rsidRPr="005F01BC">
        <w:rPr>
          <w:rFonts w:asciiTheme="minorHAnsi" w:hAnsiTheme="minorHAnsi"/>
        </w:rPr>
        <w:t xml:space="preserve">, </w:t>
      </w:r>
      <w:r w:rsidR="001D2FE5" w:rsidRPr="005F01BC">
        <w:rPr>
          <w:rFonts w:asciiTheme="minorHAnsi" w:hAnsiTheme="minorHAnsi"/>
        </w:rPr>
        <w:t>and</w:t>
      </w:r>
      <w:r w:rsidRPr="005F01BC">
        <w:rPr>
          <w:rFonts w:asciiTheme="minorHAnsi" w:hAnsiTheme="minorHAnsi"/>
        </w:rPr>
        <w:t xml:space="preserve"> no other exhibits</w:t>
      </w:r>
      <w:r w:rsidR="001D2FE5" w:rsidRPr="005F01BC">
        <w:rPr>
          <w:rFonts w:asciiTheme="minorHAnsi" w:hAnsiTheme="minorHAnsi"/>
        </w:rPr>
        <w:t>.</w:t>
      </w:r>
    </w:p>
    <w:p w14:paraId="58566B1F" w14:textId="18EFCC18" w:rsidR="0052096A" w:rsidRPr="005F01BC" w:rsidRDefault="00AD7156" w:rsidP="00A66703">
      <w:pPr>
        <w:pStyle w:val="Style2"/>
        <w:numPr>
          <w:ilvl w:val="0"/>
          <w:numId w:val="7"/>
        </w:numPr>
        <w:spacing w:line="360" w:lineRule="auto"/>
        <w:jc w:val="both"/>
        <w:rPr>
          <w:rFonts w:asciiTheme="minorHAnsi" w:hAnsiTheme="minorHAnsi"/>
        </w:rPr>
      </w:pPr>
      <w:r w:rsidRPr="00EB7946">
        <w:rPr>
          <w:rFonts w:asciiTheme="minorHAnsi" w:hAnsiTheme="minorHAnsi"/>
        </w:rPr>
        <w:t>In all cases</w:t>
      </w:r>
      <w:r w:rsidR="00AD7EE4" w:rsidRPr="00EB7946">
        <w:rPr>
          <w:rFonts w:asciiTheme="minorHAnsi" w:hAnsiTheme="minorHAnsi"/>
        </w:rPr>
        <w:t>,</w:t>
      </w:r>
      <w:r w:rsidRPr="00EB7946">
        <w:rPr>
          <w:rFonts w:asciiTheme="minorHAnsi" w:hAnsiTheme="minorHAnsi"/>
        </w:rPr>
        <w:t xml:space="preserve"> </w:t>
      </w:r>
      <w:r w:rsidR="00B85B01" w:rsidRPr="00EB7946">
        <w:rPr>
          <w:rFonts w:asciiTheme="minorHAnsi" w:hAnsiTheme="minorHAnsi"/>
        </w:rPr>
        <w:t>t</w:t>
      </w:r>
      <w:r w:rsidR="0052096A" w:rsidRPr="00EB7946">
        <w:rPr>
          <w:rFonts w:asciiTheme="minorHAnsi" w:hAnsiTheme="minorHAnsi"/>
        </w:rPr>
        <w:t xml:space="preserve">he application will </w:t>
      </w:r>
      <w:r w:rsidR="00B85B01" w:rsidRPr="00EB7946">
        <w:rPr>
          <w:rFonts w:asciiTheme="minorHAnsi" w:hAnsiTheme="minorHAnsi"/>
        </w:rPr>
        <w:t xml:space="preserve">first be </w:t>
      </w:r>
      <w:r w:rsidR="0052096A" w:rsidRPr="00EB7946">
        <w:rPr>
          <w:rFonts w:asciiTheme="minorHAnsi" w:hAnsiTheme="minorHAnsi"/>
        </w:rPr>
        <w:t xml:space="preserve">returnable before the </w:t>
      </w:r>
      <w:r w:rsidR="00D11B4E" w:rsidRPr="00EB7946">
        <w:rPr>
          <w:rFonts w:asciiTheme="minorHAnsi" w:hAnsiTheme="minorHAnsi"/>
        </w:rPr>
        <w:t>C</w:t>
      </w:r>
      <w:r w:rsidR="0052096A" w:rsidRPr="00EB7946">
        <w:rPr>
          <w:rFonts w:asciiTheme="minorHAnsi" w:hAnsiTheme="minorHAnsi"/>
        </w:rPr>
        <w:t>om</w:t>
      </w:r>
      <w:r w:rsidR="0052096A" w:rsidRPr="005F01BC">
        <w:rPr>
          <w:rFonts w:asciiTheme="minorHAnsi" w:hAnsiTheme="minorHAnsi"/>
        </w:rPr>
        <w:t xml:space="preserve">mercial and </w:t>
      </w:r>
      <w:r w:rsidR="00D11B4E" w:rsidRPr="005F01BC">
        <w:rPr>
          <w:rFonts w:asciiTheme="minorHAnsi" w:hAnsiTheme="minorHAnsi"/>
        </w:rPr>
        <w:t>C</w:t>
      </w:r>
      <w:r w:rsidR="0052096A" w:rsidRPr="005F01BC">
        <w:rPr>
          <w:rFonts w:asciiTheme="minorHAnsi" w:hAnsiTheme="minorHAnsi"/>
        </w:rPr>
        <w:t xml:space="preserve">orporations </w:t>
      </w:r>
      <w:r w:rsidR="00D11B4E" w:rsidRPr="005F01BC">
        <w:rPr>
          <w:rFonts w:asciiTheme="minorHAnsi" w:hAnsiTheme="minorHAnsi"/>
        </w:rPr>
        <w:t>D</w:t>
      </w:r>
      <w:r w:rsidR="0052096A" w:rsidRPr="005F01BC">
        <w:rPr>
          <w:rFonts w:asciiTheme="minorHAnsi" w:hAnsiTheme="minorHAnsi"/>
        </w:rPr>
        <w:t xml:space="preserve">uty </w:t>
      </w:r>
      <w:r w:rsidR="00D11B4E" w:rsidRPr="005F01BC">
        <w:rPr>
          <w:rFonts w:asciiTheme="minorHAnsi" w:hAnsiTheme="minorHAnsi"/>
        </w:rPr>
        <w:t>J</w:t>
      </w:r>
      <w:r w:rsidR="0052096A" w:rsidRPr="005F01BC">
        <w:rPr>
          <w:rFonts w:asciiTheme="minorHAnsi" w:hAnsiTheme="minorHAnsi"/>
        </w:rPr>
        <w:t>udge</w:t>
      </w:r>
      <w:r w:rsidR="001E5BE8" w:rsidRPr="005F01BC">
        <w:rPr>
          <w:rFonts w:asciiTheme="minorHAnsi" w:hAnsiTheme="minorHAnsi"/>
        </w:rPr>
        <w:t xml:space="preserve">. </w:t>
      </w:r>
      <w:r w:rsidR="00307362">
        <w:rPr>
          <w:rFonts w:asciiTheme="minorHAnsi" w:hAnsiTheme="minorHAnsi"/>
        </w:rPr>
        <w:t xml:space="preserve"> </w:t>
      </w:r>
      <w:r w:rsidR="001E5BE8">
        <w:rPr>
          <w:rFonts w:asciiTheme="minorHAnsi" w:hAnsiTheme="minorHAnsi"/>
        </w:rPr>
        <w:t>Unless urgent interlocutory relief is sought</w:t>
      </w:r>
      <w:r w:rsidR="00307362">
        <w:rPr>
          <w:rFonts w:asciiTheme="minorHAnsi" w:hAnsiTheme="minorHAnsi"/>
        </w:rPr>
        <w:t>,</w:t>
      </w:r>
      <w:r w:rsidR="001E5BE8">
        <w:rPr>
          <w:rFonts w:asciiTheme="minorHAnsi" w:hAnsiTheme="minorHAnsi"/>
        </w:rPr>
        <w:t xml:space="preserve"> the first return date will be approximately 4 weeks from the date of filing.  </w:t>
      </w:r>
      <w:r w:rsidR="0052096A" w:rsidRPr="005F01BC">
        <w:rPr>
          <w:rFonts w:asciiTheme="minorHAnsi" w:hAnsiTheme="minorHAnsi"/>
        </w:rPr>
        <w:t xml:space="preserve">The parties (as well as their legal </w:t>
      </w:r>
      <w:r w:rsidR="00483A3C" w:rsidRPr="005F01BC">
        <w:rPr>
          <w:rFonts w:asciiTheme="minorHAnsi" w:hAnsiTheme="minorHAnsi"/>
        </w:rPr>
        <w:t>representatives</w:t>
      </w:r>
      <w:r w:rsidR="0052096A" w:rsidRPr="005F01BC">
        <w:rPr>
          <w:rFonts w:asciiTheme="minorHAnsi" w:hAnsiTheme="minorHAnsi"/>
        </w:rPr>
        <w:t xml:space="preserve">) will be expected to attend that hearing.  </w:t>
      </w:r>
    </w:p>
    <w:p w14:paraId="065859AF" w14:textId="77777777" w:rsidR="0052096A" w:rsidRPr="005F01BC" w:rsidRDefault="0052096A" w:rsidP="00A66703">
      <w:pPr>
        <w:pStyle w:val="Style2"/>
        <w:numPr>
          <w:ilvl w:val="0"/>
          <w:numId w:val="7"/>
        </w:numPr>
        <w:spacing w:line="360" w:lineRule="auto"/>
        <w:jc w:val="both"/>
        <w:rPr>
          <w:rFonts w:asciiTheme="minorHAnsi" w:hAnsiTheme="minorHAnsi"/>
        </w:rPr>
      </w:pPr>
      <w:r w:rsidRPr="005F01BC">
        <w:rPr>
          <w:rFonts w:asciiTheme="minorHAnsi" w:hAnsiTheme="minorHAnsi"/>
        </w:rPr>
        <w:t xml:space="preserve">At that initial hearing, </w:t>
      </w:r>
      <w:r w:rsidR="001D2FE5" w:rsidRPr="005F01BC">
        <w:rPr>
          <w:rFonts w:asciiTheme="minorHAnsi" w:hAnsiTheme="minorHAnsi"/>
        </w:rPr>
        <w:t xml:space="preserve">in addition to the </w:t>
      </w:r>
      <w:r w:rsidR="00483A3C" w:rsidRPr="005F01BC">
        <w:rPr>
          <w:rFonts w:asciiTheme="minorHAnsi" w:hAnsiTheme="minorHAnsi"/>
        </w:rPr>
        <w:t xml:space="preserve">case management imperatives </w:t>
      </w:r>
      <w:r w:rsidR="001D2FE5" w:rsidRPr="005F01BC">
        <w:rPr>
          <w:rFonts w:asciiTheme="minorHAnsi" w:hAnsiTheme="minorHAnsi"/>
        </w:rPr>
        <w:t>(</w:t>
      </w:r>
      <w:r w:rsidR="00483A3C" w:rsidRPr="005F01BC">
        <w:rPr>
          <w:rFonts w:asciiTheme="minorHAnsi" w:hAnsiTheme="minorHAnsi"/>
        </w:rPr>
        <w:t xml:space="preserve">referred to in paragraph 6.7 of the Commercial </w:t>
      </w:r>
      <w:r w:rsidR="00FF5045" w:rsidRPr="005F01BC">
        <w:rPr>
          <w:rFonts w:asciiTheme="minorHAnsi" w:hAnsiTheme="minorHAnsi"/>
        </w:rPr>
        <w:t xml:space="preserve">and </w:t>
      </w:r>
      <w:r w:rsidR="00483A3C" w:rsidRPr="005F01BC">
        <w:rPr>
          <w:rFonts w:asciiTheme="minorHAnsi" w:hAnsiTheme="minorHAnsi"/>
        </w:rPr>
        <w:t>Corporations Practice Note</w:t>
      </w:r>
      <w:r w:rsidR="001D2FE5" w:rsidRPr="005F01BC">
        <w:rPr>
          <w:rFonts w:asciiTheme="minorHAnsi" w:hAnsiTheme="minorHAnsi"/>
        </w:rPr>
        <w:t xml:space="preserve">) </w:t>
      </w:r>
      <w:r w:rsidRPr="005F01BC">
        <w:rPr>
          <w:rFonts w:asciiTheme="minorHAnsi" w:hAnsiTheme="minorHAnsi"/>
        </w:rPr>
        <w:t xml:space="preserve">the parties will be expected to have considered the following and be </w:t>
      </w:r>
      <w:proofErr w:type="gramStart"/>
      <w:r w:rsidRPr="005F01BC">
        <w:rPr>
          <w:rFonts w:asciiTheme="minorHAnsi" w:hAnsiTheme="minorHAnsi"/>
        </w:rPr>
        <w:t>in a position</w:t>
      </w:r>
      <w:proofErr w:type="gramEnd"/>
      <w:r w:rsidRPr="005F01BC">
        <w:rPr>
          <w:rFonts w:asciiTheme="minorHAnsi" w:hAnsiTheme="minorHAnsi"/>
        </w:rPr>
        <w:t xml:space="preserve"> to address the Court</w:t>
      </w:r>
      <w:r w:rsidR="001D2FE5" w:rsidRPr="005F01BC">
        <w:rPr>
          <w:rFonts w:asciiTheme="minorHAnsi" w:hAnsiTheme="minorHAnsi"/>
        </w:rPr>
        <w:t xml:space="preserve"> on</w:t>
      </w:r>
      <w:r w:rsidRPr="005F01BC">
        <w:rPr>
          <w:rFonts w:asciiTheme="minorHAnsi" w:hAnsiTheme="minorHAnsi"/>
        </w:rPr>
        <w:t>:</w:t>
      </w:r>
    </w:p>
    <w:p w14:paraId="067544C0" w14:textId="77777777" w:rsidR="0052096A" w:rsidRPr="005F01BC" w:rsidRDefault="006406B3" w:rsidP="00A66703">
      <w:pPr>
        <w:pStyle w:val="Style2"/>
        <w:numPr>
          <w:ilvl w:val="1"/>
          <w:numId w:val="7"/>
        </w:numPr>
        <w:spacing w:line="360" w:lineRule="auto"/>
        <w:jc w:val="both"/>
        <w:rPr>
          <w:rFonts w:asciiTheme="minorHAnsi" w:hAnsiTheme="minorHAnsi"/>
        </w:rPr>
      </w:pPr>
      <w:r w:rsidRPr="005F01BC">
        <w:rPr>
          <w:rFonts w:asciiTheme="minorHAnsi" w:hAnsiTheme="minorHAnsi"/>
        </w:rPr>
        <w:t>w</w:t>
      </w:r>
      <w:r w:rsidR="001D2FE5" w:rsidRPr="005F01BC">
        <w:rPr>
          <w:rFonts w:asciiTheme="minorHAnsi" w:hAnsiTheme="minorHAnsi"/>
        </w:rPr>
        <w:t xml:space="preserve">hether </w:t>
      </w:r>
      <w:r w:rsidR="0052096A" w:rsidRPr="005F01BC">
        <w:rPr>
          <w:rFonts w:asciiTheme="minorHAnsi" w:hAnsiTheme="minorHAnsi"/>
        </w:rPr>
        <w:t xml:space="preserve">the matter </w:t>
      </w:r>
      <w:r w:rsidR="001D2FE5" w:rsidRPr="005F01BC">
        <w:rPr>
          <w:rFonts w:asciiTheme="minorHAnsi" w:hAnsiTheme="minorHAnsi"/>
        </w:rPr>
        <w:t xml:space="preserve">can </w:t>
      </w:r>
      <w:r w:rsidR="0052096A" w:rsidRPr="005F01BC">
        <w:rPr>
          <w:rFonts w:asciiTheme="minorHAnsi" w:hAnsiTheme="minorHAnsi"/>
        </w:rPr>
        <w:t>be resolved at that hearing and</w:t>
      </w:r>
      <w:r w:rsidR="001D2FE5" w:rsidRPr="005F01BC">
        <w:rPr>
          <w:rFonts w:asciiTheme="minorHAnsi" w:hAnsiTheme="minorHAnsi"/>
        </w:rPr>
        <w:t>,</w:t>
      </w:r>
      <w:r w:rsidR="0052096A" w:rsidRPr="005F01BC">
        <w:rPr>
          <w:rFonts w:asciiTheme="minorHAnsi" w:hAnsiTheme="minorHAnsi"/>
        </w:rPr>
        <w:t xml:space="preserve"> if so, on what terms</w:t>
      </w:r>
      <w:r w:rsidR="003373F1" w:rsidRPr="005F01BC">
        <w:rPr>
          <w:rFonts w:asciiTheme="minorHAnsi" w:hAnsiTheme="minorHAnsi"/>
        </w:rPr>
        <w:t>;</w:t>
      </w:r>
    </w:p>
    <w:p w14:paraId="5BDB39BD" w14:textId="77777777" w:rsidR="0052096A" w:rsidRPr="005F01BC" w:rsidRDefault="006406B3" w:rsidP="00A66703">
      <w:pPr>
        <w:pStyle w:val="Style2"/>
        <w:numPr>
          <w:ilvl w:val="1"/>
          <w:numId w:val="7"/>
        </w:numPr>
        <w:spacing w:line="360" w:lineRule="auto"/>
        <w:jc w:val="both"/>
        <w:rPr>
          <w:rFonts w:asciiTheme="minorHAnsi" w:hAnsiTheme="minorHAnsi"/>
        </w:rPr>
      </w:pPr>
      <w:r w:rsidRPr="005F01BC">
        <w:rPr>
          <w:rFonts w:asciiTheme="minorHAnsi" w:hAnsiTheme="minorHAnsi"/>
        </w:rPr>
        <w:t>w</w:t>
      </w:r>
      <w:r w:rsidR="0052096A" w:rsidRPr="005F01BC">
        <w:rPr>
          <w:rFonts w:asciiTheme="minorHAnsi" w:hAnsiTheme="minorHAnsi"/>
        </w:rPr>
        <w:t>hat steps, if any, are necessary before the matter can be resolved</w:t>
      </w:r>
      <w:r w:rsidR="00D13FDB" w:rsidRPr="005F01BC">
        <w:rPr>
          <w:rFonts w:asciiTheme="minorHAnsi" w:hAnsiTheme="minorHAnsi"/>
        </w:rPr>
        <w:t xml:space="preserve"> (</w:t>
      </w:r>
      <w:proofErr w:type="spellStart"/>
      <w:r w:rsidR="00D13FDB" w:rsidRPr="005F01BC">
        <w:rPr>
          <w:rFonts w:asciiTheme="minorHAnsi" w:hAnsiTheme="minorHAnsi"/>
        </w:rPr>
        <w:t>eg.</w:t>
      </w:r>
      <w:proofErr w:type="spellEnd"/>
      <w:r w:rsidR="001D2FE5" w:rsidRPr="005F01BC">
        <w:rPr>
          <w:rFonts w:asciiTheme="minorHAnsi" w:hAnsiTheme="minorHAnsi"/>
        </w:rPr>
        <w:t xml:space="preserve"> </w:t>
      </w:r>
      <w:r w:rsidR="0052096A" w:rsidRPr="005F01BC">
        <w:rPr>
          <w:rFonts w:asciiTheme="minorHAnsi" w:hAnsiTheme="minorHAnsi"/>
        </w:rPr>
        <w:t>access to the books of the company, a valuation required</w:t>
      </w:r>
      <w:r w:rsidR="001D2FE5" w:rsidRPr="005F01BC">
        <w:rPr>
          <w:rFonts w:asciiTheme="minorHAnsi" w:hAnsiTheme="minorHAnsi"/>
        </w:rPr>
        <w:t xml:space="preserve"> etc)</w:t>
      </w:r>
      <w:r w:rsidR="003373F1" w:rsidRPr="005F01BC">
        <w:rPr>
          <w:rFonts w:asciiTheme="minorHAnsi" w:hAnsiTheme="minorHAnsi"/>
        </w:rPr>
        <w:t>;</w:t>
      </w:r>
    </w:p>
    <w:p w14:paraId="0442E626" w14:textId="77777777" w:rsidR="0052096A" w:rsidRPr="005F01BC" w:rsidRDefault="006406B3" w:rsidP="00A66703">
      <w:pPr>
        <w:pStyle w:val="Style2"/>
        <w:numPr>
          <w:ilvl w:val="1"/>
          <w:numId w:val="7"/>
        </w:numPr>
        <w:spacing w:line="360" w:lineRule="auto"/>
        <w:jc w:val="both"/>
        <w:rPr>
          <w:rFonts w:asciiTheme="minorHAnsi" w:hAnsiTheme="minorHAnsi"/>
        </w:rPr>
      </w:pPr>
      <w:r w:rsidRPr="005F01BC">
        <w:rPr>
          <w:rFonts w:asciiTheme="minorHAnsi" w:hAnsiTheme="minorHAnsi"/>
        </w:rPr>
        <w:t>w</w:t>
      </w:r>
      <w:r w:rsidR="0052096A" w:rsidRPr="005F01BC">
        <w:rPr>
          <w:rFonts w:asciiTheme="minorHAnsi" w:hAnsiTheme="minorHAnsi"/>
        </w:rPr>
        <w:t>hat information, if any, is required before the dispute can be resolved</w:t>
      </w:r>
      <w:r w:rsidR="001D2FE5" w:rsidRPr="005F01BC">
        <w:rPr>
          <w:rFonts w:asciiTheme="minorHAnsi" w:hAnsiTheme="minorHAnsi"/>
        </w:rPr>
        <w:t>,</w:t>
      </w:r>
      <w:r w:rsidR="0052096A" w:rsidRPr="005F01BC">
        <w:rPr>
          <w:rFonts w:asciiTheme="minorHAnsi" w:hAnsiTheme="minorHAnsi"/>
        </w:rPr>
        <w:t xml:space="preserve"> and why.</w:t>
      </w:r>
    </w:p>
    <w:p w14:paraId="1583F528" w14:textId="77777777" w:rsidR="0052096A" w:rsidRDefault="00FF5045" w:rsidP="00A66703">
      <w:pPr>
        <w:pStyle w:val="Style2"/>
        <w:numPr>
          <w:ilvl w:val="0"/>
          <w:numId w:val="7"/>
        </w:numPr>
        <w:spacing w:line="360" w:lineRule="auto"/>
        <w:jc w:val="both"/>
        <w:rPr>
          <w:rFonts w:asciiTheme="minorHAnsi" w:hAnsiTheme="minorHAnsi"/>
        </w:rPr>
      </w:pPr>
      <w:r w:rsidRPr="005F01BC">
        <w:rPr>
          <w:rFonts w:asciiTheme="minorHAnsi" w:hAnsiTheme="minorHAnsi"/>
        </w:rPr>
        <w:t>If</w:t>
      </w:r>
      <w:r w:rsidR="0052096A" w:rsidRPr="005F01BC">
        <w:rPr>
          <w:rFonts w:asciiTheme="minorHAnsi" w:hAnsiTheme="minorHAnsi"/>
        </w:rPr>
        <w:t xml:space="preserve"> the matter does not resolve at that initial hearing, the matter will </w:t>
      </w:r>
      <w:r w:rsidR="001D2FE5" w:rsidRPr="005F01BC">
        <w:rPr>
          <w:rFonts w:asciiTheme="minorHAnsi" w:hAnsiTheme="minorHAnsi"/>
        </w:rPr>
        <w:t xml:space="preserve">usually </w:t>
      </w:r>
      <w:r w:rsidR="0052096A" w:rsidRPr="005F01BC">
        <w:rPr>
          <w:rFonts w:asciiTheme="minorHAnsi" w:hAnsiTheme="minorHAnsi"/>
        </w:rPr>
        <w:t xml:space="preserve">be referred to a </w:t>
      </w:r>
      <w:r w:rsidR="006406B3" w:rsidRPr="005F01BC">
        <w:rPr>
          <w:rFonts w:asciiTheme="minorHAnsi" w:hAnsiTheme="minorHAnsi"/>
        </w:rPr>
        <w:t>r</w:t>
      </w:r>
      <w:r w:rsidR="0052096A" w:rsidRPr="005F01BC">
        <w:rPr>
          <w:rFonts w:asciiTheme="minorHAnsi" w:hAnsiTheme="minorHAnsi"/>
        </w:rPr>
        <w:t xml:space="preserve">egistrar for mediation.  </w:t>
      </w:r>
      <w:proofErr w:type="gramStart"/>
      <w:r w:rsidR="0052096A" w:rsidRPr="005F01BC">
        <w:rPr>
          <w:rFonts w:asciiTheme="minorHAnsi" w:hAnsiTheme="minorHAnsi"/>
        </w:rPr>
        <w:t>In the event that</w:t>
      </w:r>
      <w:proofErr w:type="gramEnd"/>
      <w:r w:rsidR="0052096A" w:rsidRPr="005F01BC">
        <w:rPr>
          <w:rFonts w:asciiTheme="minorHAnsi" w:hAnsiTheme="minorHAnsi"/>
        </w:rPr>
        <w:t xml:space="preserve"> the matter does not settle at the mediation, the </w:t>
      </w:r>
      <w:r w:rsidR="006406B3" w:rsidRPr="005F01BC">
        <w:rPr>
          <w:rFonts w:asciiTheme="minorHAnsi" w:hAnsiTheme="minorHAnsi"/>
        </w:rPr>
        <w:t>r</w:t>
      </w:r>
      <w:r w:rsidR="0052096A" w:rsidRPr="005F01BC">
        <w:rPr>
          <w:rFonts w:asciiTheme="minorHAnsi" w:hAnsiTheme="minorHAnsi"/>
        </w:rPr>
        <w:t xml:space="preserve">egistrar </w:t>
      </w:r>
      <w:r w:rsidR="003373F1" w:rsidRPr="005F01BC">
        <w:rPr>
          <w:rFonts w:asciiTheme="minorHAnsi" w:hAnsiTheme="minorHAnsi"/>
        </w:rPr>
        <w:t xml:space="preserve">may </w:t>
      </w:r>
      <w:r w:rsidR="0052096A" w:rsidRPr="005F01BC">
        <w:rPr>
          <w:rFonts w:asciiTheme="minorHAnsi" w:hAnsiTheme="minorHAnsi"/>
        </w:rPr>
        <w:t xml:space="preserve">conduct a case management conference immediately following the mediation to consider the most economic and efficient means of </w:t>
      </w:r>
      <w:r w:rsidR="001D2FE5" w:rsidRPr="005F01BC">
        <w:rPr>
          <w:rFonts w:asciiTheme="minorHAnsi" w:hAnsiTheme="minorHAnsi"/>
        </w:rPr>
        <w:t>proceeding</w:t>
      </w:r>
      <w:r w:rsidR="0052096A" w:rsidRPr="005F01BC">
        <w:rPr>
          <w:rFonts w:asciiTheme="minorHAnsi" w:hAnsiTheme="minorHAnsi"/>
        </w:rPr>
        <w:t xml:space="preserve"> to </w:t>
      </w:r>
      <w:r w:rsidR="001D2FE5" w:rsidRPr="005F01BC">
        <w:rPr>
          <w:rFonts w:asciiTheme="minorHAnsi" w:hAnsiTheme="minorHAnsi"/>
        </w:rPr>
        <w:t xml:space="preserve">and </w:t>
      </w:r>
      <w:r w:rsidR="0052096A" w:rsidRPr="005F01BC">
        <w:rPr>
          <w:rFonts w:asciiTheme="minorHAnsi" w:hAnsiTheme="minorHAnsi"/>
        </w:rPr>
        <w:t xml:space="preserve">conducting the trial, at which conference the </w:t>
      </w:r>
      <w:r w:rsidR="004B4952" w:rsidRPr="005F01BC">
        <w:rPr>
          <w:rFonts w:asciiTheme="minorHAnsi" w:hAnsiTheme="minorHAnsi"/>
        </w:rPr>
        <w:t>r</w:t>
      </w:r>
      <w:r w:rsidR="0052096A" w:rsidRPr="005F01BC">
        <w:rPr>
          <w:rFonts w:asciiTheme="minorHAnsi" w:hAnsiTheme="minorHAnsi"/>
        </w:rPr>
        <w:t xml:space="preserve">egistrar may </w:t>
      </w:r>
      <w:r w:rsidR="001D2FE5" w:rsidRPr="005F01BC">
        <w:rPr>
          <w:rFonts w:asciiTheme="minorHAnsi" w:hAnsiTheme="minorHAnsi"/>
        </w:rPr>
        <w:t>make case management orders</w:t>
      </w:r>
      <w:r w:rsidR="0052096A" w:rsidRPr="005F01BC">
        <w:rPr>
          <w:rFonts w:asciiTheme="minorHAnsi" w:hAnsiTheme="minorHAnsi"/>
        </w:rPr>
        <w:t xml:space="preserve">.  </w:t>
      </w:r>
    </w:p>
    <w:p w14:paraId="4AE26BA3" w14:textId="77777777" w:rsidR="0049013A" w:rsidRPr="005F01BC" w:rsidRDefault="006F449D" w:rsidP="00A66703">
      <w:pPr>
        <w:pStyle w:val="Heading7"/>
        <w:spacing w:line="360" w:lineRule="auto"/>
      </w:pPr>
      <w:r w:rsidRPr="005F01BC">
        <w:t>CORPORATIONS MATTERS BEFORE A REGISTRAR</w:t>
      </w:r>
    </w:p>
    <w:p w14:paraId="6B483BEF" w14:textId="77777777" w:rsidR="0049013A" w:rsidRPr="005F01BC" w:rsidRDefault="006F449D" w:rsidP="00A66703">
      <w:pPr>
        <w:pStyle w:val="Style2"/>
        <w:numPr>
          <w:ilvl w:val="0"/>
          <w:numId w:val="7"/>
        </w:numPr>
        <w:spacing w:line="360" w:lineRule="auto"/>
        <w:jc w:val="both"/>
        <w:rPr>
          <w:rFonts w:asciiTheme="minorHAnsi" w:hAnsiTheme="minorHAnsi"/>
        </w:rPr>
      </w:pPr>
      <w:r w:rsidRPr="005F01BC">
        <w:rPr>
          <w:rFonts w:asciiTheme="minorHAnsi" w:hAnsiTheme="minorHAnsi"/>
        </w:rPr>
        <w:t xml:space="preserve">A significant proportion of </w:t>
      </w:r>
      <w:r w:rsidR="00D13FDB" w:rsidRPr="005F01BC">
        <w:rPr>
          <w:rFonts w:asciiTheme="minorHAnsi" w:hAnsiTheme="minorHAnsi"/>
        </w:rPr>
        <w:t>c</w:t>
      </w:r>
      <w:r w:rsidRPr="005F01BC">
        <w:rPr>
          <w:rFonts w:asciiTheme="minorHAnsi" w:hAnsiTheme="minorHAnsi"/>
        </w:rPr>
        <w:t xml:space="preserve">orporations matters are </w:t>
      </w:r>
      <w:r w:rsidR="00E26451" w:rsidRPr="005F01BC">
        <w:rPr>
          <w:rFonts w:asciiTheme="minorHAnsi" w:hAnsiTheme="minorHAnsi"/>
        </w:rPr>
        <w:t>heard</w:t>
      </w:r>
      <w:r w:rsidRPr="005F01BC">
        <w:rPr>
          <w:rFonts w:asciiTheme="minorHAnsi" w:hAnsiTheme="minorHAnsi"/>
        </w:rPr>
        <w:t xml:space="preserve"> and determined by </w:t>
      </w:r>
      <w:r w:rsidR="006406B3" w:rsidRPr="005F01BC">
        <w:rPr>
          <w:rFonts w:asciiTheme="minorHAnsi" w:hAnsiTheme="minorHAnsi"/>
        </w:rPr>
        <w:t>r</w:t>
      </w:r>
      <w:r w:rsidRPr="005F01BC">
        <w:rPr>
          <w:rFonts w:asciiTheme="minorHAnsi" w:hAnsiTheme="minorHAnsi"/>
        </w:rPr>
        <w:t xml:space="preserve">egistrars of the Court.  This includes </w:t>
      </w:r>
      <w:r w:rsidR="006406B3" w:rsidRPr="005F01BC">
        <w:rPr>
          <w:rFonts w:asciiTheme="minorHAnsi" w:hAnsiTheme="minorHAnsi"/>
        </w:rPr>
        <w:t>w</w:t>
      </w:r>
      <w:r w:rsidRPr="005F01BC">
        <w:rPr>
          <w:rFonts w:asciiTheme="minorHAnsi" w:hAnsiTheme="minorHAnsi"/>
        </w:rPr>
        <w:t xml:space="preserve">inding </w:t>
      </w:r>
      <w:r w:rsidR="006406B3" w:rsidRPr="005F01BC">
        <w:rPr>
          <w:rFonts w:asciiTheme="minorHAnsi" w:hAnsiTheme="minorHAnsi"/>
        </w:rPr>
        <w:t>u</w:t>
      </w:r>
      <w:r w:rsidRPr="005F01BC">
        <w:rPr>
          <w:rFonts w:asciiTheme="minorHAnsi" w:hAnsiTheme="minorHAnsi"/>
        </w:rPr>
        <w:t xml:space="preserve">p applications, applications to set aside a </w:t>
      </w:r>
      <w:r w:rsidR="006406B3" w:rsidRPr="005F01BC">
        <w:rPr>
          <w:rFonts w:asciiTheme="minorHAnsi" w:hAnsiTheme="minorHAnsi"/>
        </w:rPr>
        <w:t>s</w:t>
      </w:r>
      <w:r w:rsidRPr="005F01BC">
        <w:rPr>
          <w:rFonts w:asciiTheme="minorHAnsi" w:hAnsiTheme="minorHAnsi"/>
        </w:rPr>
        <w:t xml:space="preserve">tatutory </w:t>
      </w:r>
      <w:r w:rsidR="006406B3" w:rsidRPr="005F01BC">
        <w:rPr>
          <w:rFonts w:asciiTheme="minorHAnsi" w:hAnsiTheme="minorHAnsi"/>
        </w:rPr>
        <w:t>d</w:t>
      </w:r>
      <w:r w:rsidRPr="005F01BC">
        <w:rPr>
          <w:rFonts w:asciiTheme="minorHAnsi" w:hAnsiTheme="minorHAnsi"/>
        </w:rPr>
        <w:t xml:space="preserve">emand and </w:t>
      </w:r>
      <w:r w:rsidR="006406B3" w:rsidRPr="005F01BC">
        <w:rPr>
          <w:rFonts w:asciiTheme="minorHAnsi" w:hAnsiTheme="minorHAnsi"/>
        </w:rPr>
        <w:t>e</w:t>
      </w:r>
      <w:r w:rsidRPr="005F01BC">
        <w:rPr>
          <w:rFonts w:asciiTheme="minorHAnsi" w:hAnsiTheme="minorHAnsi"/>
        </w:rPr>
        <w:t xml:space="preserve">xaminations pursuant to ss 596A and 596B of the </w:t>
      </w:r>
      <w:hyperlink r:id="rId23" w:history="1">
        <w:r w:rsidRPr="005F01BC">
          <w:rPr>
            <w:rStyle w:val="Hyperlink"/>
            <w:rFonts w:asciiTheme="minorHAnsi" w:hAnsiTheme="minorHAnsi"/>
          </w:rPr>
          <w:t>Corporations Act</w:t>
        </w:r>
      </w:hyperlink>
      <w:r w:rsidRPr="005F01BC">
        <w:rPr>
          <w:rFonts w:asciiTheme="minorHAnsi" w:hAnsiTheme="minorHAnsi"/>
        </w:rPr>
        <w:t>.</w:t>
      </w:r>
      <w:r w:rsidR="00E26451" w:rsidRPr="005F01BC">
        <w:rPr>
          <w:rFonts w:asciiTheme="minorHAnsi" w:hAnsiTheme="minorHAnsi"/>
        </w:rPr>
        <w:t xml:space="preserve">  </w:t>
      </w:r>
      <w:r w:rsidR="00E26451" w:rsidRPr="005F01BC">
        <w:rPr>
          <w:rFonts w:asciiTheme="minorHAnsi" w:hAnsiTheme="minorHAnsi"/>
          <w:lang w:eastAsia="en-AU"/>
        </w:rPr>
        <w:t xml:space="preserve">Corporations matters within the delegated jurisdiction of a </w:t>
      </w:r>
      <w:r w:rsidR="006406B3" w:rsidRPr="005F01BC">
        <w:rPr>
          <w:rFonts w:asciiTheme="minorHAnsi" w:hAnsiTheme="minorHAnsi"/>
          <w:lang w:eastAsia="en-AU"/>
        </w:rPr>
        <w:t>r</w:t>
      </w:r>
      <w:r w:rsidR="00E26451" w:rsidRPr="005F01BC">
        <w:rPr>
          <w:rFonts w:asciiTheme="minorHAnsi" w:hAnsiTheme="minorHAnsi"/>
          <w:lang w:eastAsia="en-AU"/>
        </w:rPr>
        <w:t xml:space="preserve">egistrar are set out in </w:t>
      </w:r>
      <w:r w:rsidR="00DC6283" w:rsidRPr="005F01BC">
        <w:rPr>
          <w:rFonts w:asciiTheme="minorHAnsi" w:hAnsiTheme="minorHAnsi"/>
          <w:lang w:eastAsia="en-AU"/>
        </w:rPr>
        <w:br/>
      </w:r>
      <w:r w:rsidR="00E26451" w:rsidRPr="005F01BC">
        <w:rPr>
          <w:rFonts w:asciiTheme="minorHAnsi" w:hAnsiTheme="minorHAnsi"/>
          <w:lang w:eastAsia="en-AU"/>
        </w:rPr>
        <w:t xml:space="preserve">Schedule 2 of the </w:t>
      </w:r>
      <w:hyperlink r:id="rId24" w:history="1">
        <w:r w:rsidR="00984951" w:rsidRPr="005F01BC">
          <w:rPr>
            <w:rStyle w:val="Hyperlink"/>
            <w:rFonts w:asciiTheme="minorHAnsi" w:hAnsiTheme="minorHAnsi"/>
            <w:lang w:eastAsia="en-AU"/>
          </w:rPr>
          <w:t>Corporations Rules</w:t>
        </w:r>
      </w:hyperlink>
      <w:r w:rsidR="00E26451" w:rsidRPr="005F01BC">
        <w:rPr>
          <w:rFonts w:asciiTheme="minorHAnsi" w:hAnsiTheme="minorHAnsi"/>
          <w:lang w:eastAsia="en-AU"/>
        </w:rPr>
        <w:t>.</w:t>
      </w:r>
    </w:p>
    <w:p w14:paraId="729BD0DA" w14:textId="5665C791" w:rsidR="00396EB8" w:rsidRPr="00DD789C" w:rsidRDefault="006F449D" w:rsidP="003F591B">
      <w:pPr>
        <w:pStyle w:val="Style2"/>
        <w:numPr>
          <w:ilvl w:val="0"/>
          <w:numId w:val="7"/>
        </w:numPr>
        <w:spacing w:line="360" w:lineRule="auto"/>
        <w:jc w:val="both"/>
        <w:rPr>
          <w:rFonts w:ascii="Calibri" w:hAnsi="Calibri" w:cs="Calibri"/>
          <w:lang w:eastAsia="en-AU"/>
        </w:rPr>
      </w:pPr>
      <w:r w:rsidRPr="005F01BC">
        <w:rPr>
          <w:rFonts w:asciiTheme="minorHAnsi" w:hAnsiTheme="minorHAnsi"/>
          <w:lang w:eastAsia="en-AU"/>
        </w:rPr>
        <w:t xml:space="preserve">Arrangements for hearing </w:t>
      </w:r>
      <w:r w:rsidR="00584195" w:rsidRPr="005F01BC">
        <w:rPr>
          <w:rFonts w:asciiTheme="minorHAnsi" w:hAnsiTheme="minorHAnsi"/>
          <w:lang w:eastAsia="en-AU"/>
        </w:rPr>
        <w:t>c</w:t>
      </w:r>
      <w:r w:rsidRPr="005F01BC">
        <w:rPr>
          <w:rFonts w:asciiTheme="minorHAnsi" w:hAnsiTheme="minorHAnsi"/>
          <w:lang w:eastAsia="en-AU"/>
        </w:rPr>
        <w:t xml:space="preserve">orporations matters before a </w:t>
      </w:r>
      <w:r w:rsidR="004B4952" w:rsidRPr="005F01BC">
        <w:rPr>
          <w:rFonts w:asciiTheme="minorHAnsi" w:hAnsiTheme="minorHAnsi"/>
          <w:lang w:eastAsia="en-AU"/>
        </w:rPr>
        <w:t>r</w:t>
      </w:r>
      <w:r w:rsidRPr="005F01BC">
        <w:rPr>
          <w:rFonts w:asciiTheme="minorHAnsi" w:hAnsiTheme="minorHAnsi"/>
          <w:lang w:eastAsia="en-AU"/>
        </w:rPr>
        <w:t xml:space="preserve">egistrar and relevant information </w:t>
      </w:r>
      <w:r w:rsidR="00DE2027" w:rsidRPr="005F01BC">
        <w:rPr>
          <w:rFonts w:asciiTheme="minorHAnsi" w:hAnsiTheme="minorHAnsi"/>
          <w:lang w:eastAsia="en-AU"/>
        </w:rPr>
        <w:t xml:space="preserve">for </w:t>
      </w:r>
      <w:hyperlink r:id="rId25" w:anchor="registrar_list" w:history="1">
        <w:r w:rsidR="004B4952" w:rsidRPr="005F01BC">
          <w:rPr>
            <w:rStyle w:val="Hyperlink"/>
            <w:rFonts w:asciiTheme="minorHAnsi" w:hAnsiTheme="minorHAnsi"/>
            <w:lang w:eastAsia="en-AU"/>
          </w:rPr>
          <w:t>r</w:t>
        </w:r>
        <w:r w:rsidR="00DE2027" w:rsidRPr="005F01BC">
          <w:rPr>
            <w:rStyle w:val="Hyperlink"/>
            <w:rFonts w:asciiTheme="minorHAnsi" w:hAnsiTheme="minorHAnsi"/>
            <w:lang w:eastAsia="en-AU"/>
          </w:rPr>
          <w:t xml:space="preserve">egistrar </w:t>
        </w:r>
        <w:r w:rsidR="006500FE" w:rsidRPr="005F01BC">
          <w:rPr>
            <w:rStyle w:val="Hyperlink"/>
            <w:rFonts w:asciiTheme="minorHAnsi" w:hAnsiTheme="minorHAnsi"/>
            <w:lang w:eastAsia="en-AU"/>
          </w:rPr>
          <w:t>c</w:t>
        </w:r>
        <w:r w:rsidR="00DE2027" w:rsidRPr="005F01BC">
          <w:rPr>
            <w:rStyle w:val="Hyperlink"/>
            <w:rFonts w:asciiTheme="minorHAnsi" w:hAnsiTheme="minorHAnsi"/>
            <w:lang w:eastAsia="en-AU"/>
          </w:rPr>
          <w:t xml:space="preserve">orporations </w:t>
        </w:r>
        <w:r w:rsidR="004B4952" w:rsidRPr="005F01BC">
          <w:rPr>
            <w:rStyle w:val="Hyperlink"/>
            <w:rFonts w:asciiTheme="minorHAnsi" w:hAnsiTheme="minorHAnsi"/>
            <w:lang w:eastAsia="en-AU"/>
          </w:rPr>
          <w:t>l</w:t>
        </w:r>
        <w:r w:rsidR="00DE2027" w:rsidRPr="005F01BC">
          <w:rPr>
            <w:rStyle w:val="Hyperlink"/>
            <w:rFonts w:asciiTheme="minorHAnsi" w:hAnsiTheme="minorHAnsi"/>
            <w:lang w:eastAsia="en-AU"/>
          </w:rPr>
          <w:t>ists</w:t>
        </w:r>
      </w:hyperlink>
      <w:r w:rsidR="00DE2027" w:rsidRPr="005F01BC">
        <w:rPr>
          <w:rFonts w:asciiTheme="minorHAnsi" w:hAnsiTheme="minorHAnsi"/>
          <w:lang w:eastAsia="en-AU"/>
        </w:rPr>
        <w:t xml:space="preserve"> in each </w:t>
      </w:r>
      <w:r w:rsidR="004B4952" w:rsidRPr="005F01BC">
        <w:rPr>
          <w:rFonts w:asciiTheme="minorHAnsi" w:hAnsiTheme="minorHAnsi"/>
          <w:lang w:eastAsia="en-AU"/>
        </w:rPr>
        <w:t>r</w:t>
      </w:r>
      <w:r w:rsidR="00DE2027" w:rsidRPr="005F01BC">
        <w:rPr>
          <w:rFonts w:asciiTheme="minorHAnsi" w:hAnsiTheme="minorHAnsi"/>
          <w:lang w:eastAsia="en-AU"/>
        </w:rPr>
        <w:t xml:space="preserve">egistry is </w:t>
      </w:r>
      <w:r w:rsidR="00540D0C">
        <w:rPr>
          <w:rFonts w:asciiTheme="minorHAnsi" w:hAnsiTheme="minorHAnsi"/>
          <w:lang w:eastAsia="en-AU"/>
        </w:rPr>
        <w:t>available on the Court’s websit</w:t>
      </w:r>
      <w:r w:rsidR="00DD789C">
        <w:rPr>
          <w:rFonts w:asciiTheme="minorHAnsi" w:hAnsiTheme="minorHAnsi"/>
          <w:lang w:eastAsia="en-AU"/>
        </w:rPr>
        <w:t>e</w:t>
      </w:r>
    </w:p>
    <w:sectPr w:rsidR="00396EB8" w:rsidRPr="00DD789C" w:rsidSect="00187E51">
      <w:headerReference w:type="default" r:id="rId26"/>
      <w:footerReference w:type="default" r:id="rId2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3565FC" w14:textId="77777777" w:rsidR="007F1EDD" w:rsidRDefault="007F1EDD" w:rsidP="0052096A">
      <w:pPr>
        <w:spacing w:line="240" w:lineRule="auto"/>
      </w:pPr>
      <w:r>
        <w:separator/>
      </w:r>
    </w:p>
  </w:endnote>
  <w:endnote w:type="continuationSeparator" w:id="0">
    <w:p w14:paraId="44386765" w14:textId="77777777" w:rsidR="007F1EDD" w:rsidRDefault="007F1EDD" w:rsidP="005209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98E1F" w14:textId="77777777" w:rsidR="00FE33A2" w:rsidRDefault="00FE33A2">
    <w:pPr>
      <w:pStyle w:val="Footer"/>
      <w:jc w:val="right"/>
    </w:pPr>
  </w:p>
  <w:p w14:paraId="075DFC14" w14:textId="77777777" w:rsidR="00FE33A2" w:rsidRDefault="00FE33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825AC4" w14:textId="77777777" w:rsidR="007F1EDD" w:rsidRDefault="007F1EDD" w:rsidP="0052096A">
      <w:pPr>
        <w:spacing w:line="240" w:lineRule="auto"/>
      </w:pPr>
      <w:r>
        <w:separator/>
      </w:r>
    </w:p>
  </w:footnote>
  <w:footnote w:type="continuationSeparator" w:id="0">
    <w:p w14:paraId="49270557" w14:textId="77777777" w:rsidR="007F1EDD" w:rsidRDefault="007F1EDD" w:rsidP="005209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DC11B" w14:textId="77777777" w:rsidR="00FE33A2" w:rsidRDefault="00FE33A2" w:rsidP="00D558A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44907"/>
    <w:multiLevelType w:val="multilevel"/>
    <w:tmpl w:val="FFFFFFFF"/>
    <w:lvl w:ilvl="0">
      <w:start w:val="1"/>
      <w:numFmt w:val="decimal"/>
      <w:lvlText w:val="%1."/>
      <w:lvlJc w:val="left"/>
      <w:pPr>
        <w:tabs>
          <w:tab w:val="num" w:pos="624"/>
        </w:tabs>
        <w:ind w:left="624" w:hanging="624"/>
      </w:pPr>
      <w:rPr>
        <w:rFonts w:ascii="Calibri" w:hAnsi="Calibri" w:cs="Times New Roman" w:hint="default"/>
        <w:b w:val="0"/>
        <w:i w:val="0"/>
        <w:color w:val="auto"/>
        <w:sz w:val="22"/>
        <w:szCs w:val="22"/>
      </w:rPr>
    </w:lvl>
    <w:lvl w:ilvl="1">
      <w:start w:val="1"/>
      <w:numFmt w:val="lowerLetter"/>
      <w:lvlText w:val="(%2)"/>
      <w:lvlJc w:val="left"/>
      <w:pPr>
        <w:tabs>
          <w:tab w:val="num" w:pos="1474"/>
        </w:tabs>
        <w:ind w:left="1474" w:hanging="567"/>
      </w:pPr>
      <w:rPr>
        <w:rFonts w:cs="Times New Roman" w:hint="default"/>
      </w:rPr>
    </w:lvl>
    <w:lvl w:ilvl="2">
      <w:start w:val="1"/>
      <w:numFmt w:val="bullet"/>
      <w:lvlText w:val=""/>
      <w:lvlJc w:val="left"/>
      <w:pPr>
        <w:tabs>
          <w:tab w:val="num" w:pos="1474"/>
        </w:tabs>
        <w:ind w:left="1474" w:hanging="567"/>
      </w:pPr>
      <w:rPr>
        <w:rFonts w:ascii="Symbol" w:hAnsi="Symbol" w:hint="default"/>
        <w:b w:val="0"/>
        <w:i w:val="0"/>
        <w:color w:val="auto"/>
        <w:sz w:val="24"/>
      </w:rPr>
    </w:lvl>
    <w:lvl w:ilvl="3">
      <w:start w:val="1"/>
      <w:numFmt w:val="lowerRoman"/>
      <w:lvlText w:val="(%4)"/>
      <w:lvlJc w:val="left"/>
      <w:pPr>
        <w:tabs>
          <w:tab w:val="num" w:pos="2325"/>
        </w:tabs>
        <w:ind w:left="2325" w:hanging="567"/>
      </w:pPr>
      <w:rPr>
        <w:rFonts w:ascii="Calibri" w:hAnsi="Calibri" w:cs="Times New Roman" w:hint="default"/>
        <w:b w:val="0"/>
        <w:i w:val="0"/>
        <w:sz w:val="24"/>
      </w:rPr>
    </w:lvl>
    <w:lvl w:ilvl="4">
      <w:start w:val="1"/>
      <w:numFmt w:val="lowerLetter"/>
      <w:lvlText w:val="(%5)"/>
      <w:lvlJc w:val="left"/>
      <w:pPr>
        <w:ind w:left="4392" w:hanging="360"/>
      </w:pPr>
      <w:rPr>
        <w:rFonts w:cs="Times New Roman" w:hint="default"/>
      </w:rPr>
    </w:lvl>
    <w:lvl w:ilvl="5">
      <w:start w:val="1"/>
      <w:numFmt w:val="bullet"/>
      <w:lvlText w:val=""/>
      <w:lvlJc w:val="left"/>
      <w:pPr>
        <w:tabs>
          <w:tab w:val="num" w:pos="5112"/>
        </w:tabs>
        <w:ind w:left="5112" w:hanging="360"/>
      </w:pPr>
      <w:rPr>
        <w:rFonts w:ascii="Wingdings" w:hAnsi="Wingdings" w:hint="default"/>
        <w:sz w:val="20"/>
      </w:rPr>
    </w:lvl>
    <w:lvl w:ilvl="6">
      <w:start w:val="1"/>
      <w:numFmt w:val="bullet"/>
      <w:lvlText w:val=""/>
      <w:lvlJc w:val="left"/>
      <w:pPr>
        <w:tabs>
          <w:tab w:val="num" w:pos="5832"/>
        </w:tabs>
        <w:ind w:left="5832" w:hanging="360"/>
      </w:pPr>
      <w:rPr>
        <w:rFonts w:ascii="Wingdings" w:hAnsi="Wingdings" w:hint="default"/>
        <w:sz w:val="20"/>
      </w:rPr>
    </w:lvl>
    <w:lvl w:ilvl="7">
      <w:start w:val="1"/>
      <w:numFmt w:val="bullet"/>
      <w:lvlText w:val=""/>
      <w:lvlJc w:val="left"/>
      <w:pPr>
        <w:tabs>
          <w:tab w:val="num" w:pos="6552"/>
        </w:tabs>
        <w:ind w:left="6552" w:hanging="360"/>
      </w:pPr>
      <w:rPr>
        <w:rFonts w:ascii="Wingdings" w:hAnsi="Wingdings" w:hint="default"/>
        <w:sz w:val="20"/>
      </w:rPr>
    </w:lvl>
    <w:lvl w:ilvl="8">
      <w:start w:val="1"/>
      <w:numFmt w:val="bullet"/>
      <w:lvlText w:val=""/>
      <w:lvlJc w:val="left"/>
      <w:pPr>
        <w:tabs>
          <w:tab w:val="num" w:pos="7272"/>
        </w:tabs>
        <w:ind w:left="7272" w:hanging="360"/>
      </w:pPr>
      <w:rPr>
        <w:rFonts w:ascii="Wingdings" w:hAnsi="Wingdings" w:hint="default"/>
        <w:sz w:val="20"/>
      </w:rPr>
    </w:lvl>
  </w:abstractNum>
  <w:abstractNum w:abstractNumId="1" w15:restartNumberingAfterBreak="0">
    <w:nsid w:val="0F264EB6"/>
    <w:multiLevelType w:val="hybridMultilevel"/>
    <w:tmpl w:val="FFFFFFFF"/>
    <w:lvl w:ilvl="0" w:tplc="28A80EF6">
      <w:start w:val="1"/>
      <w:numFmt w:val="decimal"/>
      <w:lvlText w:val="%1."/>
      <w:lvlJc w:val="left"/>
      <w:pPr>
        <w:ind w:left="360" w:hanging="360"/>
      </w:pPr>
      <w:rPr>
        <w:rFonts w:cs="Times New Roman"/>
        <w:b w:val="0"/>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 w15:restartNumberingAfterBreak="0">
    <w:nsid w:val="12FC0D2D"/>
    <w:multiLevelType w:val="hybridMultilevel"/>
    <w:tmpl w:val="FFFFFFFF"/>
    <w:lvl w:ilvl="0" w:tplc="0C09000F">
      <w:start w:val="1"/>
      <w:numFmt w:val="decimal"/>
      <w:lvlText w:val="%1."/>
      <w:lvlJc w:val="left"/>
      <w:pPr>
        <w:ind w:left="360" w:hanging="360"/>
      </w:pPr>
      <w:rPr>
        <w:rFonts w:cs="Times New Roman"/>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3" w15:restartNumberingAfterBreak="0">
    <w:nsid w:val="150A54F8"/>
    <w:multiLevelType w:val="hybridMultilevel"/>
    <w:tmpl w:val="FFFFFFFF"/>
    <w:lvl w:ilvl="0" w:tplc="F6746D72">
      <w:start w:val="1"/>
      <w:numFmt w:val="bullet"/>
      <w:lvlText w:val=""/>
      <w:lvlJc w:val="left"/>
      <w:pPr>
        <w:tabs>
          <w:tab w:val="num" w:pos="1474"/>
        </w:tabs>
        <w:ind w:left="1474" w:hanging="567"/>
      </w:pPr>
      <w:rPr>
        <w:rFonts w:ascii="Symbol" w:hAnsi="Symbol" w:hint="default"/>
      </w:rPr>
    </w:lvl>
    <w:lvl w:ilvl="1" w:tplc="0C090003">
      <w:start w:val="1"/>
      <w:numFmt w:val="bullet"/>
      <w:lvlText w:val="o"/>
      <w:lvlJc w:val="left"/>
      <w:pPr>
        <w:ind w:left="1875" w:hanging="360"/>
      </w:pPr>
      <w:rPr>
        <w:rFonts w:ascii="Courier New" w:hAnsi="Courier New" w:hint="default"/>
      </w:rPr>
    </w:lvl>
    <w:lvl w:ilvl="2" w:tplc="0C090005" w:tentative="1">
      <w:start w:val="1"/>
      <w:numFmt w:val="bullet"/>
      <w:lvlText w:val=""/>
      <w:lvlJc w:val="left"/>
      <w:pPr>
        <w:ind w:left="2595" w:hanging="360"/>
      </w:pPr>
      <w:rPr>
        <w:rFonts w:ascii="Wingdings" w:hAnsi="Wingdings" w:hint="default"/>
      </w:rPr>
    </w:lvl>
    <w:lvl w:ilvl="3" w:tplc="0C090001" w:tentative="1">
      <w:start w:val="1"/>
      <w:numFmt w:val="bullet"/>
      <w:lvlText w:val=""/>
      <w:lvlJc w:val="left"/>
      <w:pPr>
        <w:ind w:left="3315" w:hanging="360"/>
      </w:pPr>
      <w:rPr>
        <w:rFonts w:ascii="Symbol" w:hAnsi="Symbol" w:hint="default"/>
      </w:rPr>
    </w:lvl>
    <w:lvl w:ilvl="4" w:tplc="0C090003" w:tentative="1">
      <w:start w:val="1"/>
      <w:numFmt w:val="bullet"/>
      <w:lvlText w:val="o"/>
      <w:lvlJc w:val="left"/>
      <w:pPr>
        <w:ind w:left="4035" w:hanging="360"/>
      </w:pPr>
      <w:rPr>
        <w:rFonts w:ascii="Courier New" w:hAnsi="Courier New" w:hint="default"/>
      </w:rPr>
    </w:lvl>
    <w:lvl w:ilvl="5" w:tplc="0C090005" w:tentative="1">
      <w:start w:val="1"/>
      <w:numFmt w:val="bullet"/>
      <w:lvlText w:val=""/>
      <w:lvlJc w:val="left"/>
      <w:pPr>
        <w:ind w:left="4755" w:hanging="360"/>
      </w:pPr>
      <w:rPr>
        <w:rFonts w:ascii="Wingdings" w:hAnsi="Wingdings" w:hint="default"/>
      </w:rPr>
    </w:lvl>
    <w:lvl w:ilvl="6" w:tplc="0C090001" w:tentative="1">
      <w:start w:val="1"/>
      <w:numFmt w:val="bullet"/>
      <w:lvlText w:val=""/>
      <w:lvlJc w:val="left"/>
      <w:pPr>
        <w:ind w:left="5475" w:hanging="360"/>
      </w:pPr>
      <w:rPr>
        <w:rFonts w:ascii="Symbol" w:hAnsi="Symbol" w:hint="default"/>
      </w:rPr>
    </w:lvl>
    <w:lvl w:ilvl="7" w:tplc="0C090003" w:tentative="1">
      <w:start w:val="1"/>
      <w:numFmt w:val="bullet"/>
      <w:lvlText w:val="o"/>
      <w:lvlJc w:val="left"/>
      <w:pPr>
        <w:ind w:left="6195" w:hanging="360"/>
      </w:pPr>
      <w:rPr>
        <w:rFonts w:ascii="Courier New" w:hAnsi="Courier New" w:hint="default"/>
      </w:rPr>
    </w:lvl>
    <w:lvl w:ilvl="8" w:tplc="0C090005" w:tentative="1">
      <w:start w:val="1"/>
      <w:numFmt w:val="bullet"/>
      <w:lvlText w:val=""/>
      <w:lvlJc w:val="left"/>
      <w:pPr>
        <w:ind w:left="6915" w:hanging="360"/>
      </w:pPr>
      <w:rPr>
        <w:rFonts w:ascii="Wingdings" w:hAnsi="Wingdings" w:hint="default"/>
      </w:rPr>
    </w:lvl>
  </w:abstractNum>
  <w:abstractNum w:abstractNumId="4" w15:restartNumberingAfterBreak="0">
    <w:nsid w:val="15DA7EEA"/>
    <w:multiLevelType w:val="multilevel"/>
    <w:tmpl w:val="FFFFFFFF"/>
    <w:lvl w:ilvl="0">
      <w:start w:val="1"/>
      <w:numFmt w:val="decimal"/>
      <w:lvlText w:val="%1."/>
      <w:lvlJc w:val="left"/>
      <w:pPr>
        <w:tabs>
          <w:tab w:val="num" w:pos="624"/>
        </w:tabs>
        <w:ind w:left="624" w:hanging="624"/>
      </w:pPr>
      <w:rPr>
        <w:rFonts w:ascii="Calibri" w:hAnsi="Calibri" w:cs="Times New Roman" w:hint="default"/>
        <w:b/>
        <w:i w:val="0"/>
        <w:sz w:val="26"/>
      </w:rPr>
    </w:lvl>
    <w:lvl w:ilvl="1">
      <w:start w:val="1"/>
      <w:numFmt w:val="decimal"/>
      <w:isLgl/>
      <w:lvlText w:val="%1.%2"/>
      <w:lvlJc w:val="left"/>
      <w:pPr>
        <w:tabs>
          <w:tab w:val="num" w:pos="624"/>
        </w:tabs>
        <w:ind w:left="624" w:hanging="624"/>
      </w:pPr>
      <w:rPr>
        <w:rFonts w:ascii="Calibri" w:hAnsi="Calibri" w:cs="Times New Roman" w:hint="default"/>
        <w:b w:val="0"/>
        <w:i w:val="0"/>
        <w:color w:val="auto"/>
        <w:sz w:val="24"/>
      </w:rPr>
    </w:lvl>
    <w:lvl w:ilvl="2">
      <w:start w:val="1"/>
      <w:numFmt w:val="lowerLetter"/>
      <w:lvlText w:val="(%3)"/>
      <w:lvlJc w:val="left"/>
      <w:pPr>
        <w:tabs>
          <w:tab w:val="num" w:pos="1474"/>
        </w:tabs>
        <w:ind w:left="1474" w:hanging="567"/>
      </w:pPr>
      <w:rPr>
        <w:rFonts w:ascii="Calibri" w:hAnsi="Calibri" w:cs="Times New Roman" w:hint="default"/>
        <w:b w:val="0"/>
        <w:i w:val="0"/>
        <w:sz w:val="24"/>
      </w:rPr>
    </w:lvl>
    <w:lvl w:ilvl="3">
      <w:start w:val="1"/>
      <w:numFmt w:val="bullet"/>
      <w:lvlText w:val=""/>
      <w:lvlJc w:val="left"/>
      <w:pPr>
        <w:tabs>
          <w:tab w:val="num" w:pos="1474"/>
        </w:tabs>
        <w:ind w:left="1474" w:hanging="567"/>
      </w:pPr>
      <w:rPr>
        <w:rFonts w:ascii="Symbol" w:hAnsi="Symbol" w:hint="default"/>
        <w:b w:val="0"/>
        <w:i w:val="0"/>
        <w:color w:val="auto"/>
        <w:sz w:val="24"/>
      </w:rPr>
    </w:lvl>
    <w:lvl w:ilvl="4">
      <w:start w:val="1"/>
      <w:numFmt w:val="bullet"/>
      <w:lvlText w:val=""/>
      <w:lvlJc w:val="left"/>
      <w:pPr>
        <w:tabs>
          <w:tab w:val="num" w:pos="2325"/>
        </w:tabs>
        <w:ind w:left="2325" w:hanging="567"/>
      </w:pPr>
      <w:rPr>
        <w:rFonts w:ascii="Symbol" w:hAnsi="Symbol" w:hint="default"/>
        <w:b w:val="0"/>
        <w:i w:val="0"/>
        <w:sz w:val="24"/>
      </w:rPr>
    </w:lvl>
    <w:lvl w:ilvl="5">
      <w:start w:val="1"/>
      <w:numFmt w:val="bullet"/>
      <w:lvlText w:val=""/>
      <w:lvlJc w:val="left"/>
      <w:pPr>
        <w:tabs>
          <w:tab w:val="num" w:pos="2325"/>
        </w:tabs>
        <w:ind w:left="2325" w:hanging="567"/>
      </w:pPr>
      <w:rPr>
        <w:rFonts w:ascii="Symbol" w:hAnsi="Symbol" w:hint="default"/>
        <w:b w:val="0"/>
        <w:i w:val="0"/>
        <w:color w:val="auto"/>
        <w:sz w:val="24"/>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5" w15:restartNumberingAfterBreak="0">
    <w:nsid w:val="1ECF3035"/>
    <w:multiLevelType w:val="multilevel"/>
    <w:tmpl w:val="FFFFFFFF"/>
    <w:lvl w:ilvl="0">
      <w:start w:val="1"/>
      <w:numFmt w:val="decimal"/>
      <w:lvlText w:val="%1."/>
      <w:lvlJc w:val="left"/>
      <w:pPr>
        <w:tabs>
          <w:tab w:val="num" w:pos="624"/>
        </w:tabs>
        <w:ind w:left="624" w:hanging="624"/>
      </w:pPr>
      <w:rPr>
        <w:rFonts w:ascii="Calibri" w:hAnsi="Calibri" w:cs="Times New Roman" w:hint="default"/>
        <w:b w:val="0"/>
        <w:i w:val="0"/>
        <w:color w:val="auto"/>
        <w:sz w:val="22"/>
        <w:szCs w:val="22"/>
      </w:rPr>
    </w:lvl>
    <w:lvl w:ilvl="1">
      <w:start w:val="1"/>
      <w:numFmt w:val="lowerLetter"/>
      <w:lvlText w:val="(%2)"/>
      <w:lvlJc w:val="left"/>
      <w:pPr>
        <w:tabs>
          <w:tab w:val="num" w:pos="1474"/>
        </w:tabs>
        <w:ind w:left="1474" w:hanging="567"/>
      </w:pPr>
      <w:rPr>
        <w:rFonts w:cs="Times New Roman" w:hint="default"/>
      </w:rPr>
    </w:lvl>
    <w:lvl w:ilvl="2">
      <w:start w:val="1"/>
      <w:numFmt w:val="bullet"/>
      <w:lvlText w:val=""/>
      <w:lvlJc w:val="left"/>
      <w:pPr>
        <w:tabs>
          <w:tab w:val="num" w:pos="1474"/>
        </w:tabs>
        <w:ind w:left="1474" w:hanging="567"/>
      </w:pPr>
      <w:rPr>
        <w:rFonts w:ascii="Symbol" w:hAnsi="Symbol" w:hint="default"/>
        <w:b w:val="0"/>
        <w:i w:val="0"/>
        <w:color w:val="auto"/>
        <w:sz w:val="24"/>
      </w:rPr>
    </w:lvl>
    <w:lvl w:ilvl="3">
      <w:start w:val="1"/>
      <w:numFmt w:val="lowerRoman"/>
      <w:lvlText w:val="(%4)"/>
      <w:lvlJc w:val="right"/>
      <w:pPr>
        <w:tabs>
          <w:tab w:val="num" w:pos="2325"/>
        </w:tabs>
        <w:ind w:left="2325" w:hanging="567"/>
      </w:pPr>
      <w:rPr>
        <w:rFonts w:ascii="Calibri" w:hAnsi="Calibri" w:cs="Times New Roman" w:hint="default"/>
        <w:b w:val="0"/>
        <w:i w:val="0"/>
        <w:sz w:val="24"/>
      </w:rPr>
    </w:lvl>
    <w:lvl w:ilvl="4">
      <w:start w:val="1"/>
      <w:numFmt w:val="lowerLetter"/>
      <w:lvlText w:val="(%5)"/>
      <w:lvlJc w:val="left"/>
      <w:pPr>
        <w:ind w:left="4392" w:hanging="360"/>
      </w:pPr>
      <w:rPr>
        <w:rFonts w:cs="Times New Roman" w:hint="default"/>
      </w:rPr>
    </w:lvl>
    <w:lvl w:ilvl="5">
      <w:start w:val="1"/>
      <w:numFmt w:val="bullet"/>
      <w:lvlText w:val=""/>
      <w:lvlJc w:val="left"/>
      <w:pPr>
        <w:tabs>
          <w:tab w:val="num" w:pos="5112"/>
        </w:tabs>
        <w:ind w:left="5112" w:hanging="360"/>
      </w:pPr>
      <w:rPr>
        <w:rFonts w:ascii="Wingdings" w:hAnsi="Wingdings" w:hint="default"/>
        <w:sz w:val="20"/>
      </w:rPr>
    </w:lvl>
    <w:lvl w:ilvl="6">
      <w:start w:val="1"/>
      <w:numFmt w:val="bullet"/>
      <w:lvlText w:val=""/>
      <w:lvlJc w:val="left"/>
      <w:pPr>
        <w:tabs>
          <w:tab w:val="num" w:pos="5832"/>
        </w:tabs>
        <w:ind w:left="5832" w:hanging="360"/>
      </w:pPr>
      <w:rPr>
        <w:rFonts w:ascii="Wingdings" w:hAnsi="Wingdings" w:hint="default"/>
        <w:sz w:val="20"/>
      </w:rPr>
    </w:lvl>
    <w:lvl w:ilvl="7">
      <w:start w:val="1"/>
      <w:numFmt w:val="bullet"/>
      <w:lvlText w:val=""/>
      <w:lvlJc w:val="left"/>
      <w:pPr>
        <w:tabs>
          <w:tab w:val="num" w:pos="6552"/>
        </w:tabs>
        <w:ind w:left="6552" w:hanging="360"/>
      </w:pPr>
      <w:rPr>
        <w:rFonts w:ascii="Wingdings" w:hAnsi="Wingdings" w:hint="default"/>
        <w:sz w:val="20"/>
      </w:rPr>
    </w:lvl>
    <w:lvl w:ilvl="8">
      <w:start w:val="1"/>
      <w:numFmt w:val="bullet"/>
      <w:lvlText w:val=""/>
      <w:lvlJc w:val="left"/>
      <w:pPr>
        <w:tabs>
          <w:tab w:val="num" w:pos="7272"/>
        </w:tabs>
        <w:ind w:left="7272" w:hanging="360"/>
      </w:pPr>
      <w:rPr>
        <w:rFonts w:ascii="Wingdings" w:hAnsi="Wingdings" w:hint="default"/>
        <w:sz w:val="20"/>
      </w:rPr>
    </w:lvl>
  </w:abstractNum>
  <w:abstractNum w:abstractNumId="6" w15:restartNumberingAfterBreak="0">
    <w:nsid w:val="263D37FF"/>
    <w:multiLevelType w:val="multilevel"/>
    <w:tmpl w:val="FFFFFFFF"/>
    <w:lvl w:ilvl="0">
      <w:start w:val="1"/>
      <w:numFmt w:val="decimal"/>
      <w:lvlText w:val="%1."/>
      <w:lvlJc w:val="left"/>
      <w:pPr>
        <w:tabs>
          <w:tab w:val="num" w:pos="624"/>
        </w:tabs>
        <w:ind w:left="624" w:hanging="624"/>
      </w:pPr>
      <w:rPr>
        <w:rFonts w:ascii="Calibri" w:hAnsi="Calibri" w:cs="Times New Roman" w:hint="default"/>
        <w:b w:val="0"/>
        <w:i w:val="0"/>
        <w:color w:val="auto"/>
        <w:sz w:val="22"/>
        <w:szCs w:val="22"/>
      </w:rPr>
    </w:lvl>
    <w:lvl w:ilvl="1">
      <w:start w:val="1"/>
      <w:numFmt w:val="lowerLetter"/>
      <w:lvlText w:val="(%2)"/>
      <w:lvlJc w:val="left"/>
      <w:pPr>
        <w:tabs>
          <w:tab w:val="num" w:pos="1474"/>
        </w:tabs>
        <w:ind w:left="1474" w:hanging="567"/>
      </w:pPr>
      <w:rPr>
        <w:rFonts w:cs="Times New Roman" w:hint="default"/>
      </w:rPr>
    </w:lvl>
    <w:lvl w:ilvl="2">
      <w:start w:val="1"/>
      <w:numFmt w:val="bullet"/>
      <w:lvlText w:val=""/>
      <w:lvlJc w:val="left"/>
      <w:pPr>
        <w:tabs>
          <w:tab w:val="num" w:pos="1474"/>
        </w:tabs>
        <w:ind w:left="1474" w:hanging="567"/>
      </w:pPr>
      <w:rPr>
        <w:rFonts w:ascii="Symbol" w:hAnsi="Symbol" w:hint="default"/>
        <w:b w:val="0"/>
        <w:i w:val="0"/>
        <w:color w:val="auto"/>
        <w:sz w:val="24"/>
      </w:rPr>
    </w:lvl>
    <w:lvl w:ilvl="3">
      <w:start w:val="1"/>
      <w:numFmt w:val="lowerRoman"/>
      <w:lvlText w:val="(%4)"/>
      <w:lvlJc w:val="left"/>
      <w:pPr>
        <w:tabs>
          <w:tab w:val="num" w:pos="2325"/>
        </w:tabs>
        <w:ind w:left="2325" w:hanging="567"/>
      </w:pPr>
      <w:rPr>
        <w:rFonts w:ascii="Calibri" w:hAnsi="Calibri" w:cs="Times New Roman" w:hint="default"/>
        <w:b w:val="0"/>
        <w:i w:val="0"/>
        <w:sz w:val="24"/>
      </w:rPr>
    </w:lvl>
    <w:lvl w:ilvl="4">
      <w:start w:val="1"/>
      <w:numFmt w:val="lowerLetter"/>
      <w:lvlText w:val="(%5)"/>
      <w:lvlJc w:val="left"/>
      <w:pPr>
        <w:ind w:left="4392" w:hanging="360"/>
      </w:pPr>
      <w:rPr>
        <w:rFonts w:cs="Times New Roman" w:hint="default"/>
      </w:rPr>
    </w:lvl>
    <w:lvl w:ilvl="5">
      <w:start w:val="1"/>
      <w:numFmt w:val="bullet"/>
      <w:lvlText w:val=""/>
      <w:lvlJc w:val="left"/>
      <w:pPr>
        <w:tabs>
          <w:tab w:val="num" w:pos="5112"/>
        </w:tabs>
        <w:ind w:left="5112" w:hanging="360"/>
      </w:pPr>
      <w:rPr>
        <w:rFonts w:ascii="Wingdings" w:hAnsi="Wingdings" w:hint="default"/>
        <w:sz w:val="20"/>
      </w:rPr>
    </w:lvl>
    <w:lvl w:ilvl="6">
      <w:start w:val="1"/>
      <w:numFmt w:val="bullet"/>
      <w:lvlText w:val=""/>
      <w:lvlJc w:val="left"/>
      <w:pPr>
        <w:tabs>
          <w:tab w:val="num" w:pos="5832"/>
        </w:tabs>
        <w:ind w:left="5832" w:hanging="360"/>
      </w:pPr>
      <w:rPr>
        <w:rFonts w:ascii="Wingdings" w:hAnsi="Wingdings" w:hint="default"/>
        <w:sz w:val="20"/>
      </w:rPr>
    </w:lvl>
    <w:lvl w:ilvl="7">
      <w:start w:val="1"/>
      <w:numFmt w:val="bullet"/>
      <w:lvlText w:val=""/>
      <w:lvlJc w:val="left"/>
      <w:pPr>
        <w:tabs>
          <w:tab w:val="num" w:pos="6552"/>
        </w:tabs>
        <w:ind w:left="6552" w:hanging="360"/>
      </w:pPr>
      <w:rPr>
        <w:rFonts w:ascii="Wingdings" w:hAnsi="Wingdings" w:hint="default"/>
        <w:sz w:val="20"/>
      </w:rPr>
    </w:lvl>
    <w:lvl w:ilvl="8">
      <w:start w:val="1"/>
      <w:numFmt w:val="bullet"/>
      <w:lvlText w:val=""/>
      <w:lvlJc w:val="left"/>
      <w:pPr>
        <w:tabs>
          <w:tab w:val="num" w:pos="7272"/>
        </w:tabs>
        <w:ind w:left="7272" w:hanging="360"/>
      </w:pPr>
      <w:rPr>
        <w:rFonts w:ascii="Wingdings" w:hAnsi="Wingdings" w:hint="default"/>
        <w:sz w:val="20"/>
      </w:rPr>
    </w:lvl>
  </w:abstractNum>
  <w:abstractNum w:abstractNumId="7" w15:restartNumberingAfterBreak="0">
    <w:nsid w:val="2DF12B1C"/>
    <w:multiLevelType w:val="multilevel"/>
    <w:tmpl w:val="FFFFFFFF"/>
    <w:lvl w:ilvl="0">
      <w:start w:val="1"/>
      <w:numFmt w:val="decimal"/>
      <w:pStyle w:val="Heading3"/>
      <w:lvlText w:val="%1."/>
      <w:lvlJc w:val="left"/>
      <w:pPr>
        <w:tabs>
          <w:tab w:val="num" w:pos="624"/>
        </w:tabs>
        <w:ind w:left="624" w:hanging="624"/>
      </w:pPr>
      <w:rPr>
        <w:rFonts w:ascii="Calibri" w:hAnsi="Calibri" w:cs="Times New Roman" w:hint="default"/>
        <w:b/>
        <w:i w:val="0"/>
        <w:sz w:val="26"/>
      </w:rPr>
    </w:lvl>
    <w:lvl w:ilvl="1">
      <w:start w:val="1"/>
      <w:numFmt w:val="decimal"/>
      <w:isLgl/>
      <w:lvlText w:val="%1.%2"/>
      <w:lvlJc w:val="left"/>
      <w:pPr>
        <w:tabs>
          <w:tab w:val="num" w:pos="624"/>
        </w:tabs>
        <w:ind w:left="624" w:hanging="624"/>
      </w:pPr>
      <w:rPr>
        <w:rFonts w:ascii="Calibri" w:hAnsi="Calibri" w:cs="Times New Roman" w:hint="default"/>
        <w:b w:val="0"/>
        <w:i w:val="0"/>
        <w:color w:val="auto"/>
        <w:sz w:val="24"/>
      </w:rPr>
    </w:lvl>
    <w:lvl w:ilvl="2">
      <w:start w:val="1"/>
      <w:numFmt w:val="lowerLetter"/>
      <w:lvlText w:val="(%3)"/>
      <w:lvlJc w:val="left"/>
      <w:pPr>
        <w:tabs>
          <w:tab w:val="num" w:pos="1474"/>
        </w:tabs>
        <w:ind w:left="1474" w:hanging="567"/>
      </w:pPr>
      <w:rPr>
        <w:rFonts w:ascii="Calibri" w:hAnsi="Calibri" w:cs="Times New Roman" w:hint="default"/>
        <w:b w:val="0"/>
        <w:i w:val="0"/>
        <w:sz w:val="24"/>
      </w:rPr>
    </w:lvl>
    <w:lvl w:ilvl="3">
      <w:start w:val="1"/>
      <w:numFmt w:val="bullet"/>
      <w:lvlText w:val=""/>
      <w:lvlJc w:val="left"/>
      <w:pPr>
        <w:tabs>
          <w:tab w:val="num" w:pos="1474"/>
        </w:tabs>
        <w:ind w:left="1474" w:hanging="567"/>
      </w:pPr>
      <w:rPr>
        <w:rFonts w:ascii="Symbol" w:hAnsi="Symbol" w:hint="default"/>
        <w:b w:val="0"/>
        <w:i w:val="0"/>
        <w:color w:val="auto"/>
        <w:sz w:val="24"/>
      </w:rPr>
    </w:lvl>
    <w:lvl w:ilvl="4">
      <w:start w:val="1"/>
      <w:numFmt w:val="lowerRoman"/>
      <w:lvlText w:val="(%5)"/>
      <w:lvlJc w:val="left"/>
      <w:pPr>
        <w:tabs>
          <w:tab w:val="num" w:pos="2325"/>
        </w:tabs>
        <w:ind w:left="2325" w:hanging="567"/>
      </w:pPr>
      <w:rPr>
        <w:rFonts w:ascii="Calibri" w:hAnsi="Calibri" w:cs="Times New Roman" w:hint="default"/>
        <w:b w:val="0"/>
        <w:i w:val="0"/>
        <w:sz w:val="24"/>
      </w:rPr>
    </w:lvl>
    <w:lvl w:ilvl="5">
      <w:start w:val="1"/>
      <w:numFmt w:val="bullet"/>
      <w:lvlText w:val=""/>
      <w:lvlJc w:val="left"/>
      <w:pPr>
        <w:tabs>
          <w:tab w:val="num" w:pos="2325"/>
        </w:tabs>
        <w:ind w:left="2325" w:hanging="567"/>
      </w:pPr>
      <w:rPr>
        <w:rFonts w:ascii="Symbol" w:hAnsi="Symbol" w:hint="default"/>
        <w:b w:val="0"/>
        <w:i w:val="0"/>
        <w:color w:val="auto"/>
        <w:sz w:val="24"/>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8" w15:restartNumberingAfterBreak="0">
    <w:nsid w:val="3D883AC8"/>
    <w:multiLevelType w:val="multilevel"/>
    <w:tmpl w:val="FFFFFFFF"/>
    <w:lvl w:ilvl="0">
      <w:start w:val="1"/>
      <w:numFmt w:val="decimal"/>
      <w:lvlText w:val="%1."/>
      <w:lvlJc w:val="left"/>
      <w:pPr>
        <w:tabs>
          <w:tab w:val="num" w:pos="624"/>
        </w:tabs>
        <w:ind w:left="624" w:hanging="624"/>
      </w:pPr>
      <w:rPr>
        <w:rFonts w:ascii="Calibri" w:hAnsi="Calibri" w:cs="Times New Roman" w:hint="default"/>
        <w:b/>
        <w:i w:val="0"/>
        <w:sz w:val="26"/>
      </w:rPr>
    </w:lvl>
    <w:lvl w:ilvl="1">
      <w:start w:val="1"/>
      <w:numFmt w:val="decimal"/>
      <w:isLgl/>
      <w:lvlText w:val="%1.%2"/>
      <w:lvlJc w:val="left"/>
      <w:pPr>
        <w:tabs>
          <w:tab w:val="num" w:pos="624"/>
        </w:tabs>
        <w:ind w:left="624" w:hanging="624"/>
      </w:pPr>
      <w:rPr>
        <w:rFonts w:ascii="Calibri" w:hAnsi="Calibri" w:cs="Times New Roman" w:hint="default"/>
        <w:b w:val="0"/>
        <w:i w:val="0"/>
        <w:color w:val="auto"/>
        <w:sz w:val="24"/>
      </w:rPr>
    </w:lvl>
    <w:lvl w:ilvl="2">
      <w:start w:val="1"/>
      <w:numFmt w:val="lowerLetter"/>
      <w:lvlText w:val="(%3)"/>
      <w:lvlJc w:val="left"/>
      <w:pPr>
        <w:tabs>
          <w:tab w:val="num" w:pos="1474"/>
        </w:tabs>
        <w:ind w:left="1474" w:hanging="567"/>
      </w:pPr>
      <w:rPr>
        <w:rFonts w:ascii="Calibri" w:hAnsi="Calibri" w:cs="Times New Roman" w:hint="default"/>
        <w:b w:val="0"/>
        <w:i w:val="0"/>
        <w:sz w:val="24"/>
      </w:rPr>
    </w:lvl>
    <w:lvl w:ilvl="3">
      <w:start w:val="1"/>
      <w:numFmt w:val="bullet"/>
      <w:lvlText w:val=""/>
      <w:lvlJc w:val="left"/>
      <w:pPr>
        <w:tabs>
          <w:tab w:val="num" w:pos="1474"/>
        </w:tabs>
        <w:ind w:left="1474" w:hanging="567"/>
      </w:pPr>
      <w:rPr>
        <w:rFonts w:ascii="Symbol" w:hAnsi="Symbol" w:hint="default"/>
        <w:b w:val="0"/>
        <w:i w:val="0"/>
        <w:color w:val="auto"/>
        <w:sz w:val="24"/>
      </w:rPr>
    </w:lvl>
    <w:lvl w:ilvl="4">
      <w:start w:val="1"/>
      <w:numFmt w:val="bullet"/>
      <w:lvlText w:val=""/>
      <w:lvlJc w:val="left"/>
      <w:pPr>
        <w:tabs>
          <w:tab w:val="num" w:pos="2325"/>
        </w:tabs>
        <w:ind w:left="2325" w:hanging="567"/>
      </w:pPr>
      <w:rPr>
        <w:rFonts w:ascii="Symbol" w:hAnsi="Symbol" w:hint="default"/>
        <w:b w:val="0"/>
        <w:i w:val="0"/>
        <w:sz w:val="24"/>
      </w:rPr>
    </w:lvl>
    <w:lvl w:ilvl="5">
      <w:start w:val="1"/>
      <w:numFmt w:val="bullet"/>
      <w:lvlText w:val=""/>
      <w:lvlJc w:val="left"/>
      <w:pPr>
        <w:tabs>
          <w:tab w:val="num" w:pos="2325"/>
        </w:tabs>
        <w:ind w:left="2325" w:hanging="567"/>
      </w:pPr>
      <w:rPr>
        <w:rFonts w:ascii="Symbol" w:hAnsi="Symbol" w:hint="default"/>
        <w:b w:val="0"/>
        <w:i w:val="0"/>
        <w:color w:val="auto"/>
        <w:sz w:val="24"/>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9" w15:restartNumberingAfterBreak="0">
    <w:nsid w:val="474A236F"/>
    <w:multiLevelType w:val="hybridMultilevel"/>
    <w:tmpl w:val="FFFFFFFF"/>
    <w:lvl w:ilvl="0" w:tplc="98B281F4">
      <w:start w:val="1"/>
      <w:numFmt w:val="lowerLetter"/>
      <w:lvlText w:val="(%1)"/>
      <w:lvlJc w:val="right"/>
      <w:pPr>
        <w:ind w:left="1620" w:hanging="360"/>
      </w:pPr>
      <w:rPr>
        <w:rFonts w:cs="Times New Roman" w:hint="default"/>
        <w:i/>
        <w:sz w:val="20"/>
        <w:szCs w:val="20"/>
      </w:rPr>
    </w:lvl>
    <w:lvl w:ilvl="1" w:tplc="0C090019" w:tentative="1">
      <w:start w:val="1"/>
      <w:numFmt w:val="lowerLetter"/>
      <w:lvlText w:val="%2."/>
      <w:lvlJc w:val="left"/>
      <w:pPr>
        <w:ind w:left="2340" w:hanging="360"/>
      </w:pPr>
      <w:rPr>
        <w:rFonts w:cs="Times New Roman"/>
      </w:rPr>
    </w:lvl>
    <w:lvl w:ilvl="2" w:tplc="0C09001B" w:tentative="1">
      <w:start w:val="1"/>
      <w:numFmt w:val="lowerRoman"/>
      <w:lvlText w:val="%3."/>
      <w:lvlJc w:val="right"/>
      <w:pPr>
        <w:ind w:left="3060" w:hanging="180"/>
      </w:pPr>
      <w:rPr>
        <w:rFonts w:cs="Times New Roman"/>
      </w:rPr>
    </w:lvl>
    <w:lvl w:ilvl="3" w:tplc="0C09000F" w:tentative="1">
      <w:start w:val="1"/>
      <w:numFmt w:val="decimal"/>
      <w:lvlText w:val="%4."/>
      <w:lvlJc w:val="left"/>
      <w:pPr>
        <w:ind w:left="3780" w:hanging="360"/>
      </w:pPr>
      <w:rPr>
        <w:rFonts w:cs="Times New Roman"/>
      </w:rPr>
    </w:lvl>
    <w:lvl w:ilvl="4" w:tplc="0C090019" w:tentative="1">
      <w:start w:val="1"/>
      <w:numFmt w:val="lowerLetter"/>
      <w:lvlText w:val="%5."/>
      <w:lvlJc w:val="left"/>
      <w:pPr>
        <w:ind w:left="4500" w:hanging="360"/>
      </w:pPr>
      <w:rPr>
        <w:rFonts w:cs="Times New Roman"/>
      </w:rPr>
    </w:lvl>
    <w:lvl w:ilvl="5" w:tplc="0C09001B" w:tentative="1">
      <w:start w:val="1"/>
      <w:numFmt w:val="lowerRoman"/>
      <w:lvlText w:val="%6."/>
      <w:lvlJc w:val="right"/>
      <w:pPr>
        <w:ind w:left="5220" w:hanging="180"/>
      </w:pPr>
      <w:rPr>
        <w:rFonts w:cs="Times New Roman"/>
      </w:rPr>
    </w:lvl>
    <w:lvl w:ilvl="6" w:tplc="0C09000F" w:tentative="1">
      <w:start w:val="1"/>
      <w:numFmt w:val="decimal"/>
      <w:lvlText w:val="%7."/>
      <w:lvlJc w:val="left"/>
      <w:pPr>
        <w:ind w:left="5940" w:hanging="360"/>
      </w:pPr>
      <w:rPr>
        <w:rFonts w:cs="Times New Roman"/>
      </w:rPr>
    </w:lvl>
    <w:lvl w:ilvl="7" w:tplc="0C090019" w:tentative="1">
      <w:start w:val="1"/>
      <w:numFmt w:val="lowerLetter"/>
      <w:lvlText w:val="%8."/>
      <w:lvlJc w:val="left"/>
      <w:pPr>
        <w:ind w:left="6660" w:hanging="360"/>
      </w:pPr>
      <w:rPr>
        <w:rFonts w:cs="Times New Roman"/>
      </w:rPr>
    </w:lvl>
    <w:lvl w:ilvl="8" w:tplc="0C09001B" w:tentative="1">
      <w:start w:val="1"/>
      <w:numFmt w:val="lowerRoman"/>
      <w:lvlText w:val="%9."/>
      <w:lvlJc w:val="right"/>
      <w:pPr>
        <w:ind w:left="7380" w:hanging="180"/>
      </w:pPr>
      <w:rPr>
        <w:rFonts w:cs="Times New Roman"/>
      </w:rPr>
    </w:lvl>
  </w:abstractNum>
  <w:abstractNum w:abstractNumId="10" w15:restartNumberingAfterBreak="0">
    <w:nsid w:val="5A36081E"/>
    <w:multiLevelType w:val="multilevel"/>
    <w:tmpl w:val="FFFFFFFF"/>
    <w:lvl w:ilvl="0">
      <w:start w:val="1"/>
      <w:numFmt w:val="decimal"/>
      <w:lvlText w:val="%1."/>
      <w:lvlJc w:val="left"/>
      <w:pPr>
        <w:tabs>
          <w:tab w:val="num" w:pos="567"/>
        </w:tabs>
        <w:ind w:left="567" w:hanging="567"/>
      </w:pPr>
      <w:rPr>
        <w:rFonts w:ascii="Calibri" w:hAnsi="Calibri" w:cs="Times New Roman" w:hint="default"/>
        <w:b w:val="0"/>
        <w:i w:val="0"/>
        <w:sz w:val="24"/>
        <w:szCs w:val="24"/>
      </w:rPr>
    </w:lvl>
    <w:lvl w:ilvl="1">
      <w:start w:val="1"/>
      <w:numFmt w:val="decimal"/>
      <w:lvlText w:val="%1.%2"/>
      <w:lvlJc w:val="left"/>
      <w:pPr>
        <w:tabs>
          <w:tab w:val="num" w:pos="567"/>
        </w:tabs>
        <w:ind w:left="567" w:hanging="567"/>
      </w:pPr>
      <w:rPr>
        <w:rFonts w:ascii="Calibri" w:hAnsi="Calibri" w:cs="Times New Roman" w:hint="default"/>
        <w:b w:val="0"/>
        <w:i w:val="0"/>
        <w:color w:val="auto"/>
        <w:sz w:val="22"/>
      </w:rPr>
    </w:lvl>
    <w:lvl w:ilvl="2">
      <w:start w:val="1"/>
      <w:numFmt w:val="lowerLetter"/>
      <w:lvlText w:val="(%3)"/>
      <w:lvlJc w:val="left"/>
      <w:pPr>
        <w:tabs>
          <w:tab w:val="num" w:pos="1134"/>
        </w:tabs>
        <w:ind w:left="1134" w:hanging="567"/>
      </w:pPr>
      <w:rPr>
        <w:rFonts w:cs="Times New Roman" w:hint="default"/>
      </w:rPr>
    </w:lvl>
    <w:lvl w:ilvl="3">
      <w:start w:val="1"/>
      <w:numFmt w:val="lowerRoman"/>
      <w:lvlText w:val="(%4)"/>
      <w:lvlJc w:val="left"/>
      <w:pPr>
        <w:tabs>
          <w:tab w:val="num" w:pos="1701"/>
        </w:tabs>
        <w:ind w:left="1701" w:hanging="567"/>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15:restartNumberingAfterBreak="0">
    <w:nsid w:val="5AE257E3"/>
    <w:multiLevelType w:val="multilevel"/>
    <w:tmpl w:val="FFFFFFFF"/>
    <w:lvl w:ilvl="0">
      <w:start w:val="1"/>
      <w:numFmt w:val="decimal"/>
      <w:lvlText w:val="%1."/>
      <w:lvlJc w:val="left"/>
      <w:pPr>
        <w:tabs>
          <w:tab w:val="num" w:pos="624"/>
        </w:tabs>
        <w:ind w:left="624" w:hanging="624"/>
      </w:pPr>
      <w:rPr>
        <w:rFonts w:ascii="Calibri" w:hAnsi="Calibri" w:cs="Times New Roman" w:hint="default"/>
        <w:b w:val="0"/>
        <w:i w:val="0"/>
        <w:color w:val="auto"/>
        <w:sz w:val="22"/>
        <w:szCs w:val="22"/>
      </w:rPr>
    </w:lvl>
    <w:lvl w:ilvl="1">
      <w:start w:val="1"/>
      <w:numFmt w:val="lowerLetter"/>
      <w:lvlText w:val="(%2)"/>
      <w:lvlJc w:val="left"/>
      <w:pPr>
        <w:tabs>
          <w:tab w:val="num" w:pos="1474"/>
        </w:tabs>
        <w:ind w:left="1474" w:hanging="567"/>
      </w:pPr>
      <w:rPr>
        <w:rFonts w:cs="Times New Roman" w:hint="default"/>
      </w:rPr>
    </w:lvl>
    <w:lvl w:ilvl="2">
      <w:start w:val="1"/>
      <w:numFmt w:val="bullet"/>
      <w:lvlText w:val=""/>
      <w:lvlJc w:val="left"/>
      <w:pPr>
        <w:tabs>
          <w:tab w:val="num" w:pos="1474"/>
        </w:tabs>
        <w:ind w:left="1474" w:hanging="567"/>
      </w:pPr>
      <w:rPr>
        <w:rFonts w:ascii="Symbol" w:hAnsi="Symbol" w:hint="default"/>
        <w:b w:val="0"/>
        <w:i w:val="0"/>
        <w:color w:val="auto"/>
        <w:sz w:val="24"/>
      </w:rPr>
    </w:lvl>
    <w:lvl w:ilvl="3">
      <w:start w:val="1"/>
      <w:numFmt w:val="lowerRoman"/>
      <w:lvlText w:val="(%4)"/>
      <w:lvlJc w:val="right"/>
      <w:pPr>
        <w:tabs>
          <w:tab w:val="num" w:pos="2325"/>
        </w:tabs>
        <w:ind w:left="2325" w:hanging="567"/>
      </w:pPr>
      <w:rPr>
        <w:rFonts w:ascii="Calibri" w:hAnsi="Calibri" w:cs="Times New Roman" w:hint="default"/>
        <w:b w:val="0"/>
        <w:i w:val="0"/>
        <w:sz w:val="24"/>
      </w:rPr>
    </w:lvl>
    <w:lvl w:ilvl="4">
      <w:start w:val="1"/>
      <w:numFmt w:val="lowerLetter"/>
      <w:lvlText w:val="(%5)"/>
      <w:lvlJc w:val="left"/>
      <w:pPr>
        <w:ind w:left="4392" w:hanging="360"/>
      </w:pPr>
      <w:rPr>
        <w:rFonts w:cs="Times New Roman" w:hint="default"/>
      </w:rPr>
    </w:lvl>
    <w:lvl w:ilvl="5">
      <w:start w:val="1"/>
      <w:numFmt w:val="bullet"/>
      <w:lvlText w:val=""/>
      <w:lvlJc w:val="left"/>
      <w:pPr>
        <w:tabs>
          <w:tab w:val="num" w:pos="5112"/>
        </w:tabs>
        <w:ind w:left="5112" w:hanging="360"/>
      </w:pPr>
      <w:rPr>
        <w:rFonts w:ascii="Wingdings" w:hAnsi="Wingdings" w:hint="default"/>
        <w:sz w:val="20"/>
      </w:rPr>
    </w:lvl>
    <w:lvl w:ilvl="6">
      <w:start w:val="1"/>
      <w:numFmt w:val="bullet"/>
      <w:lvlText w:val=""/>
      <w:lvlJc w:val="left"/>
      <w:pPr>
        <w:tabs>
          <w:tab w:val="num" w:pos="5832"/>
        </w:tabs>
        <w:ind w:left="5832" w:hanging="360"/>
      </w:pPr>
      <w:rPr>
        <w:rFonts w:ascii="Wingdings" w:hAnsi="Wingdings" w:hint="default"/>
        <w:sz w:val="20"/>
      </w:rPr>
    </w:lvl>
    <w:lvl w:ilvl="7">
      <w:start w:val="1"/>
      <w:numFmt w:val="bullet"/>
      <w:lvlText w:val=""/>
      <w:lvlJc w:val="left"/>
      <w:pPr>
        <w:tabs>
          <w:tab w:val="num" w:pos="6552"/>
        </w:tabs>
        <w:ind w:left="6552" w:hanging="360"/>
      </w:pPr>
      <w:rPr>
        <w:rFonts w:ascii="Wingdings" w:hAnsi="Wingdings" w:hint="default"/>
        <w:sz w:val="20"/>
      </w:rPr>
    </w:lvl>
    <w:lvl w:ilvl="8">
      <w:start w:val="1"/>
      <w:numFmt w:val="bullet"/>
      <w:lvlText w:val=""/>
      <w:lvlJc w:val="left"/>
      <w:pPr>
        <w:tabs>
          <w:tab w:val="num" w:pos="7272"/>
        </w:tabs>
        <w:ind w:left="7272" w:hanging="360"/>
      </w:pPr>
      <w:rPr>
        <w:rFonts w:ascii="Wingdings" w:hAnsi="Wingdings" w:hint="default"/>
        <w:sz w:val="20"/>
      </w:rPr>
    </w:lvl>
  </w:abstractNum>
  <w:abstractNum w:abstractNumId="12" w15:restartNumberingAfterBreak="0">
    <w:nsid w:val="5E2456DE"/>
    <w:multiLevelType w:val="hybridMultilevel"/>
    <w:tmpl w:val="7E1EA0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0236C92"/>
    <w:multiLevelType w:val="multilevel"/>
    <w:tmpl w:val="FFFFFFFF"/>
    <w:lvl w:ilvl="0">
      <w:start w:val="1"/>
      <w:numFmt w:val="decimal"/>
      <w:lvlText w:val="%1."/>
      <w:lvlJc w:val="left"/>
      <w:pPr>
        <w:tabs>
          <w:tab w:val="num" w:pos="624"/>
        </w:tabs>
        <w:ind w:left="624" w:hanging="624"/>
      </w:pPr>
      <w:rPr>
        <w:rFonts w:ascii="Calibri" w:hAnsi="Calibri" w:cs="Times New Roman" w:hint="default"/>
        <w:b w:val="0"/>
        <w:i w:val="0"/>
        <w:color w:val="auto"/>
        <w:sz w:val="22"/>
        <w:szCs w:val="22"/>
      </w:rPr>
    </w:lvl>
    <w:lvl w:ilvl="1">
      <w:start w:val="1"/>
      <w:numFmt w:val="lowerLetter"/>
      <w:lvlText w:val="(%2)"/>
      <w:lvlJc w:val="left"/>
      <w:pPr>
        <w:tabs>
          <w:tab w:val="num" w:pos="1474"/>
        </w:tabs>
        <w:ind w:left="1474" w:hanging="567"/>
      </w:pPr>
      <w:rPr>
        <w:rFonts w:cs="Times New Roman" w:hint="default"/>
      </w:rPr>
    </w:lvl>
    <w:lvl w:ilvl="2">
      <w:start w:val="1"/>
      <w:numFmt w:val="bullet"/>
      <w:lvlText w:val=""/>
      <w:lvlJc w:val="left"/>
      <w:pPr>
        <w:tabs>
          <w:tab w:val="num" w:pos="1474"/>
        </w:tabs>
        <w:ind w:left="1474" w:hanging="567"/>
      </w:pPr>
      <w:rPr>
        <w:rFonts w:ascii="Symbol" w:hAnsi="Symbol" w:hint="default"/>
        <w:b w:val="0"/>
        <w:i w:val="0"/>
        <w:color w:val="auto"/>
        <w:sz w:val="24"/>
      </w:rPr>
    </w:lvl>
    <w:lvl w:ilvl="3">
      <w:start w:val="1"/>
      <w:numFmt w:val="lowerRoman"/>
      <w:lvlText w:val="(%4)"/>
      <w:lvlJc w:val="left"/>
      <w:pPr>
        <w:tabs>
          <w:tab w:val="num" w:pos="2325"/>
        </w:tabs>
        <w:ind w:left="2325" w:hanging="567"/>
      </w:pPr>
      <w:rPr>
        <w:rFonts w:ascii="Calibri" w:hAnsi="Calibri" w:cs="Times New Roman" w:hint="default"/>
        <w:b w:val="0"/>
        <w:i w:val="0"/>
        <w:sz w:val="24"/>
      </w:rPr>
    </w:lvl>
    <w:lvl w:ilvl="4">
      <w:start w:val="1"/>
      <w:numFmt w:val="lowerLetter"/>
      <w:lvlText w:val="(%5)"/>
      <w:lvlJc w:val="left"/>
      <w:pPr>
        <w:ind w:left="4392" w:hanging="360"/>
      </w:pPr>
      <w:rPr>
        <w:rFonts w:cs="Times New Roman" w:hint="default"/>
      </w:rPr>
    </w:lvl>
    <w:lvl w:ilvl="5">
      <w:start w:val="1"/>
      <w:numFmt w:val="bullet"/>
      <w:lvlText w:val=""/>
      <w:lvlJc w:val="left"/>
      <w:pPr>
        <w:tabs>
          <w:tab w:val="num" w:pos="5112"/>
        </w:tabs>
        <w:ind w:left="5112" w:hanging="360"/>
      </w:pPr>
      <w:rPr>
        <w:rFonts w:ascii="Wingdings" w:hAnsi="Wingdings" w:hint="default"/>
        <w:sz w:val="20"/>
      </w:rPr>
    </w:lvl>
    <w:lvl w:ilvl="6">
      <w:start w:val="1"/>
      <w:numFmt w:val="bullet"/>
      <w:lvlText w:val=""/>
      <w:lvlJc w:val="left"/>
      <w:pPr>
        <w:tabs>
          <w:tab w:val="num" w:pos="5832"/>
        </w:tabs>
        <w:ind w:left="5832" w:hanging="360"/>
      </w:pPr>
      <w:rPr>
        <w:rFonts w:ascii="Wingdings" w:hAnsi="Wingdings" w:hint="default"/>
        <w:sz w:val="20"/>
      </w:rPr>
    </w:lvl>
    <w:lvl w:ilvl="7">
      <w:start w:val="1"/>
      <w:numFmt w:val="bullet"/>
      <w:lvlText w:val=""/>
      <w:lvlJc w:val="left"/>
      <w:pPr>
        <w:tabs>
          <w:tab w:val="num" w:pos="6552"/>
        </w:tabs>
        <w:ind w:left="6552" w:hanging="360"/>
      </w:pPr>
      <w:rPr>
        <w:rFonts w:ascii="Wingdings" w:hAnsi="Wingdings" w:hint="default"/>
        <w:sz w:val="20"/>
      </w:rPr>
    </w:lvl>
    <w:lvl w:ilvl="8">
      <w:start w:val="1"/>
      <w:numFmt w:val="bullet"/>
      <w:lvlText w:val=""/>
      <w:lvlJc w:val="left"/>
      <w:pPr>
        <w:tabs>
          <w:tab w:val="num" w:pos="7272"/>
        </w:tabs>
        <w:ind w:left="7272" w:hanging="360"/>
      </w:pPr>
      <w:rPr>
        <w:rFonts w:ascii="Wingdings" w:hAnsi="Wingdings" w:hint="default"/>
        <w:sz w:val="20"/>
      </w:rPr>
    </w:lvl>
  </w:abstractNum>
  <w:num w:numId="1" w16cid:durableId="1251507512">
    <w:abstractNumId w:val="7"/>
  </w:num>
  <w:num w:numId="2" w16cid:durableId="549268504">
    <w:abstractNumId w:val="3"/>
  </w:num>
  <w:num w:numId="3" w16cid:durableId="1518930538">
    <w:abstractNumId w:val="9"/>
  </w:num>
  <w:num w:numId="4" w16cid:durableId="613024484">
    <w:abstractNumId w:val="2"/>
  </w:num>
  <w:num w:numId="5" w16cid:durableId="92822003">
    <w:abstractNumId w:val="10"/>
  </w:num>
  <w:num w:numId="6" w16cid:durableId="114836228">
    <w:abstractNumId w:val="1"/>
  </w:num>
  <w:num w:numId="7" w16cid:durableId="562177327">
    <w:abstractNumId w:val="11"/>
  </w:num>
  <w:num w:numId="8" w16cid:durableId="726221385">
    <w:abstractNumId w:val="5"/>
  </w:num>
  <w:num w:numId="9" w16cid:durableId="533690355">
    <w:abstractNumId w:val="6"/>
  </w:num>
  <w:num w:numId="10" w16cid:durableId="167987215">
    <w:abstractNumId w:val="7"/>
  </w:num>
  <w:num w:numId="11" w16cid:durableId="419983259">
    <w:abstractNumId w:val="7"/>
  </w:num>
  <w:num w:numId="12" w16cid:durableId="1402800165">
    <w:abstractNumId w:val="7"/>
  </w:num>
  <w:num w:numId="13" w16cid:durableId="374819245">
    <w:abstractNumId w:val="7"/>
  </w:num>
  <w:num w:numId="14" w16cid:durableId="1154418992">
    <w:abstractNumId w:val="7"/>
  </w:num>
  <w:num w:numId="15" w16cid:durableId="895168865">
    <w:abstractNumId w:val="7"/>
  </w:num>
  <w:num w:numId="16" w16cid:durableId="324094915">
    <w:abstractNumId w:val="7"/>
  </w:num>
  <w:num w:numId="17" w16cid:durableId="1037774962">
    <w:abstractNumId w:val="7"/>
  </w:num>
  <w:num w:numId="18" w16cid:durableId="1386369778">
    <w:abstractNumId w:val="7"/>
  </w:num>
  <w:num w:numId="19" w16cid:durableId="1184976427">
    <w:abstractNumId w:val="13"/>
  </w:num>
  <w:num w:numId="20" w16cid:durableId="396973503">
    <w:abstractNumId w:val="0"/>
  </w:num>
  <w:num w:numId="21" w16cid:durableId="1302030610">
    <w:abstractNumId w:val="8"/>
  </w:num>
  <w:num w:numId="22" w16cid:durableId="790632377">
    <w:abstractNumId w:val="4"/>
  </w:num>
  <w:num w:numId="23" w16cid:durableId="510220689">
    <w:abstractNumId w:val="12"/>
  </w:num>
  <w:num w:numId="24" w16cid:durableId="1417748206">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lvlOverride w:ilvl="6"/>
    <w:lvlOverride w:ilvl="7"/>
    <w:lvlOverride w:ilvl="8"/>
  </w:num>
  <w:num w:numId="25" w16cid:durableId="2218687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DE3"/>
    <w:rsid w:val="00000164"/>
    <w:rsid w:val="00004022"/>
    <w:rsid w:val="00004F88"/>
    <w:rsid w:val="000135F5"/>
    <w:rsid w:val="000202B9"/>
    <w:rsid w:val="00020F2E"/>
    <w:rsid w:val="00021EBC"/>
    <w:rsid w:val="000220C2"/>
    <w:rsid w:val="00022173"/>
    <w:rsid w:val="00024EDF"/>
    <w:rsid w:val="00035636"/>
    <w:rsid w:val="00037045"/>
    <w:rsid w:val="00040000"/>
    <w:rsid w:val="00040042"/>
    <w:rsid w:val="00042DAE"/>
    <w:rsid w:val="00045BD5"/>
    <w:rsid w:val="00046A10"/>
    <w:rsid w:val="000471E8"/>
    <w:rsid w:val="00047776"/>
    <w:rsid w:val="00047CA7"/>
    <w:rsid w:val="000520EA"/>
    <w:rsid w:val="00054F2B"/>
    <w:rsid w:val="00056820"/>
    <w:rsid w:val="00057C89"/>
    <w:rsid w:val="0006161E"/>
    <w:rsid w:val="00061623"/>
    <w:rsid w:val="000702DE"/>
    <w:rsid w:val="000720FD"/>
    <w:rsid w:val="000737E8"/>
    <w:rsid w:val="000863A1"/>
    <w:rsid w:val="000869CD"/>
    <w:rsid w:val="0008766F"/>
    <w:rsid w:val="000902D0"/>
    <w:rsid w:val="00090805"/>
    <w:rsid w:val="000930D6"/>
    <w:rsid w:val="0009537C"/>
    <w:rsid w:val="000A2965"/>
    <w:rsid w:val="000A5F9F"/>
    <w:rsid w:val="000A79AD"/>
    <w:rsid w:val="000B0A83"/>
    <w:rsid w:val="000B1EC2"/>
    <w:rsid w:val="000B48D7"/>
    <w:rsid w:val="000B6442"/>
    <w:rsid w:val="000B70ED"/>
    <w:rsid w:val="000B74AA"/>
    <w:rsid w:val="000D4B02"/>
    <w:rsid w:val="000D6B9E"/>
    <w:rsid w:val="000F2A72"/>
    <w:rsid w:val="00101785"/>
    <w:rsid w:val="00104D6E"/>
    <w:rsid w:val="001060DF"/>
    <w:rsid w:val="00107068"/>
    <w:rsid w:val="001078C5"/>
    <w:rsid w:val="001117A3"/>
    <w:rsid w:val="00113B8C"/>
    <w:rsid w:val="00116F94"/>
    <w:rsid w:val="001223EF"/>
    <w:rsid w:val="00125386"/>
    <w:rsid w:val="00127310"/>
    <w:rsid w:val="001336D5"/>
    <w:rsid w:val="001353C0"/>
    <w:rsid w:val="00146402"/>
    <w:rsid w:val="00150B52"/>
    <w:rsid w:val="00154548"/>
    <w:rsid w:val="00154A45"/>
    <w:rsid w:val="00155409"/>
    <w:rsid w:val="00156E46"/>
    <w:rsid w:val="00161B82"/>
    <w:rsid w:val="001635F0"/>
    <w:rsid w:val="001639F7"/>
    <w:rsid w:val="00166012"/>
    <w:rsid w:val="001679A4"/>
    <w:rsid w:val="001711A0"/>
    <w:rsid w:val="00172817"/>
    <w:rsid w:val="001742E0"/>
    <w:rsid w:val="00174924"/>
    <w:rsid w:val="00176BEF"/>
    <w:rsid w:val="001775FA"/>
    <w:rsid w:val="0017766F"/>
    <w:rsid w:val="00187E51"/>
    <w:rsid w:val="001B5403"/>
    <w:rsid w:val="001B5BE8"/>
    <w:rsid w:val="001C1A25"/>
    <w:rsid w:val="001C31F1"/>
    <w:rsid w:val="001C33E0"/>
    <w:rsid w:val="001C3A7E"/>
    <w:rsid w:val="001C6A40"/>
    <w:rsid w:val="001C6C3C"/>
    <w:rsid w:val="001D2FE5"/>
    <w:rsid w:val="001D39D2"/>
    <w:rsid w:val="001D4120"/>
    <w:rsid w:val="001E0B7F"/>
    <w:rsid w:val="001E2E2B"/>
    <w:rsid w:val="001E58B6"/>
    <w:rsid w:val="001E5BE8"/>
    <w:rsid w:val="001E66B5"/>
    <w:rsid w:val="001F5B21"/>
    <w:rsid w:val="001F70F2"/>
    <w:rsid w:val="00200FF0"/>
    <w:rsid w:val="00201D20"/>
    <w:rsid w:val="0020299C"/>
    <w:rsid w:val="002053ED"/>
    <w:rsid w:val="00210E70"/>
    <w:rsid w:val="00211F6A"/>
    <w:rsid w:val="00214531"/>
    <w:rsid w:val="002159EE"/>
    <w:rsid w:val="00217CB4"/>
    <w:rsid w:val="002205B3"/>
    <w:rsid w:val="0023172B"/>
    <w:rsid w:val="00232734"/>
    <w:rsid w:val="0024298F"/>
    <w:rsid w:val="00243CCE"/>
    <w:rsid w:val="00244644"/>
    <w:rsid w:val="00247F92"/>
    <w:rsid w:val="00250518"/>
    <w:rsid w:val="002539D3"/>
    <w:rsid w:val="0025666A"/>
    <w:rsid w:val="00261ECB"/>
    <w:rsid w:val="002701C2"/>
    <w:rsid w:val="00272596"/>
    <w:rsid w:val="002745D9"/>
    <w:rsid w:val="002759E2"/>
    <w:rsid w:val="0028031C"/>
    <w:rsid w:val="002860F1"/>
    <w:rsid w:val="00291D2E"/>
    <w:rsid w:val="002921CE"/>
    <w:rsid w:val="00293025"/>
    <w:rsid w:val="00294CCD"/>
    <w:rsid w:val="00295899"/>
    <w:rsid w:val="002A0CF7"/>
    <w:rsid w:val="002A274F"/>
    <w:rsid w:val="002A62D1"/>
    <w:rsid w:val="002A642A"/>
    <w:rsid w:val="002A673F"/>
    <w:rsid w:val="002A731C"/>
    <w:rsid w:val="002B5E8F"/>
    <w:rsid w:val="002C0495"/>
    <w:rsid w:val="002C2E09"/>
    <w:rsid w:val="002C311B"/>
    <w:rsid w:val="002C49B9"/>
    <w:rsid w:val="002C71DB"/>
    <w:rsid w:val="002C7A44"/>
    <w:rsid w:val="002C7E42"/>
    <w:rsid w:val="002C7F4C"/>
    <w:rsid w:val="002D1978"/>
    <w:rsid w:val="002D2CB5"/>
    <w:rsid w:val="002D3F25"/>
    <w:rsid w:val="002D40DD"/>
    <w:rsid w:val="002E2E92"/>
    <w:rsid w:val="002E342A"/>
    <w:rsid w:val="002E49F2"/>
    <w:rsid w:val="002F7D4A"/>
    <w:rsid w:val="002F7DAF"/>
    <w:rsid w:val="003003FF"/>
    <w:rsid w:val="0030258D"/>
    <w:rsid w:val="003027D8"/>
    <w:rsid w:val="00302BA8"/>
    <w:rsid w:val="003047F1"/>
    <w:rsid w:val="00307362"/>
    <w:rsid w:val="00307A3C"/>
    <w:rsid w:val="00310CA8"/>
    <w:rsid w:val="0031106B"/>
    <w:rsid w:val="00315801"/>
    <w:rsid w:val="0031620E"/>
    <w:rsid w:val="00317441"/>
    <w:rsid w:val="00322EFE"/>
    <w:rsid w:val="003230B7"/>
    <w:rsid w:val="003242AC"/>
    <w:rsid w:val="003246A3"/>
    <w:rsid w:val="00325483"/>
    <w:rsid w:val="00325C66"/>
    <w:rsid w:val="003278BC"/>
    <w:rsid w:val="003373F1"/>
    <w:rsid w:val="0034030E"/>
    <w:rsid w:val="00341912"/>
    <w:rsid w:val="0034306C"/>
    <w:rsid w:val="00343489"/>
    <w:rsid w:val="003463FA"/>
    <w:rsid w:val="00347F04"/>
    <w:rsid w:val="003515FE"/>
    <w:rsid w:val="00352641"/>
    <w:rsid w:val="003527F4"/>
    <w:rsid w:val="00352A84"/>
    <w:rsid w:val="00352BFD"/>
    <w:rsid w:val="00352D08"/>
    <w:rsid w:val="003534D3"/>
    <w:rsid w:val="00362B99"/>
    <w:rsid w:val="00362F34"/>
    <w:rsid w:val="00363E45"/>
    <w:rsid w:val="00364943"/>
    <w:rsid w:val="003650F7"/>
    <w:rsid w:val="00370673"/>
    <w:rsid w:val="00372BA8"/>
    <w:rsid w:val="003764D1"/>
    <w:rsid w:val="00376AC8"/>
    <w:rsid w:val="003928BE"/>
    <w:rsid w:val="00396EB8"/>
    <w:rsid w:val="003A00F5"/>
    <w:rsid w:val="003A1B5D"/>
    <w:rsid w:val="003A2468"/>
    <w:rsid w:val="003A2C2A"/>
    <w:rsid w:val="003A3F43"/>
    <w:rsid w:val="003A4285"/>
    <w:rsid w:val="003A6389"/>
    <w:rsid w:val="003A715A"/>
    <w:rsid w:val="003A7AC4"/>
    <w:rsid w:val="003B1B04"/>
    <w:rsid w:val="003B69AA"/>
    <w:rsid w:val="003C090F"/>
    <w:rsid w:val="003C2F97"/>
    <w:rsid w:val="003C30B7"/>
    <w:rsid w:val="003C5259"/>
    <w:rsid w:val="003D3461"/>
    <w:rsid w:val="003D3B34"/>
    <w:rsid w:val="003D4670"/>
    <w:rsid w:val="003D6530"/>
    <w:rsid w:val="003E1B03"/>
    <w:rsid w:val="003E300E"/>
    <w:rsid w:val="003E490E"/>
    <w:rsid w:val="003E663B"/>
    <w:rsid w:val="003E718F"/>
    <w:rsid w:val="003F438C"/>
    <w:rsid w:val="003F6A06"/>
    <w:rsid w:val="00400580"/>
    <w:rsid w:val="0040099A"/>
    <w:rsid w:val="00402940"/>
    <w:rsid w:val="00405911"/>
    <w:rsid w:val="0040600E"/>
    <w:rsid w:val="004116E4"/>
    <w:rsid w:val="00412117"/>
    <w:rsid w:val="00412E99"/>
    <w:rsid w:val="00415EE7"/>
    <w:rsid w:val="0043012A"/>
    <w:rsid w:val="00430D78"/>
    <w:rsid w:val="00432A5E"/>
    <w:rsid w:val="00436585"/>
    <w:rsid w:val="00436BBC"/>
    <w:rsid w:val="00436F68"/>
    <w:rsid w:val="004377D6"/>
    <w:rsid w:val="00451B24"/>
    <w:rsid w:val="00452ED0"/>
    <w:rsid w:val="00453C07"/>
    <w:rsid w:val="00454F86"/>
    <w:rsid w:val="00455CF8"/>
    <w:rsid w:val="00466514"/>
    <w:rsid w:val="004668AD"/>
    <w:rsid w:val="00470A73"/>
    <w:rsid w:val="004724C0"/>
    <w:rsid w:val="00476F40"/>
    <w:rsid w:val="004836AA"/>
    <w:rsid w:val="00483A3C"/>
    <w:rsid w:val="00486F66"/>
    <w:rsid w:val="0049013A"/>
    <w:rsid w:val="00493B0B"/>
    <w:rsid w:val="0049457E"/>
    <w:rsid w:val="00494EAD"/>
    <w:rsid w:val="004A1035"/>
    <w:rsid w:val="004A4F77"/>
    <w:rsid w:val="004B02AD"/>
    <w:rsid w:val="004B1DEF"/>
    <w:rsid w:val="004B2929"/>
    <w:rsid w:val="004B37CC"/>
    <w:rsid w:val="004B3F66"/>
    <w:rsid w:val="004B4952"/>
    <w:rsid w:val="004B6B19"/>
    <w:rsid w:val="004C056A"/>
    <w:rsid w:val="004C632B"/>
    <w:rsid w:val="004D0DEA"/>
    <w:rsid w:val="004D1F4B"/>
    <w:rsid w:val="004E1D83"/>
    <w:rsid w:val="004E2250"/>
    <w:rsid w:val="004E641C"/>
    <w:rsid w:val="004E7A67"/>
    <w:rsid w:val="004F1DEA"/>
    <w:rsid w:val="004F4187"/>
    <w:rsid w:val="00500CE8"/>
    <w:rsid w:val="00500F6C"/>
    <w:rsid w:val="0050486D"/>
    <w:rsid w:val="00506E75"/>
    <w:rsid w:val="00507486"/>
    <w:rsid w:val="0051086F"/>
    <w:rsid w:val="005111F6"/>
    <w:rsid w:val="00513314"/>
    <w:rsid w:val="0051717A"/>
    <w:rsid w:val="0052096A"/>
    <w:rsid w:val="005210D5"/>
    <w:rsid w:val="00524DB1"/>
    <w:rsid w:val="0052554E"/>
    <w:rsid w:val="0052762E"/>
    <w:rsid w:val="00533555"/>
    <w:rsid w:val="0053397F"/>
    <w:rsid w:val="00533F64"/>
    <w:rsid w:val="00534C2C"/>
    <w:rsid w:val="00540D0C"/>
    <w:rsid w:val="005418FF"/>
    <w:rsid w:val="00543643"/>
    <w:rsid w:val="00543C96"/>
    <w:rsid w:val="00544D21"/>
    <w:rsid w:val="005500EF"/>
    <w:rsid w:val="005612D0"/>
    <w:rsid w:val="0056251F"/>
    <w:rsid w:val="00562946"/>
    <w:rsid w:val="00563413"/>
    <w:rsid w:val="00566189"/>
    <w:rsid w:val="00567AE5"/>
    <w:rsid w:val="005742C8"/>
    <w:rsid w:val="00582327"/>
    <w:rsid w:val="00582365"/>
    <w:rsid w:val="00582A20"/>
    <w:rsid w:val="00584195"/>
    <w:rsid w:val="00590588"/>
    <w:rsid w:val="00591757"/>
    <w:rsid w:val="00594269"/>
    <w:rsid w:val="00594E29"/>
    <w:rsid w:val="00597D31"/>
    <w:rsid w:val="005A0955"/>
    <w:rsid w:val="005A1372"/>
    <w:rsid w:val="005A3179"/>
    <w:rsid w:val="005A4627"/>
    <w:rsid w:val="005A59F2"/>
    <w:rsid w:val="005A5BA0"/>
    <w:rsid w:val="005B47FB"/>
    <w:rsid w:val="005B4ED7"/>
    <w:rsid w:val="005C0F54"/>
    <w:rsid w:val="005C5D20"/>
    <w:rsid w:val="005C66B1"/>
    <w:rsid w:val="005C6B9A"/>
    <w:rsid w:val="005C7538"/>
    <w:rsid w:val="005C7D3A"/>
    <w:rsid w:val="005D2055"/>
    <w:rsid w:val="005D25D2"/>
    <w:rsid w:val="005E0CB6"/>
    <w:rsid w:val="005E6E9B"/>
    <w:rsid w:val="005E6FB4"/>
    <w:rsid w:val="005F01BC"/>
    <w:rsid w:val="005F3F3B"/>
    <w:rsid w:val="005F485A"/>
    <w:rsid w:val="00602CF1"/>
    <w:rsid w:val="00604FEF"/>
    <w:rsid w:val="00612BC2"/>
    <w:rsid w:val="00612F18"/>
    <w:rsid w:val="00613B88"/>
    <w:rsid w:val="0061498F"/>
    <w:rsid w:val="00614B3C"/>
    <w:rsid w:val="00615ABB"/>
    <w:rsid w:val="00616255"/>
    <w:rsid w:val="006163EA"/>
    <w:rsid w:val="00617471"/>
    <w:rsid w:val="00620659"/>
    <w:rsid w:val="00620771"/>
    <w:rsid w:val="00621CB9"/>
    <w:rsid w:val="006226B9"/>
    <w:rsid w:val="00623774"/>
    <w:rsid w:val="006260D8"/>
    <w:rsid w:val="0062693E"/>
    <w:rsid w:val="00626C93"/>
    <w:rsid w:val="00630D33"/>
    <w:rsid w:val="00630F1F"/>
    <w:rsid w:val="00633408"/>
    <w:rsid w:val="00633A2B"/>
    <w:rsid w:val="00633F4B"/>
    <w:rsid w:val="0063493F"/>
    <w:rsid w:val="00634D23"/>
    <w:rsid w:val="0063526F"/>
    <w:rsid w:val="006406B3"/>
    <w:rsid w:val="00644561"/>
    <w:rsid w:val="00644572"/>
    <w:rsid w:val="00644E82"/>
    <w:rsid w:val="0064564C"/>
    <w:rsid w:val="006459D6"/>
    <w:rsid w:val="006500FE"/>
    <w:rsid w:val="00650688"/>
    <w:rsid w:val="00652F4F"/>
    <w:rsid w:val="00655D34"/>
    <w:rsid w:val="00656337"/>
    <w:rsid w:val="006602D5"/>
    <w:rsid w:val="00663472"/>
    <w:rsid w:val="00663625"/>
    <w:rsid w:val="00664E8C"/>
    <w:rsid w:val="00665C38"/>
    <w:rsid w:val="00665ECA"/>
    <w:rsid w:val="00670EEF"/>
    <w:rsid w:val="00674268"/>
    <w:rsid w:val="00675F01"/>
    <w:rsid w:val="00676580"/>
    <w:rsid w:val="0067773F"/>
    <w:rsid w:val="006825F4"/>
    <w:rsid w:val="00686FD5"/>
    <w:rsid w:val="00687415"/>
    <w:rsid w:val="00690F88"/>
    <w:rsid w:val="00693B88"/>
    <w:rsid w:val="00694D0E"/>
    <w:rsid w:val="00696BBF"/>
    <w:rsid w:val="006A0AE5"/>
    <w:rsid w:val="006A15A7"/>
    <w:rsid w:val="006A497A"/>
    <w:rsid w:val="006B06D8"/>
    <w:rsid w:val="006B3D50"/>
    <w:rsid w:val="006B6277"/>
    <w:rsid w:val="006C6C37"/>
    <w:rsid w:val="006C71CE"/>
    <w:rsid w:val="006C745B"/>
    <w:rsid w:val="006D0C30"/>
    <w:rsid w:val="006D3CEA"/>
    <w:rsid w:val="006D6173"/>
    <w:rsid w:val="006E6058"/>
    <w:rsid w:val="006E63F4"/>
    <w:rsid w:val="006F0D76"/>
    <w:rsid w:val="006F18AA"/>
    <w:rsid w:val="006F1CF5"/>
    <w:rsid w:val="006F22FD"/>
    <w:rsid w:val="006F2A28"/>
    <w:rsid w:val="006F2FD6"/>
    <w:rsid w:val="006F449D"/>
    <w:rsid w:val="006F4F57"/>
    <w:rsid w:val="006F57E8"/>
    <w:rsid w:val="006F6071"/>
    <w:rsid w:val="00700416"/>
    <w:rsid w:val="007014B1"/>
    <w:rsid w:val="00701F31"/>
    <w:rsid w:val="00707733"/>
    <w:rsid w:val="00722176"/>
    <w:rsid w:val="007244D2"/>
    <w:rsid w:val="00725787"/>
    <w:rsid w:val="00725BA7"/>
    <w:rsid w:val="00730243"/>
    <w:rsid w:val="00731539"/>
    <w:rsid w:val="00731FAB"/>
    <w:rsid w:val="007356A1"/>
    <w:rsid w:val="00744A8E"/>
    <w:rsid w:val="00747731"/>
    <w:rsid w:val="007563A4"/>
    <w:rsid w:val="00756B69"/>
    <w:rsid w:val="00756E2A"/>
    <w:rsid w:val="00760BE8"/>
    <w:rsid w:val="0076131A"/>
    <w:rsid w:val="00763DCB"/>
    <w:rsid w:val="007658ED"/>
    <w:rsid w:val="0076664F"/>
    <w:rsid w:val="007673B3"/>
    <w:rsid w:val="0077148D"/>
    <w:rsid w:val="00773A6C"/>
    <w:rsid w:val="007766B8"/>
    <w:rsid w:val="00781353"/>
    <w:rsid w:val="00790190"/>
    <w:rsid w:val="007912B4"/>
    <w:rsid w:val="0079316E"/>
    <w:rsid w:val="007954D9"/>
    <w:rsid w:val="007978B5"/>
    <w:rsid w:val="00797A4D"/>
    <w:rsid w:val="007A0E08"/>
    <w:rsid w:val="007A3625"/>
    <w:rsid w:val="007A52C5"/>
    <w:rsid w:val="007A5AE2"/>
    <w:rsid w:val="007B1D51"/>
    <w:rsid w:val="007B2B44"/>
    <w:rsid w:val="007B3563"/>
    <w:rsid w:val="007B40EF"/>
    <w:rsid w:val="007C00F6"/>
    <w:rsid w:val="007C06C2"/>
    <w:rsid w:val="007C3F30"/>
    <w:rsid w:val="007C40C3"/>
    <w:rsid w:val="007C6854"/>
    <w:rsid w:val="007D0B33"/>
    <w:rsid w:val="007D6FC3"/>
    <w:rsid w:val="007E439A"/>
    <w:rsid w:val="007E4E97"/>
    <w:rsid w:val="007E5C13"/>
    <w:rsid w:val="007E5CC6"/>
    <w:rsid w:val="007F018E"/>
    <w:rsid w:val="007F1EDD"/>
    <w:rsid w:val="007F3348"/>
    <w:rsid w:val="0080202F"/>
    <w:rsid w:val="00802BC5"/>
    <w:rsid w:val="00802CEC"/>
    <w:rsid w:val="0080363B"/>
    <w:rsid w:val="008138D0"/>
    <w:rsid w:val="00816C20"/>
    <w:rsid w:val="00821EEA"/>
    <w:rsid w:val="008239AB"/>
    <w:rsid w:val="008246F1"/>
    <w:rsid w:val="00824917"/>
    <w:rsid w:val="008256E2"/>
    <w:rsid w:val="00826276"/>
    <w:rsid w:val="008306E3"/>
    <w:rsid w:val="00852EB2"/>
    <w:rsid w:val="0085481E"/>
    <w:rsid w:val="00856E9C"/>
    <w:rsid w:val="00862A3F"/>
    <w:rsid w:val="00864D44"/>
    <w:rsid w:val="00872736"/>
    <w:rsid w:val="00873AE8"/>
    <w:rsid w:val="00874A2D"/>
    <w:rsid w:val="0088016D"/>
    <w:rsid w:val="008816A7"/>
    <w:rsid w:val="008821F5"/>
    <w:rsid w:val="00882304"/>
    <w:rsid w:val="0088508B"/>
    <w:rsid w:val="00885428"/>
    <w:rsid w:val="00886835"/>
    <w:rsid w:val="00886F39"/>
    <w:rsid w:val="00893244"/>
    <w:rsid w:val="0089334E"/>
    <w:rsid w:val="008938C5"/>
    <w:rsid w:val="00893F6E"/>
    <w:rsid w:val="008A215B"/>
    <w:rsid w:val="008A4BEA"/>
    <w:rsid w:val="008B2BC7"/>
    <w:rsid w:val="008B559B"/>
    <w:rsid w:val="008B75E8"/>
    <w:rsid w:val="008C23CB"/>
    <w:rsid w:val="008C25F5"/>
    <w:rsid w:val="008C46A1"/>
    <w:rsid w:val="008C47C4"/>
    <w:rsid w:val="008C5A43"/>
    <w:rsid w:val="008C5BAD"/>
    <w:rsid w:val="008C6292"/>
    <w:rsid w:val="008D135D"/>
    <w:rsid w:val="008D2007"/>
    <w:rsid w:val="008D4B6D"/>
    <w:rsid w:val="008D5213"/>
    <w:rsid w:val="008D74C7"/>
    <w:rsid w:val="008E33F1"/>
    <w:rsid w:val="008E4A5C"/>
    <w:rsid w:val="008F26D0"/>
    <w:rsid w:val="008F3C18"/>
    <w:rsid w:val="008F7980"/>
    <w:rsid w:val="008F7F1A"/>
    <w:rsid w:val="008F7F74"/>
    <w:rsid w:val="00900494"/>
    <w:rsid w:val="009019C4"/>
    <w:rsid w:val="00903B43"/>
    <w:rsid w:val="00905FED"/>
    <w:rsid w:val="00911B39"/>
    <w:rsid w:val="00915B70"/>
    <w:rsid w:val="00916E7E"/>
    <w:rsid w:val="0092071F"/>
    <w:rsid w:val="00920BC5"/>
    <w:rsid w:val="00922EAB"/>
    <w:rsid w:val="009230FF"/>
    <w:rsid w:val="00934938"/>
    <w:rsid w:val="00936972"/>
    <w:rsid w:val="00943650"/>
    <w:rsid w:val="009439F5"/>
    <w:rsid w:val="0094441B"/>
    <w:rsid w:val="00944BC6"/>
    <w:rsid w:val="0095096E"/>
    <w:rsid w:val="009532B5"/>
    <w:rsid w:val="00953987"/>
    <w:rsid w:val="00953C38"/>
    <w:rsid w:val="0095614A"/>
    <w:rsid w:val="0096014B"/>
    <w:rsid w:val="009604F7"/>
    <w:rsid w:val="00961B01"/>
    <w:rsid w:val="00962F93"/>
    <w:rsid w:val="00965899"/>
    <w:rsid w:val="009721C3"/>
    <w:rsid w:val="009726AB"/>
    <w:rsid w:val="0097414D"/>
    <w:rsid w:val="00984951"/>
    <w:rsid w:val="0098548A"/>
    <w:rsid w:val="00985D16"/>
    <w:rsid w:val="009870D2"/>
    <w:rsid w:val="009A20EB"/>
    <w:rsid w:val="009A2EF5"/>
    <w:rsid w:val="009A2FB4"/>
    <w:rsid w:val="009A4966"/>
    <w:rsid w:val="009A4E8D"/>
    <w:rsid w:val="009A5297"/>
    <w:rsid w:val="009A69BA"/>
    <w:rsid w:val="009B5385"/>
    <w:rsid w:val="009B53E4"/>
    <w:rsid w:val="009B6B25"/>
    <w:rsid w:val="009B7C5D"/>
    <w:rsid w:val="009B7E55"/>
    <w:rsid w:val="009B7E64"/>
    <w:rsid w:val="009C1AC4"/>
    <w:rsid w:val="009C41E7"/>
    <w:rsid w:val="009C6CFE"/>
    <w:rsid w:val="009C6FFD"/>
    <w:rsid w:val="009C72AF"/>
    <w:rsid w:val="009D7AA5"/>
    <w:rsid w:val="009E1538"/>
    <w:rsid w:val="009E3AF1"/>
    <w:rsid w:val="009F538D"/>
    <w:rsid w:val="009F5BA7"/>
    <w:rsid w:val="009F6538"/>
    <w:rsid w:val="009F6A65"/>
    <w:rsid w:val="009F7701"/>
    <w:rsid w:val="00A003CA"/>
    <w:rsid w:val="00A0216E"/>
    <w:rsid w:val="00A02EC1"/>
    <w:rsid w:val="00A103CD"/>
    <w:rsid w:val="00A115DF"/>
    <w:rsid w:val="00A141DE"/>
    <w:rsid w:val="00A21302"/>
    <w:rsid w:val="00A249D1"/>
    <w:rsid w:val="00A260A9"/>
    <w:rsid w:val="00A2668E"/>
    <w:rsid w:val="00A35B61"/>
    <w:rsid w:val="00A46D22"/>
    <w:rsid w:val="00A5041F"/>
    <w:rsid w:val="00A54F12"/>
    <w:rsid w:val="00A551E5"/>
    <w:rsid w:val="00A5635F"/>
    <w:rsid w:val="00A644FB"/>
    <w:rsid w:val="00A66373"/>
    <w:rsid w:val="00A66703"/>
    <w:rsid w:val="00A74077"/>
    <w:rsid w:val="00A773B5"/>
    <w:rsid w:val="00A8047C"/>
    <w:rsid w:val="00A80A00"/>
    <w:rsid w:val="00A8393F"/>
    <w:rsid w:val="00A852EA"/>
    <w:rsid w:val="00A85691"/>
    <w:rsid w:val="00A90921"/>
    <w:rsid w:val="00A91CCB"/>
    <w:rsid w:val="00A91E2A"/>
    <w:rsid w:val="00A928B2"/>
    <w:rsid w:val="00A971D5"/>
    <w:rsid w:val="00AA16E5"/>
    <w:rsid w:val="00AA1A7A"/>
    <w:rsid w:val="00AA207B"/>
    <w:rsid w:val="00AA3D90"/>
    <w:rsid w:val="00AA59E0"/>
    <w:rsid w:val="00AA5F3E"/>
    <w:rsid w:val="00AA73CE"/>
    <w:rsid w:val="00AB021C"/>
    <w:rsid w:val="00AB04FC"/>
    <w:rsid w:val="00AB1B4B"/>
    <w:rsid w:val="00AB2487"/>
    <w:rsid w:val="00AB2B2C"/>
    <w:rsid w:val="00AB2E95"/>
    <w:rsid w:val="00AB3A7B"/>
    <w:rsid w:val="00AB6D7E"/>
    <w:rsid w:val="00AB78F8"/>
    <w:rsid w:val="00AC1A4B"/>
    <w:rsid w:val="00AC1C0A"/>
    <w:rsid w:val="00AC26CC"/>
    <w:rsid w:val="00AC3C28"/>
    <w:rsid w:val="00AC6026"/>
    <w:rsid w:val="00AC6367"/>
    <w:rsid w:val="00AD0E01"/>
    <w:rsid w:val="00AD1C3F"/>
    <w:rsid w:val="00AD6667"/>
    <w:rsid w:val="00AD6B43"/>
    <w:rsid w:val="00AD7156"/>
    <w:rsid w:val="00AD7EE4"/>
    <w:rsid w:val="00AE2DA1"/>
    <w:rsid w:val="00AE3CB5"/>
    <w:rsid w:val="00AE55C7"/>
    <w:rsid w:val="00AE5CB6"/>
    <w:rsid w:val="00AE6EE6"/>
    <w:rsid w:val="00AE79A4"/>
    <w:rsid w:val="00AF06B0"/>
    <w:rsid w:val="00AF1FF8"/>
    <w:rsid w:val="00AF2585"/>
    <w:rsid w:val="00AF3924"/>
    <w:rsid w:val="00AF3C5B"/>
    <w:rsid w:val="00AF6FE3"/>
    <w:rsid w:val="00AF74B5"/>
    <w:rsid w:val="00B00B12"/>
    <w:rsid w:val="00B0191E"/>
    <w:rsid w:val="00B04312"/>
    <w:rsid w:val="00B04D04"/>
    <w:rsid w:val="00B062C3"/>
    <w:rsid w:val="00B0707F"/>
    <w:rsid w:val="00B10927"/>
    <w:rsid w:val="00B11C04"/>
    <w:rsid w:val="00B144FF"/>
    <w:rsid w:val="00B20514"/>
    <w:rsid w:val="00B2094C"/>
    <w:rsid w:val="00B216E1"/>
    <w:rsid w:val="00B27742"/>
    <w:rsid w:val="00B308C5"/>
    <w:rsid w:val="00B35016"/>
    <w:rsid w:val="00B40252"/>
    <w:rsid w:val="00B40D3E"/>
    <w:rsid w:val="00B40D81"/>
    <w:rsid w:val="00B452AF"/>
    <w:rsid w:val="00B46232"/>
    <w:rsid w:val="00B5216C"/>
    <w:rsid w:val="00B52855"/>
    <w:rsid w:val="00B53A6A"/>
    <w:rsid w:val="00B55451"/>
    <w:rsid w:val="00B569E7"/>
    <w:rsid w:val="00B57D41"/>
    <w:rsid w:val="00B60568"/>
    <w:rsid w:val="00B6102C"/>
    <w:rsid w:val="00B63243"/>
    <w:rsid w:val="00B64A5B"/>
    <w:rsid w:val="00B65F3D"/>
    <w:rsid w:val="00B65F66"/>
    <w:rsid w:val="00B67261"/>
    <w:rsid w:val="00B71E87"/>
    <w:rsid w:val="00B72343"/>
    <w:rsid w:val="00B72B73"/>
    <w:rsid w:val="00B7399F"/>
    <w:rsid w:val="00B73CC6"/>
    <w:rsid w:val="00B84EDD"/>
    <w:rsid w:val="00B85265"/>
    <w:rsid w:val="00B85B01"/>
    <w:rsid w:val="00B9082A"/>
    <w:rsid w:val="00B91799"/>
    <w:rsid w:val="00B92E45"/>
    <w:rsid w:val="00B96403"/>
    <w:rsid w:val="00BA112A"/>
    <w:rsid w:val="00BA4F22"/>
    <w:rsid w:val="00BB0672"/>
    <w:rsid w:val="00BB2037"/>
    <w:rsid w:val="00BB226A"/>
    <w:rsid w:val="00BB389D"/>
    <w:rsid w:val="00BB3993"/>
    <w:rsid w:val="00BB5FD0"/>
    <w:rsid w:val="00BB63C3"/>
    <w:rsid w:val="00BC0F8E"/>
    <w:rsid w:val="00BC105F"/>
    <w:rsid w:val="00BC1155"/>
    <w:rsid w:val="00BC132D"/>
    <w:rsid w:val="00BC1FC0"/>
    <w:rsid w:val="00BC22BF"/>
    <w:rsid w:val="00BC24FA"/>
    <w:rsid w:val="00BC3686"/>
    <w:rsid w:val="00BC6176"/>
    <w:rsid w:val="00BC6B19"/>
    <w:rsid w:val="00BC7181"/>
    <w:rsid w:val="00BC7DAB"/>
    <w:rsid w:val="00BD1413"/>
    <w:rsid w:val="00BD3C8A"/>
    <w:rsid w:val="00BD5979"/>
    <w:rsid w:val="00BD5A73"/>
    <w:rsid w:val="00BD7386"/>
    <w:rsid w:val="00BE1790"/>
    <w:rsid w:val="00BE1891"/>
    <w:rsid w:val="00BE52E7"/>
    <w:rsid w:val="00BE7391"/>
    <w:rsid w:val="00BF025A"/>
    <w:rsid w:val="00BF123F"/>
    <w:rsid w:val="00BF3D78"/>
    <w:rsid w:val="00C03B87"/>
    <w:rsid w:val="00C077A5"/>
    <w:rsid w:val="00C10B82"/>
    <w:rsid w:val="00C1445C"/>
    <w:rsid w:val="00C155F6"/>
    <w:rsid w:val="00C15BCA"/>
    <w:rsid w:val="00C21068"/>
    <w:rsid w:val="00C2285F"/>
    <w:rsid w:val="00C32209"/>
    <w:rsid w:val="00C32EA4"/>
    <w:rsid w:val="00C33FE7"/>
    <w:rsid w:val="00C35348"/>
    <w:rsid w:val="00C37673"/>
    <w:rsid w:val="00C40D76"/>
    <w:rsid w:val="00C42B60"/>
    <w:rsid w:val="00C44E31"/>
    <w:rsid w:val="00C459F7"/>
    <w:rsid w:val="00C45ADF"/>
    <w:rsid w:val="00C45FA8"/>
    <w:rsid w:val="00C46EE8"/>
    <w:rsid w:val="00C46F59"/>
    <w:rsid w:val="00C50BD0"/>
    <w:rsid w:val="00C51B0E"/>
    <w:rsid w:val="00C55991"/>
    <w:rsid w:val="00C55A6E"/>
    <w:rsid w:val="00C57A34"/>
    <w:rsid w:val="00C62040"/>
    <w:rsid w:val="00C65827"/>
    <w:rsid w:val="00C67805"/>
    <w:rsid w:val="00C71C13"/>
    <w:rsid w:val="00C73481"/>
    <w:rsid w:val="00C75EC7"/>
    <w:rsid w:val="00C80214"/>
    <w:rsid w:val="00C80783"/>
    <w:rsid w:val="00C8138E"/>
    <w:rsid w:val="00C81F9A"/>
    <w:rsid w:val="00C825E5"/>
    <w:rsid w:val="00C826E4"/>
    <w:rsid w:val="00C82C74"/>
    <w:rsid w:val="00C849C9"/>
    <w:rsid w:val="00C855C6"/>
    <w:rsid w:val="00C93525"/>
    <w:rsid w:val="00C9514C"/>
    <w:rsid w:val="00CA16A5"/>
    <w:rsid w:val="00CA1833"/>
    <w:rsid w:val="00CA2133"/>
    <w:rsid w:val="00CA4E41"/>
    <w:rsid w:val="00CA7464"/>
    <w:rsid w:val="00CB1A32"/>
    <w:rsid w:val="00CB25ED"/>
    <w:rsid w:val="00CB2679"/>
    <w:rsid w:val="00CB2901"/>
    <w:rsid w:val="00CB328A"/>
    <w:rsid w:val="00CB3D08"/>
    <w:rsid w:val="00CB3D65"/>
    <w:rsid w:val="00CB54A0"/>
    <w:rsid w:val="00CC0551"/>
    <w:rsid w:val="00CC7BF2"/>
    <w:rsid w:val="00CC7E2E"/>
    <w:rsid w:val="00CD1F4C"/>
    <w:rsid w:val="00CD2591"/>
    <w:rsid w:val="00CD496E"/>
    <w:rsid w:val="00CD6AB0"/>
    <w:rsid w:val="00CD74B8"/>
    <w:rsid w:val="00CE48D8"/>
    <w:rsid w:val="00CE57DB"/>
    <w:rsid w:val="00CE6EB9"/>
    <w:rsid w:val="00CE7B40"/>
    <w:rsid w:val="00CF1B3D"/>
    <w:rsid w:val="00CF3AF1"/>
    <w:rsid w:val="00CF3C55"/>
    <w:rsid w:val="00CF47E4"/>
    <w:rsid w:val="00CF5069"/>
    <w:rsid w:val="00CF5949"/>
    <w:rsid w:val="00CF7E6F"/>
    <w:rsid w:val="00D10951"/>
    <w:rsid w:val="00D1127D"/>
    <w:rsid w:val="00D115CD"/>
    <w:rsid w:val="00D11B4E"/>
    <w:rsid w:val="00D13FDB"/>
    <w:rsid w:val="00D15CE2"/>
    <w:rsid w:val="00D17FC1"/>
    <w:rsid w:val="00D200AB"/>
    <w:rsid w:val="00D2334B"/>
    <w:rsid w:val="00D258EA"/>
    <w:rsid w:val="00D25A3A"/>
    <w:rsid w:val="00D25DC4"/>
    <w:rsid w:val="00D27F38"/>
    <w:rsid w:val="00D30FF3"/>
    <w:rsid w:val="00D31AB7"/>
    <w:rsid w:val="00D32518"/>
    <w:rsid w:val="00D343BD"/>
    <w:rsid w:val="00D44919"/>
    <w:rsid w:val="00D45071"/>
    <w:rsid w:val="00D5164E"/>
    <w:rsid w:val="00D5298F"/>
    <w:rsid w:val="00D558A5"/>
    <w:rsid w:val="00D56A67"/>
    <w:rsid w:val="00D57F4B"/>
    <w:rsid w:val="00D62CA1"/>
    <w:rsid w:val="00D65E5A"/>
    <w:rsid w:val="00D66F4E"/>
    <w:rsid w:val="00D70EB3"/>
    <w:rsid w:val="00D741A9"/>
    <w:rsid w:val="00D74289"/>
    <w:rsid w:val="00D758F3"/>
    <w:rsid w:val="00D7590C"/>
    <w:rsid w:val="00D759E4"/>
    <w:rsid w:val="00D76A5A"/>
    <w:rsid w:val="00D770C0"/>
    <w:rsid w:val="00D80275"/>
    <w:rsid w:val="00D85E4E"/>
    <w:rsid w:val="00D9511A"/>
    <w:rsid w:val="00D97E49"/>
    <w:rsid w:val="00DA2389"/>
    <w:rsid w:val="00DA2E3B"/>
    <w:rsid w:val="00DA6CCF"/>
    <w:rsid w:val="00DB0D5A"/>
    <w:rsid w:val="00DB2E8A"/>
    <w:rsid w:val="00DB3609"/>
    <w:rsid w:val="00DB47ED"/>
    <w:rsid w:val="00DB4D11"/>
    <w:rsid w:val="00DB699E"/>
    <w:rsid w:val="00DB7628"/>
    <w:rsid w:val="00DC003C"/>
    <w:rsid w:val="00DC497C"/>
    <w:rsid w:val="00DC6283"/>
    <w:rsid w:val="00DC630F"/>
    <w:rsid w:val="00DC6473"/>
    <w:rsid w:val="00DC65A2"/>
    <w:rsid w:val="00DD04DC"/>
    <w:rsid w:val="00DD64CB"/>
    <w:rsid w:val="00DD789C"/>
    <w:rsid w:val="00DE0097"/>
    <w:rsid w:val="00DE082E"/>
    <w:rsid w:val="00DE2027"/>
    <w:rsid w:val="00DE4B16"/>
    <w:rsid w:val="00DF2160"/>
    <w:rsid w:val="00DF2E66"/>
    <w:rsid w:val="00E00DD2"/>
    <w:rsid w:val="00E0105C"/>
    <w:rsid w:val="00E02B75"/>
    <w:rsid w:val="00E078AD"/>
    <w:rsid w:val="00E11D17"/>
    <w:rsid w:val="00E1332B"/>
    <w:rsid w:val="00E14506"/>
    <w:rsid w:val="00E15C6A"/>
    <w:rsid w:val="00E15DC4"/>
    <w:rsid w:val="00E243FD"/>
    <w:rsid w:val="00E25200"/>
    <w:rsid w:val="00E26451"/>
    <w:rsid w:val="00E31AE2"/>
    <w:rsid w:val="00E34FD8"/>
    <w:rsid w:val="00E35453"/>
    <w:rsid w:val="00E367D1"/>
    <w:rsid w:val="00E37BF5"/>
    <w:rsid w:val="00E41D09"/>
    <w:rsid w:val="00E42105"/>
    <w:rsid w:val="00E4256A"/>
    <w:rsid w:val="00E443E4"/>
    <w:rsid w:val="00E45CFC"/>
    <w:rsid w:val="00E52BD2"/>
    <w:rsid w:val="00E54C67"/>
    <w:rsid w:val="00E60111"/>
    <w:rsid w:val="00E61117"/>
    <w:rsid w:val="00E62CFB"/>
    <w:rsid w:val="00E65655"/>
    <w:rsid w:val="00E7070D"/>
    <w:rsid w:val="00E772E2"/>
    <w:rsid w:val="00E80DAE"/>
    <w:rsid w:val="00E825BE"/>
    <w:rsid w:val="00E83900"/>
    <w:rsid w:val="00E841E1"/>
    <w:rsid w:val="00E85144"/>
    <w:rsid w:val="00E924A1"/>
    <w:rsid w:val="00E9404C"/>
    <w:rsid w:val="00E9485A"/>
    <w:rsid w:val="00E9574D"/>
    <w:rsid w:val="00E95782"/>
    <w:rsid w:val="00EA04FC"/>
    <w:rsid w:val="00EA0E3D"/>
    <w:rsid w:val="00EA2382"/>
    <w:rsid w:val="00EA239B"/>
    <w:rsid w:val="00EA2D82"/>
    <w:rsid w:val="00EA2F92"/>
    <w:rsid w:val="00EA301C"/>
    <w:rsid w:val="00EA3129"/>
    <w:rsid w:val="00EA5BEA"/>
    <w:rsid w:val="00EA5C4F"/>
    <w:rsid w:val="00EA75D9"/>
    <w:rsid w:val="00EA787A"/>
    <w:rsid w:val="00EB122F"/>
    <w:rsid w:val="00EB7946"/>
    <w:rsid w:val="00EB79C9"/>
    <w:rsid w:val="00EC0052"/>
    <w:rsid w:val="00EC273C"/>
    <w:rsid w:val="00EC4522"/>
    <w:rsid w:val="00EC6DE3"/>
    <w:rsid w:val="00EC7E01"/>
    <w:rsid w:val="00ED0C9F"/>
    <w:rsid w:val="00ED31D2"/>
    <w:rsid w:val="00ED446C"/>
    <w:rsid w:val="00ED59D7"/>
    <w:rsid w:val="00EE23D8"/>
    <w:rsid w:val="00EE2578"/>
    <w:rsid w:val="00EE2ACD"/>
    <w:rsid w:val="00EE5711"/>
    <w:rsid w:val="00EE6611"/>
    <w:rsid w:val="00EE6C33"/>
    <w:rsid w:val="00EF1829"/>
    <w:rsid w:val="00EF721D"/>
    <w:rsid w:val="00F03E76"/>
    <w:rsid w:val="00F1267A"/>
    <w:rsid w:val="00F12874"/>
    <w:rsid w:val="00F12E23"/>
    <w:rsid w:val="00F215D5"/>
    <w:rsid w:val="00F22367"/>
    <w:rsid w:val="00F224CA"/>
    <w:rsid w:val="00F22F2D"/>
    <w:rsid w:val="00F27C5C"/>
    <w:rsid w:val="00F27E9A"/>
    <w:rsid w:val="00F307C2"/>
    <w:rsid w:val="00F353F9"/>
    <w:rsid w:val="00F36E28"/>
    <w:rsid w:val="00F370C4"/>
    <w:rsid w:val="00F41193"/>
    <w:rsid w:val="00F437A0"/>
    <w:rsid w:val="00F44DA8"/>
    <w:rsid w:val="00F477C7"/>
    <w:rsid w:val="00F5052E"/>
    <w:rsid w:val="00F544B2"/>
    <w:rsid w:val="00F550E7"/>
    <w:rsid w:val="00F554CE"/>
    <w:rsid w:val="00F56126"/>
    <w:rsid w:val="00F57B9E"/>
    <w:rsid w:val="00F6033F"/>
    <w:rsid w:val="00F7002E"/>
    <w:rsid w:val="00F8494F"/>
    <w:rsid w:val="00F87A91"/>
    <w:rsid w:val="00F9017F"/>
    <w:rsid w:val="00F96C96"/>
    <w:rsid w:val="00FA35D9"/>
    <w:rsid w:val="00FA38CD"/>
    <w:rsid w:val="00FA39FD"/>
    <w:rsid w:val="00FA5D6E"/>
    <w:rsid w:val="00FB23CF"/>
    <w:rsid w:val="00FB6655"/>
    <w:rsid w:val="00FC3C30"/>
    <w:rsid w:val="00FC464F"/>
    <w:rsid w:val="00FD1043"/>
    <w:rsid w:val="00FD68E3"/>
    <w:rsid w:val="00FD72EF"/>
    <w:rsid w:val="00FE199F"/>
    <w:rsid w:val="00FE3047"/>
    <w:rsid w:val="00FE32E2"/>
    <w:rsid w:val="00FE33A2"/>
    <w:rsid w:val="00FE5272"/>
    <w:rsid w:val="00FE6DE7"/>
    <w:rsid w:val="00FF05CE"/>
    <w:rsid w:val="00FF37F9"/>
    <w:rsid w:val="00FF50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3F75E0"/>
  <w14:defaultImageDpi w14:val="0"/>
  <w15:docId w15:val="{30B57357-EB76-4B69-8A8A-1089A1FDB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E51"/>
    <w:pPr>
      <w:spacing w:before="120" w:after="0"/>
    </w:pPr>
    <w:rPr>
      <w:rFonts w:cs="Times New Roman"/>
      <w:sz w:val="24"/>
    </w:rPr>
  </w:style>
  <w:style w:type="paragraph" w:styleId="Heading1">
    <w:name w:val="heading 1"/>
    <w:basedOn w:val="Normal"/>
    <w:next w:val="Normal"/>
    <w:link w:val="Heading1Char"/>
    <w:uiPriority w:val="9"/>
    <w:qFormat/>
    <w:rsid w:val="00D17FC1"/>
    <w:pPr>
      <w:keepNext/>
      <w:jc w:val="center"/>
      <w:outlineLvl w:val="0"/>
    </w:pPr>
    <w:rPr>
      <w:rFonts w:eastAsiaTheme="majorEastAsia"/>
      <w:bCs/>
      <w:kern w:val="32"/>
      <w:sz w:val="30"/>
      <w:szCs w:val="32"/>
    </w:rPr>
  </w:style>
  <w:style w:type="paragraph" w:styleId="Heading2">
    <w:name w:val="heading 2"/>
    <w:basedOn w:val="Heading1"/>
    <w:next w:val="Normal"/>
    <w:link w:val="Heading2Char"/>
    <w:uiPriority w:val="99"/>
    <w:qFormat/>
    <w:rsid w:val="005B47FB"/>
    <w:pPr>
      <w:outlineLvl w:val="1"/>
    </w:pPr>
  </w:style>
  <w:style w:type="paragraph" w:styleId="Heading3">
    <w:name w:val="heading 3"/>
    <w:basedOn w:val="Normal"/>
    <w:next w:val="Normal"/>
    <w:link w:val="Heading3Char"/>
    <w:uiPriority w:val="9"/>
    <w:unhideWhenUsed/>
    <w:qFormat/>
    <w:rsid w:val="00D17FC1"/>
    <w:pPr>
      <w:numPr>
        <w:numId w:val="1"/>
      </w:numPr>
      <w:spacing w:before="360"/>
      <w:outlineLvl w:val="2"/>
    </w:pPr>
    <w:rPr>
      <w:b/>
      <w:sz w:val="26"/>
      <w:szCs w:val="36"/>
    </w:rPr>
  </w:style>
  <w:style w:type="paragraph" w:styleId="Heading4">
    <w:name w:val="heading 4"/>
    <w:basedOn w:val="Normal"/>
    <w:next w:val="Normal"/>
    <w:link w:val="Heading4Char"/>
    <w:uiPriority w:val="9"/>
    <w:unhideWhenUsed/>
    <w:qFormat/>
    <w:rsid w:val="00D17FC1"/>
    <w:pPr>
      <w:keepNext/>
      <w:keepLines/>
      <w:jc w:val="both"/>
      <w:outlineLvl w:val="3"/>
    </w:pPr>
    <w:rPr>
      <w:rFonts w:eastAsiaTheme="majorEastAsia"/>
      <w:b/>
      <w:bCs/>
      <w:i/>
      <w:iCs/>
      <w:szCs w:val="26"/>
    </w:rPr>
  </w:style>
  <w:style w:type="paragraph" w:styleId="Heading5">
    <w:name w:val="heading 5"/>
    <w:basedOn w:val="Heading1"/>
    <w:next w:val="Normal"/>
    <w:link w:val="Heading5Char"/>
    <w:uiPriority w:val="9"/>
    <w:unhideWhenUsed/>
    <w:qFormat/>
    <w:rsid w:val="00D17FC1"/>
    <w:pPr>
      <w:jc w:val="left"/>
      <w:outlineLvl w:val="4"/>
    </w:pPr>
  </w:style>
  <w:style w:type="paragraph" w:styleId="Heading6">
    <w:name w:val="heading 6"/>
    <w:basedOn w:val="Heading2"/>
    <w:next w:val="Normal"/>
    <w:link w:val="Heading6Char"/>
    <w:uiPriority w:val="9"/>
    <w:unhideWhenUsed/>
    <w:qFormat/>
    <w:rsid w:val="00D17FC1"/>
    <w:pPr>
      <w:pBdr>
        <w:bottom w:val="single" w:sz="4" w:space="1" w:color="auto"/>
      </w:pBdr>
      <w:jc w:val="left"/>
      <w:outlineLvl w:val="5"/>
    </w:pPr>
    <w:rPr>
      <w:szCs w:val="36"/>
    </w:rPr>
  </w:style>
  <w:style w:type="paragraph" w:styleId="Heading7">
    <w:name w:val="heading 7"/>
    <w:basedOn w:val="Heading2"/>
    <w:next w:val="Normal"/>
    <w:link w:val="Heading7Char"/>
    <w:uiPriority w:val="9"/>
    <w:unhideWhenUsed/>
    <w:qFormat/>
    <w:rsid w:val="00D17FC1"/>
    <w:pPr>
      <w:spacing w:before="240"/>
      <w:jc w:val="left"/>
      <w:outlineLvl w:val="6"/>
    </w:pPr>
    <w:rPr>
      <w:sz w:val="26"/>
    </w:rPr>
  </w:style>
  <w:style w:type="paragraph" w:styleId="Heading8">
    <w:name w:val="heading 8"/>
    <w:basedOn w:val="Normal"/>
    <w:next w:val="Normal"/>
    <w:link w:val="Heading8Char"/>
    <w:uiPriority w:val="9"/>
    <w:unhideWhenUsed/>
    <w:qFormat/>
    <w:rsid w:val="00D17FC1"/>
    <w:pPr>
      <w:keepNext/>
      <w:keepLines/>
      <w:outlineLvl w:val="7"/>
    </w:pPr>
    <w:rPr>
      <w:rFonts w:eastAsiaTheme="majorEastAsia"/>
      <w:b/>
      <w:i/>
      <w:szCs w:val="20"/>
      <w:lang w:eastAsia="en-AU"/>
    </w:rPr>
  </w:style>
  <w:style w:type="paragraph" w:styleId="Heading9">
    <w:name w:val="heading 9"/>
    <w:basedOn w:val="Normal"/>
    <w:next w:val="Normal"/>
    <w:link w:val="Heading9Char"/>
    <w:uiPriority w:val="9"/>
    <w:unhideWhenUsed/>
    <w:qFormat/>
    <w:rsid w:val="00455CF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17FC1"/>
    <w:rPr>
      <w:rFonts w:eastAsiaTheme="majorEastAsia" w:cs="Times New Roman"/>
      <w:bCs/>
      <w:kern w:val="32"/>
      <w:sz w:val="32"/>
      <w:szCs w:val="32"/>
    </w:rPr>
  </w:style>
  <w:style w:type="character" w:customStyle="1" w:styleId="Heading2Char">
    <w:name w:val="Heading 2 Char"/>
    <w:basedOn w:val="DefaultParagraphFont"/>
    <w:link w:val="Heading2"/>
    <w:uiPriority w:val="99"/>
    <w:locked/>
    <w:rsid w:val="005B47FB"/>
    <w:rPr>
      <w:rFonts w:eastAsiaTheme="majorEastAsia" w:cs="Times New Roman"/>
      <w:bCs/>
      <w:kern w:val="32"/>
      <w:sz w:val="32"/>
      <w:szCs w:val="32"/>
    </w:rPr>
  </w:style>
  <w:style w:type="character" w:customStyle="1" w:styleId="Heading3Char">
    <w:name w:val="Heading 3 Char"/>
    <w:basedOn w:val="DefaultParagraphFont"/>
    <w:link w:val="Heading3"/>
    <w:uiPriority w:val="9"/>
    <w:locked/>
    <w:rsid w:val="00D17FC1"/>
    <w:rPr>
      <w:rFonts w:cs="Times New Roman"/>
      <w:b/>
      <w:sz w:val="36"/>
      <w:szCs w:val="36"/>
    </w:rPr>
  </w:style>
  <w:style w:type="character" w:customStyle="1" w:styleId="Heading4Char">
    <w:name w:val="Heading 4 Char"/>
    <w:basedOn w:val="DefaultParagraphFont"/>
    <w:link w:val="Heading4"/>
    <w:uiPriority w:val="9"/>
    <w:locked/>
    <w:rsid w:val="00D17FC1"/>
    <w:rPr>
      <w:rFonts w:eastAsiaTheme="majorEastAsia" w:cs="Times New Roman"/>
      <w:b/>
      <w:bCs/>
      <w:i/>
      <w:iCs/>
      <w:sz w:val="26"/>
      <w:szCs w:val="26"/>
    </w:rPr>
  </w:style>
  <w:style w:type="character" w:customStyle="1" w:styleId="Heading5Char">
    <w:name w:val="Heading 5 Char"/>
    <w:basedOn w:val="DefaultParagraphFont"/>
    <w:link w:val="Heading5"/>
    <w:uiPriority w:val="9"/>
    <w:locked/>
    <w:rsid w:val="00D17FC1"/>
    <w:rPr>
      <w:rFonts w:eastAsiaTheme="majorEastAsia" w:cs="Times New Roman"/>
      <w:bCs/>
      <w:kern w:val="32"/>
      <w:sz w:val="32"/>
      <w:szCs w:val="32"/>
    </w:rPr>
  </w:style>
  <w:style w:type="character" w:customStyle="1" w:styleId="Heading6Char">
    <w:name w:val="Heading 6 Char"/>
    <w:basedOn w:val="DefaultParagraphFont"/>
    <w:link w:val="Heading6"/>
    <w:uiPriority w:val="9"/>
    <w:locked/>
    <w:rsid w:val="00D17FC1"/>
    <w:rPr>
      <w:rFonts w:cs="Times New Roman"/>
      <w:b/>
      <w:sz w:val="36"/>
      <w:szCs w:val="36"/>
    </w:rPr>
  </w:style>
  <w:style w:type="character" w:customStyle="1" w:styleId="Heading7Char">
    <w:name w:val="Heading 7 Char"/>
    <w:basedOn w:val="DefaultParagraphFont"/>
    <w:link w:val="Heading7"/>
    <w:uiPriority w:val="9"/>
    <w:locked/>
    <w:rsid w:val="00D17FC1"/>
    <w:rPr>
      <w:rFonts w:cs="Times New Roman"/>
      <w:b/>
      <w:sz w:val="30"/>
      <w:szCs w:val="30"/>
    </w:rPr>
  </w:style>
  <w:style w:type="character" w:customStyle="1" w:styleId="Heading8Char">
    <w:name w:val="Heading 8 Char"/>
    <w:basedOn w:val="DefaultParagraphFont"/>
    <w:link w:val="Heading8"/>
    <w:uiPriority w:val="9"/>
    <w:locked/>
    <w:rsid w:val="00D17FC1"/>
    <w:rPr>
      <w:rFonts w:eastAsiaTheme="majorEastAsia" w:cs="Times New Roman"/>
      <w:b/>
      <w:i/>
      <w:sz w:val="20"/>
      <w:szCs w:val="20"/>
      <w:lang w:val="x-none" w:eastAsia="en-AU"/>
    </w:rPr>
  </w:style>
  <w:style w:type="paragraph" w:styleId="ListParagraph">
    <w:name w:val="List Paragraph"/>
    <w:basedOn w:val="Normal"/>
    <w:uiPriority w:val="34"/>
    <w:qFormat/>
    <w:rsid w:val="00EC6DE3"/>
    <w:pPr>
      <w:ind w:left="720"/>
      <w:contextualSpacing/>
    </w:pPr>
  </w:style>
  <w:style w:type="table" w:styleId="TableGrid">
    <w:name w:val="Table Grid"/>
    <w:basedOn w:val="TableNormal"/>
    <w:uiPriority w:val="59"/>
    <w:rsid w:val="00AD6B43"/>
    <w:pPr>
      <w:spacing w:after="0" w:line="240" w:lineRule="auto"/>
      <w:jc w:val="both"/>
    </w:pPr>
    <w:rPr>
      <w:rFonts w:ascii="Arial" w:hAnsi="Arial"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Head5">
    <w:name w:val="ActHead 5"/>
    <w:aliases w:val="s"/>
    <w:basedOn w:val="Normal"/>
    <w:next w:val="Normal"/>
    <w:qFormat/>
    <w:rsid w:val="0076664F"/>
    <w:pPr>
      <w:keepNext/>
      <w:keepLines/>
      <w:spacing w:before="280" w:line="240" w:lineRule="auto"/>
      <w:ind w:left="1134" w:hanging="1134"/>
      <w:outlineLvl w:val="4"/>
    </w:pPr>
    <w:rPr>
      <w:rFonts w:ascii="Times New Roman" w:hAnsi="Times New Roman"/>
      <w:b/>
      <w:kern w:val="28"/>
      <w:szCs w:val="20"/>
      <w:lang w:eastAsia="en-AU"/>
    </w:rPr>
  </w:style>
  <w:style w:type="paragraph" w:styleId="NormalWeb">
    <w:name w:val="Normal (Web)"/>
    <w:basedOn w:val="Normal"/>
    <w:uiPriority w:val="99"/>
    <w:rsid w:val="0052096A"/>
    <w:pPr>
      <w:spacing w:before="100" w:beforeAutospacing="1" w:after="100" w:afterAutospacing="1" w:line="240" w:lineRule="auto"/>
    </w:pPr>
    <w:rPr>
      <w:rFonts w:ascii="Times New Roman" w:hAnsi="Times New Roman"/>
      <w:szCs w:val="24"/>
      <w:lang w:eastAsia="en-AU"/>
    </w:rPr>
  </w:style>
  <w:style w:type="character" w:styleId="Hyperlink">
    <w:name w:val="Hyperlink"/>
    <w:basedOn w:val="DefaultParagraphFont"/>
    <w:uiPriority w:val="99"/>
    <w:rsid w:val="00302BA8"/>
    <w:rPr>
      <w:rFonts w:cs="Times New Roman"/>
      <w:color w:val="63656A"/>
      <w:sz w:val="24"/>
      <w:szCs w:val="24"/>
      <w:u w:val="none"/>
    </w:rPr>
  </w:style>
  <w:style w:type="paragraph" w:styleId="Caption">
    <w:name w:val="caption"/>
    <w:basedOn w:val="Normal"/>
    <w:next w:val="Normal"/>
    <w:uiPriority w:val="99"/>
    <w:qFormat/>
    <w:rsid w:val="0052096A"/>
    <w:pPr>
      <w:tabs>
        <w:tab w:val="center" w:pos="4512"/>
      </w:tabs>
      <w:suppressAutoHyphens/>
      <w:spacing w:line="360" w:lineRule="auto"/>
      <w:jc w:val="center"/>
    </w:pPr>
    <w:rPr>
      <w:rFonts w:ascii="Times New Roman" w:hAnsi="Times New Roman"/>
      <w:b/>
      <w:bCs/>
      <w:spacing w:val="-3"/>
      <w:szCs w:val="24"/>
    </w:rPr>
  </w:style>
  <w:style w:type="character" w:customStyle="1" w:styleId="textblackitalic1">
    <w:name w:val="textblackitalic1"/>
    <w:basedOn w:val="DefaultParagraphFont"/>
    <w:uiPriority w:val="99"/>
    <w:rsid w:val="0052096A"/>
    <w:rPr>
      <w:rFonts w:ascii="Verdana" w:hAnsi="Verdana" w:cs="Verdana"/>
      <w:i/>
      <w:iCs/>
      <w:color w:val="000000"/>
      <w:sz w:val="18"/>
      <w:szCs w:val="18"/>
    </w:rPr>
  </w:style>
  <w:style w:type="paragraph" w:customStyle="1" w:styleId="Style2">
    <w:name w:val="Style2"/>
    <w:basedOn w:val="Normal"/>
    <w:uiPriority w:val="99"/>
    <w:rsid w:val="0052096A"/>
    <w:pPr>
      <w:spacing w:line="240" w:lineRule="auto"/>
    </w:pPr>
    <w:rPr>
      <w:rFonts w:ascii="Times New Roman" w:hAnsi="Times New Roman"/>
      <w:szCs w:val="24"/>
    </w:rPr>
  </w:style>
  <w:style w:type="paragraph" w:styleId="PlainText">
    <w:name w:val="Plain Text"/>
    <w:basedOn w:val="Normal"/>
    <w:link w:val="PlainTextChar"/>
    <w:uiPriority w:val="99"/>
    <w:rsid w:val="0052096A"/>
    <w:pPr>
      <w:spacing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locked/>
    <w:rsid w:val="0052096A"/>
    <w:rPr>
      <w:rFonts w:ascii="Courier New" w:hAnsi="Courier New" w:cs="Courier New"/>
      <w:sz w:val="20"/>
      <w:szCs w:val="20"/>
    </w:rPr>
  </w:style>
  <w:style w:type="paragraph" w:styleId="Header">
    <w:name w:val="header"/>
    <w:basedOn w:val="Normal"/>
    <w:link w:val="HeaderChar"/>
    <w:uiPriority w:val="99"/>
    <w:unhideWhenUsed/>
    <w:rsid w:val="00533555"/>
    <w:pPr>
      <w:tabs>
        <w:tab w:val="center" w:pos="4513"/>
        <w:tab w:val="right" w:pos="9026"/>
      </w:tabs>
      <w:spacing w:line="240" w:lineRule="auto"/>
    </w:pPr>
  </w:style>
  <w:style w:type="character" w:customStyle="1" w:styleId="HeaderChar">
    <w:name w:val="Header Char"/>
    <w:basedOn w:val="DefaultParagraphFont"/>
    <w:link w:val="Header"/>
    <w:uiPriority w:val="99"/>
    <w:locked/>
    <w:rsid w:val="00533555"/>
    <w:rPr>
      <w:rFonts w:cs="Times New Roman"/>
    </w:rPr>
  </w:style>
  <w:style w:type="paragraph" w:styleId="Footer">
    <w:name w:val="footer"/>
    <w:basedOn w:val="Normal"/>
    <w:link w:val="FooterChar"/>
    <w:uiPriority w:val="99"/>
    <w:unhideWhenUsed/>
    <w:rsid w:val="00533555"/>
    <w:pPr>
      <w:tabs>
        <w:tab w:val="center" w:pos="4513"/>
        <w:tab w:val="right" w:pos="9026"/>
      </w:tabs>
      <w:spacing w:line="240" w:lineRule="auto"/>
    </w:pPr>
  </w:style>
  <w:style w:type="character" w:customStyle="1" w:styleId="FooterChar">
    <w:name w:val="Footer Char"/>
    <w:basedOn w:val="DefaultParagraphFont"/>
    <w:link w:val="Footer"/>
    <w:uiPriority w:val="99"/>
    <w:locked/>
    <w:rsid w:val="00533555"/>
    <w:rPr>
      <w:rFonts w:cs="Times New Roman"/>
    </w:rPr>
  </w:style>
  <w:style w:type="character" w:styleId="Strong">
    <w:name w:val="Strong"/>
    <w:basedOn w:val="DefaultParagraphFont"/>
    <w:uiPriority w:val="22"/>
    <w:qFormat/>
    <w:rsid w:val="00936972"/>
    <w:rPr>
      <w:rFonts w:cs="Times New Roman"/>
      <w:b/>
      <w:bCs/>
    </w:rPr>
  </w:style>
  <w:style w:type="paragraph" w:styleId="BalloonText">
    <w:name w:val="Balloon Text"/>
    <w:basedOn w:val="Normal"/>
    <w:link w:val="BalloonTextChar"/>
    <w:uiPriority w:val="99"/>
    <w:semiHidden/>
    <w:unhideWhenUsed/>
    <w:rsid w:val="008239A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239AB"/>
    <w:rPr>
      <w:rFonts w:ascii="Tahoma" w:hAnsi="Tahoma" w:cs="Tahoma"/>
      <w:sz w:val="16"/>
      <w:szCs w:val="16"/>
    </w:rPr>
  </w:style>
  <w:style w:type="character" w:styleId="CommentReference">
    <w:name w:val="annotation reference"/>
    <w:basedOn w:val="DefaultParagraphFont"/>
    <w:uiPriority w:val="99"/>
    <w:semiHidden/>
    <w:unhideWhenUsed/>
    <w:rsid w:val="00EA0E3D"/>
    <w:rPr>
      <w:rFonts w:cs="Times New Roman"/>
      <w:sz w:val="16"/>
      <w:szCs w:val="16"/>
    </w:rPr>
  </w:style>
  <w:style w:type="paragraph" w:styleId="CommentText">
    <w:name w:val="annotation text"/>
    <w:basedOn w:val="Normal"/>
    <w:link w:val="CommentTextChar"/>
    <w:uiPriority w:val="99"/>
    <w:semiHidden/>
    <w:unhideWhenUsed/>
    <w:rsid w:val="00EA0E3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A0E3D"/>
    <w:rPr>
      <w:rFonts w:cs="Times New Roman"/>
      <w:sz w:val="20"/>
      <w:szCs w:val="20"/>
    </w:rPr>
  </w:style>
  <w:style w:type="paragraph" w:styleId="CommentSubject">
    <w:name w:val="annotation subject"/>
    <w:basedOn w:val="CommentText"/>
    <w:next w:val="CommentText"/>
    <w:link w:val="CommentSubjectChar"/>
    <w:uiPriority w:val="99"/>
    <w:semiHidden/>
    <w:unhideWhenUsed/>
    <w:rsid w:val="00EA0E3D"/>
    <w:rPr>
      <w:b/>
      <w:bCs/>
    </w:rPr>
  </w:style>
  <w:style w:type="character" w:customStyle="1" w:styleId="CommentSubjectChar">
    <w:name w:val="Comment Subject Char"/>
    <w:basedOn w:val="CommentTextChar"/>
    <w:link w:val="CommentSubject"/>
    <w:uiPriority w:val="99"/>
    <w:semiHidden/>
    <w:locked/>
    <w:rsid w:val="00EA0E3D"/>
    <w:rPr>
      <w:rFonts w:cs="Times New Roman"/>
      <w:b/>
      <w:bCs/>
      <w:sz w:val="20"/>
      <w:szCs w:val="20"/>
    </w:rPr>
  </w:style>
  <w:style w:type="paragraph" w:styleId="FootnoteText">
    <w:name w:val="footnote text"/>
    <w:basedOn w:val="Normal"/>
    <w:link w:val="FootnoteTextChar"/>
    <w:uiPriority w:val="99"/>
    <w:semiHidden/>
    <w:unhideWhenUsed/>
    <w:rsid w:val="003A6389"/>
    <w:pPr>
      <w:spacing w:line="240" w:lineRule="auto"/>
    </w:pPr>
    <w:rPr>
      <w:sz w:val="20"/>
      <w:szCs w:val="20"/>
    </w:rPr>
  </w:style>
  <w:style w:type="character" w:customStyle="1" w:styleId="FootnoteTextChar">
    <w:name w:val="Footnote Text Char"/>
    <w:basedOn w:val="DefaultParagraphFont"/>
    <w:link w:val="FootnoteText"/>
    <w:uiPriority w:val="99"/>
    <w:semiHidden/>
    <w:locked/>
    <w:rsid w:val="003A6389"/>
    <w:rPr>
      <w:rFonts w:cs="Times New Roman"/>
      <w:sz w:val="20"/>
      <w:szCs w:val="20"/>
    </w:rPr>
  </w:style>
  <w:style w:type="character" w:styleId="FootnoteReference">
    <w:name w:val="footnote reference"/>
    <w:basedOn w:val="DefaultParagraphFont"/>
    <w:uiPriority w:val="99"/>
    <w:semiHidden/>
    <w:unhideWhenUsed/>
    <w:rsid w:val="003A6389"/>
    <w:rPr>
      <w:rFonts w:cs="Times New Roman"/>
      <w:vertAlign w:val="superscript"/>
    </w:rPr>
  </w:style>
  <w:style w:type="character" w:styleId="FollowedHyperlink">
    <w:name w:val="FollowedHyperlink"/>
    <w:basedOn w:val="DefaultParagraphFont"/>
    <w:uiPriority w:val="99"/>
    <w:semiHidden/>
    <w:unhideWhenUsed/>
    <w:rsid w:val="00EC7E01"/>
    <w:rPr>
      <w:rFonts w:cs="Times New Roman"/>
      <w:color w:val="800080" w:themeColor="followedHyperlink"/>
      <w:u w:val="single"/>
    </w:rPr>
  </w:style>
  <w:style w:type="paragraph" w:styleId="Revision">
    <w:name w:val="Revision"/>
    <w:hidden/>
    <w:uiPriority w:val="99"/>
    <w:semiHidden/>
    <w:rsid w:val="005F01BC"/>
    <w:pPr>
      <w:spacing w:after="0" w:line="240" w:lineRule="auto"/>
    </w:pPr>
    <w:rPr>
      <w:rFonts w:cs="Times New Roman"/>
      <w:sz w:val="24"/>
    </w:rPr>
  </w:style>
  <w:style w:type="character" w:customStyle="1" w:styleId="Heading9Char">
    <w:name w:val="Heading 9 Char"/>
    <w:basedOn w:val="DefaultParagraphFont"/>
    <w:link w:val="Heading9"/>
    <w:uiPriority w:val="9"/>
    <w:rsid w:val="00455CF8"/>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821588">
      <w:bodyDiv w:val="1"/>
      <w:marLeft w:val="0"/>
      <w:marRight w:val="0"/>
      <w:marTop w:val="0"/>
      <w:marBottom w:val="0"/>
      <w:divBdr>
        <w:top w:val="none" w:sz="0" w:space="0" w:color="auto"/>
        <w:left w:val="none" w:sz="0" w:space="0" w:color="auto"/>
        <w:bottom w:val="none" w:sz="0" w:space="0" w:color="auto"/>
        <w:right w:val="none" w:sz="0" w:space="0" w:color="auto"/>
      </w:divBdr>
    </w:div>
    <w:div w:id="1041630124">
      <w:marLeft w:val="0"/>
      <w:marRight w:val="0"/>
      <w:marTop w:val="0"/>
      <w:marBottom w:val="0"/>
      <w:divBdr>
        <w:top w:val="none" w:sz="0" w:space="0" w:color="auto"/>
        <w:left w:val="none" w:sz="0" w:space="0" w:color="auto"/>
        <w:bottom w:val="none" w:sz="0" w:space="0" w:color="auto"/>
        <w:right w:val="none" w:sz="0" w:space="0" w:color="auto"/>
      </w:divBdr>
    </w:div>
    <w:div w:id="1041630125">
      <w:marLeft w:val="0"/>
      <w:marRight w:val="0"/>
      <w:marTop w:val="0"/>
      <w:marBottom w:val="0"/>
      <w:divBdr>
        <w:top w:val="none" w:sz="0" w:space="0" w:color="auto"/>
        <w:left w:val="none" w:sz="0" w:space="0" w:color="auto"/>
        <w:bottom w:val="none" w:sz="0" w:space="0" w:color="auto"/>
        <w:right w:val="none" w:sz="0" w:space="0" w:color="auto"/>
      </w:divBdr>
    </w:div>
    <w:div w:id="1041630127">
      <w:marLeft w:val="0"/>
      <w:marRight w:val="0"/>
      <w:marTop w:val="0"/>
      <w:marBottom w:val="0"/>
      <w:divBdr>
        <w:top w:val="none" w:sz="0" w:space="0" w:color="auto"/>
        <w:left w:val="none" w:sz="0" w:space="0" w:color="auto"/>
        <w:bottom w:val="none" w:sz="0" w:space="0" w:color="auto"/>
        <w:right w:val="none" w:sz="0" w:space="0" w:color="auto"/>
      </w:divBdr>
      <w:divsChild>
        <w:div w:id="1041630126">
          <w:marLeft w:val="1267"/>
          <w:marRight w:val="0"/>
          <w:marTop w:val="0"/>
          <w:marBottom w:val="0"/>
          <w:divBdr>
            <w:top w:val="none" w:sz="0" w:space="0" w:color="auto"/>
            <w:left w:val="none" w:sz="0" w:space="0" w:color="auto"/>
            <w:bottom w:val="none" w:sz="0" w:space="0" w:color="auto"/>
            <w:right w:val="none" w:sz="0" w:space="0" w:color="auto"/>
          </w:divBdr>
        </w:div>
        <w:div w:id="1041630128">
          <w:marLeft w:val="1267"/>
          <w:marRight w:val="0"/>
          <w:marTop w:val="0"/>
          <w:marBottom w:val="0"/>
          <w:divBdr>
            <w:top w:val="none" w:sz="0" w:space="0" w:color="auto"/>
            <w:left w:val="none" w:sz="0" w:space="0" w:color="auto"/>
            <w:bottom w:val="none" w:sz="0" w:space="0" w:color="auto"/>
            <w:right w:val="none" w:sz="0" w:space="0" w:color="auto"/>
          </w:divBdr>
        </w:div>
        <w:div w:id="1041630129">
          <w:marLeft w:val="1267"/>
          <w:marRight w:val="0"/>
          <w:marTop w:val="0"/>
          <w:marBottom w:val="0"/>
          <w:divBdr>
            <w:top w:val="none" w:sz="0" w:space="0" w:color="auto"/>
            <w:left w:val="none" w:sz="0" w:space="0" w:color="auto"/>
            <w:bottom w:val="none" w:sz="0" w:space="0" w:color="auto"/>
            <w:right w:val="none" w:sz="0" w:space="0" w:color="auto"/>
          </w:divBdr>
        </w:div>
        <w:div w:id="1041630130">
          <w:marLeft w:val="1267"/>
          <w:marRight w:val="0"/>
          <w:marTop w:val="0"/>
          <w:marBottom w:val="0"/>
          <w:divBdr>
            <w:top w:val="none" w:sz="0" w:space="0" w:color="auto"/>
            <w:left w:val="none" w:sz="0" w:space="0" w:color="auto"/>
            <w:bottom w:val="none" w:sz="0" w:space="0" w:color="auto"/>
            <w:right w:val="none" w:sz="0" w:space="0" w:color="auto"/>
          </w:divBdr>
        </w:div>
        <w:div w:id="1041630131">
          <w:marLeft w:val="1267"/>
          <w:marRight w:val="0"/>
          <w:marTop w:val="0"/>
          <w:marBottom w:val="0"/>
          <w:divBdr>
            <w:top w:val="none" w:sz="0" w:space="0" w:color="auto"/>
            <w:left w:val="none" w:sz="0" w:space="0" w:color="auto"/>
            <w:bottom w:val="none" w:sz="0" w:space="0" w:color="auto"/>
            <w:right w:val="none" w:sz="0" w:space="0" w:color="auto"/>
          </w:divBdr>
        </w:div>
        <w:div w:id="1041630132">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Series/C2004A00818" TargetMode="External"/><Relationship Id="rId13" Type="http://schemas.openxmlformats.org/officeDocument/2006/relationships/hyperlink" Target="https://www.legislation.gov.au/Series/F2002B00094" TargetMode="External"/><Relationship Id="rId18" Type="http://schemas.openxmlformats.org/officeDocument/2006/relationships/hyperlink" Target="https://www.legislation.gov.au/Series/C2004A00818"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legislation.gov.au/Series/F2002B00094" TargetMode="External"/><Relationship Id="rId7" Type="http://schemas.openxmlformats.org/officeDocument/2006/relationships/endnotes" Target="endnotes.xml"/><Relationship Id="rId12" Type="http://schemas.openxmlformats.org/officeDocument/2006/relationships/hyperlink" Target="http://www.fedcourt.gov.au/law-and-practice/national-practice-areas/commercial/corporate-insolvency" TargetMode="External"/><Relationship Id="rId17" Type="http://schemas.openxmlformats.org/officeDocument/2006/relationships/hyperlink" Target="https://www.legislation.gov.au/Series/F2002B00094" TargetMode="External"/><Relationship Id="rId25" Type="http://schemas.openxmlformats.org/officeDocument/2006/relationships/hyperlink" Target="http://www.fedcourt.gov.au/law-and-practice/national-practice-areas/commercial/corporate-insolvency" TargetMode="External"/><Relationship Id="rId2" Type="http://schemas.openxmlformats.org/officeDocument/2006/relationships/numbering" Target="numbering.xml"/><Relationship Id="rId16" Type="http://schemas.openxmlformats.org/officeDocument/2006/relationships/hyperlink" Target="https://www.legislation.gov.au/Series/F2011L01551" TargetMode="External"/><Relationship Id="rId20" Type="http://schemas.openxmlformats.org/officeDocument/2006/relationships/hyperlink" Target="https://www.legislation.gov.au/Series/C2004A00818"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edcourt.gov.au/law-and-practice/national-practice-areas/commercial/judges" TargetMode="External"/><Relationship Id="rId24" Type="http://schemas.openxmlformats.org/officeDocument/2006/relationships/hyperlink" Target="https://www.legislation.gov.au/Series/F2011L01551" TargetMode="External"/><Relationship Id="rId5" Type="http://schemas.openxmlformats.org/officeDocument/2006/relationships/webSettings" Target="webSettings.xml"/><Relationship Id="rId15" Type="http://schemas.openxmlformats.org/officeDocument/2006/relationships/hyperlink" Target="https://www.legislation.gov.au/Series/C2004A00818" TargetMode="External"/><Relationship Id="rId23" Type="http://schemas.openxmlformats.org/officeDocument/2006/relationships/hyperlink" Target="https://www.legislation.gov.au/Series/C2004A00818" TargetMode="External"/><Relationship Id="rId28" Type="http://schemas.openxmlformats.org/officeDocument/2006/relationships/fontTable" Target="fontTable.xml"/><Relationship Id="rId10" Type="http://schemas.openxmlformats.org/officeDocument/2006/relationships/hyperlink" Target="https://www.legislation.gov.au/Series/C2008A00024" TargetMode="External"/><Relationship Id="rId19" Type="http://schemas.openxmlformats.org/officeDocument/2006/relationships/hyperlink" Target="https://www.legislation.gov.au/Series/F2002B00094" TargetMode="External"/><Relationship Id="rId4" Type="http://schemas.openxmlformats.org/officeDocument/2006/relationships/settings" Target="settings.xml"/><Relationship Id="rId9" Type="http://schemas.openxmlformats.org/officeDocument/2006/relationships/hyperlink" Target="https://www.legislation.gov.au/Series/C2004A00819" TargetMode="External"/><Relationship Id="rId14" Type="http://schemas.openxmlformats.org/officeDocument/2006/relationships/hyperlink" Target="https://www.legislation.gov.au/Series/C2004A00818" TargetMode="External"/><Relationship Id="rId22" Type="http://schemas.openxmlformats.org/officeDocument/2006/relationships/hyperlink" Target="https://www.legislation.gov.au/Series/C2004A00818"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0124B-10CA-4D2B-B8F2-2F0400EC4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1848</Words>
  <Characters>11072</Characters>
  <Application>Microsoft Office Word</Application>
  <DocSecurity>4</DocSecurity>
  <Lines>92</Lines>
  <Paragraphs>25</Paragraphs>
  <ScaleCrop>false</ScaleCrop>
  <Company/>
  <LinksUpToDate>false</LinksUpToDate>
  <CharactersWithSpaces>12895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 and Corporations Practice Note</dc:title>
  <dc:subject/>
  <dc:creator>Angela Fassoulas</dc:creator>
  <cp:keywords/>
  <dc:description/>
  <cp:lastModifiedBy>Angela Fassoulas</cp:lastModifiedBy>
  <cp:revision>2</cp:revision>
  <dcterms:created xsi:type="dcterms:W3CDTF">2024-11-12T23:41:00Z</dcterms:created>
  <dcterms:modified xsi:type="dcterms:W3CDTF">2024-11-12T23:41:00Z</dcterms:modified>
</cp:coreProperties>
</file>