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E99666" w14:textId="77777777" w:rsidR="003406B7" w:rsidRPr="00DD57F1" w:rsidRDefault="00AF3F78" w:rsidP="003406B7">
      <w:pPr>
        <w:spacing w:after="240" w:line="300" w:lineRule="auto"/>
        <w:jc w:val="center"/>
        <w:rPr>
          <w:rFonts w:ascii="Times New Roman" w:hAnsi="Times New Roman" w:cs="Times New Roman"/>
          <w:b/>
          <w:sz w:val="24"/>
          <w:szCs w:val="24"/>
        </w:rPr>
      </w:pPr>
      <w:r w:rsidRPr="00DD57F1">
        <w:rPr>
          <w:rFonts w:ascii="Times New Roman" w:hAnsi="Times New Roman" w:cs="Times New Roman"/>
          <w:b/>
          <w:caps/>
          <w:sz w:val="24"/>
          <w:szCs w:val="24"/>
        </w:rPr>
        <w:t xml:space="preserve">Civil Justice </w:t>
      </w:r>
      <w:r w:rsidR="00C42B70" w:rsidRPr="00DD57F1">
        <w:rPr>
          <w:rFonts w:ascii="Times New Roman" w:hAnsi="Times New Roman" w:cs="Times New Roman"/>
          <w:b/>
          <w:caps/>
          <w:sz w:val="24"/>
          <w:szCs w:val="24"/>
        </w:rPr>
        <w:t>Reform</w:t>
      </w:r>
      <w:r w:rsidR="00C97C3B" w:rsidRPr="00DD57F1">
        <w:rPr>
          <w:rFonts w:ascii="Times New Roman" w:hAnsi="Times New Roman" w:cs="Times New Roman"/>
          <w:b/>
          <w:caps/>
          <w:sz w:val="24"/>
          <w:szCs w:val="24"/>
        </w:rPr>
        <w:t>s</w:t>
      </w:r>
      <w:r w:rsidR="00C42B70" w:rsidRPr="00DD57F1">
        <w:rPr>
          <w:rFonts w:ascii="Times New Roman" w:hAnsi="Times New Roman" w:cs="Times New Roman"/>
          <w:b/>
          <w:caps/>
          <w:sz w:val="24"/>
          <w:szCs w:val="24"/>
        </w:rPr>
        <w:t xml:space="preserve"> </w:t>
      </w:r>
      <w:r w:rsidR="00C97C3B" w:rsidRPr="00DD57F1">
        <w:rPr>
          <w:rFonts w:ascii="Times New Roman" w:hAnsi="Times New Roman" w:cs="Times New Roman"/>
          <w:b/>
          <w:caps/>
          <w:sz w:val="24"/>
          <w:szCs w:val="24"/>
        </w:rPr>
        <w:t>in Class Action</w:t>
      </w:r>
      <w:r w:rsidR="003406B7" w:rsidRPr="00DD57F1">
        <w:rPr>
          <w:rFonts w:ascii="Times New Roman" w:hAnsi="Times New Roman" w:cs="Times New Roman"/>
          <w:b/>
          <w:caps/>
          <w:sz w:val="24"/>
          <w:szCs w:val="24"/>
        </w:rPr>
        <w:t>s</w:t>
      </w:r>
      <w:r w:rsidR="003319FB" w:rsidRPr="00DD57F1">
        <w:rPr>
          <w:rFonts w:ascii="Times New Roman" w:hAnsi="Times New Roman" w:cs="Times New Roman"/>
          <w:b/>
          <w:caps/>
          <w:sz w:val="24"/>
          <w:szCs w:val="24"/>
        </w:rPr>
        <w:t xml:space="preserve"> and Litigation Funding</w:t>
      </w:r>
      <w:r w:rsidR="003406B7" w:rsidRPr="00DD57F1">
        <w:rPr>
          <w:rFonts w:ascii="Times New Roman" w:hAnsi="Times New Roman" w:cs="Times New Roman"/>
          <w:b/>
          <w:sz w:val="24"/>
          <w:szCs w:val="24"/>
        </w:rPr>
        <w:t xml:space="preserve"> </w:t>
      </w:r>
    </w:p>
    <w:p w14:paraId="6C3B7343" w14:textId="2E07B3B5" w:rsidR="003406B7" w:rsidRPr="00DD57F1" w:rsidRDefault="003406B7" w:rsidP="003406B7">
      <w:pPr>
        <w:spacing w:after="240" w:line="300" w:lineRule="auto"/>
        <w:jc w:val="center"/>
        <w:rPr>
          <w:rFonts w:ascii="Times New Roman" w:hAnsi="Times New Roman" w:cs="Times New Roman"/>
          <w:b/>
          <w:sz w:val="24"/>
          <w:szCs w:val="24"/>
        </w:rPr>
      </w:pPr>
      <w:r w:rsidRPr="00DD57F1">
        <w:rPr>
          <w:rFonts w:ascii="Times New Roman" w:hAnsi="Times New Roman" w:cs="Times New Roman"/>
          <w:b/>
          <w:sz w:val="24"/>
          <w:szCs w:val="24"/>
        </w:rPr>
        <w:t xml:space="preserve">ALFA Class Action Litigation Funding Reform Conference </w:t>
      </w:r>
      <w:r w:rsidR="00C52449" w:rsidRPr="00DD57F1">
        <w:rPr>
          <w:rFonts w:ascii="Times New Roman" w:hAnsi="Times New Roman" w:cs="Times New Roman"/>
          <w:b/>
          <w:sz w:val="24"/>
          <w:szCs w:val="24"/>
        </w:rPr>
        <w:t xml:space="preserve">– </w:t>
      </w:r>
      <w:r w:rsidRPr="00DD57F1">
        <w:rPr>
          <w:rFonts w:ascii="Times New Roman" w:hAnsi="Times New Roman" w:cs="Times New Roman"/>
          <w:b/>
          <w:sz w:val="24"/>
          <w:szCs w:val="24"/>
        </w:rPr>
        <w:t>26 October 2018</w:t>
      </w:r>
    </w:p>
    <w:p w14:paraId="3FC1B19F" w14:textId="138F43BF" w:rsidR="005F3DC7" w:rsidRPr="00984BFA" w:rsidRDefault="00984BFA" w:rsidP="00C42B70">
      <w:pPr>
        <w:spacing w:after="240" w:line="300" w:lineRule="auto"/>
        <w:jc w:val="center"/>
        <w:rPr>
          <w:rFonts w:ascii="Times New Roman" w:hAnsi="Times New Roman" w:cs="Times New Roman"/>
          <w:sz w:val="24"/>
          <w:szCs w:val="24"/>
        </w:rPr>
      </w:pPr>
      <w:r>
        <w:rPr>
          <w:rFonts w:ascii="Times New Roman" w:hAnsi="Times New Roman" w:cs="Times New Roman"/>
          <w:sz w:val="24"/>
          <w:szCs w:val="24"/>
        </w:rPr>
        <w:t>The Hon. Justice B</w:t>
      </w:r>
      <w:r w:rsidRPr="00984BFA">
        <w:rPr>
          <w:rFonts w:ascii="Times New Roman" w:hAnsi="Times New Roman" w:cs="Times New Roman"/>
          <w:sz w:val="24"/>
          <w:szCs w:val="24"/>
        </w:rPr>
        <w:t>ernard Murphy</w:t>
      </w:r>
      <w:r>
        <w:rPr>
          <w:rFonts w:ascii="Times New Roman" w:hAnsi="Times New Roman" w:cs="Times New Roman"/>
          <w:sz w:val="24"/>
          <w:szCs w:val="24"/>
        </w:rPr>
        <w:t>, Federal Court of Australia</w:t>
      </w:r>
    </w:p>
    <w:p w14:paraId="04C80A57" w14:textId="1A8EBC92" w:rsidR="006C415F" w:rsidRPr="00DD57F1" w:rsidRDefault="00F511A0" w:rsidP="00AF3F78">
      <w:pPr>
        <w:spacing w:after="240" w:line="300" w:lineRule="auto"/>
        <w:jc w:val="both"/>
        <w:rPr>
          <w:rFonts w:ascii="Times New Roman" w:hAnsi="Times New Roman" w:cs="Times New Roman"/>
          <w:sz w:val="24"/>
          <w:szCs w:val="24"/>
        </w:rPr>
      </w:pPr>
      <w:r w:rsidRPr="00DD57F1">
        <w:rPr>
          <w:rFonts w:ascii="Times New Roman" w:hAnsi="Times New Roman" w:cs="Times New Roman"/>
          <w:sz w:val="24"/>
          <w:szCs w:val="24"/>
        </w:rPr>
        <w:t xml:space="preserve">As we </w:t>
      </w:r>
      <w:bookmarkStart w:id="0" w:name="_GoBack"/>
      <w:bookmarkEnd w:id="0"/>
      <w:r w:rsidRPr="00DD57F1">
        <w:rPr>
          <w:rFonts w:ascii="Times New Roman" w:hAnsi="Times New Roman" w:cs="Times New Roman"/>
          <w:sz w:val="24"/>
          <w:szCs w:val="24"/>
        </w:rPr>
        <w:t xml:space="preserve">find ourselves at </w:t>
      </w:r>
      <w:r w:rsidR="00C42B70" w:rsidRPr="00DD57F1">
        <w:rPr>
          <w:rFonts w:ascii="Times New Roman" w:hAnsi="Times New Roman" w:cs="Times New Roman"/>
          <w:sz w:val="24"/>
          <w:szCs w:val="24"/>
        </w:rPr>
        <w:t>another conference focused on reform of class actions and litigation funding</w:t>
      </w:r>
      <w:r w:rsidR="00C97C3B" w:rsidRPr="00DD57F1">
        <w:rPr>
          <w:rFonts w:ascii="Times New Roman" w:hAnsi="Times New Roman" w:cs="Times New Roman"/>
          <w:sz w:val="24"/>
          <w:szCs w:val="24"/>
        </w:rPr>
        <w:t xml:space="preserve">, and </w:t>
      </w:r>
      <w:r w:rsidR="00FA13A5" w:rsidRPr="00DD57F1">
        <w:rPr>
          <w:rFonts w:ascii="Times New Roman" w:hAnsi="Times New Roman" w:cs="Times New Roman"/>
          <w:sz w:val="24"/>
          <w:szCs w:val="24"/>
        </w:rPr>
        <w:t>awaiting</w:t>
      </w:r>
      <w:r w:rsidR="00C97C3B" w:rsidRPr="00DD57F1">
        <w:rPr>
          <w:rFonts w:ascii="Times New Roman" w:hAnsi="Times New Roman" w:cs="Times New Roman"/>
          <w:sz w:val="24"/>
          <w:szCs w:val="24"/>
        </w:rPr>
        <w:t xml:space="preserve"> yet another government-commissioned report</w:t>
      </w:r>
      <w:r w:rsidR="00AF3F78" w:rsidRPr="00DD57F1">
        <w:rPr>
          <w:rFonts w:ascii="Times New Roman" w:hAnsi="Times New Roman" w:cs="Times New Roman"/>
          <w:sz w:val="24"/>
          <w:szCs w:val="24"/>
        </w:rPr>
        <w:t xml:space="preserve"> on</w:t>
      </w:r>
      <w:r w:rsidR="003406B7" w:rsidRPr="00DD57F1">
        <w:rPr>
          <w:rFonts w:ascii="Times New Roman" w:hAnsi="Times New Roman" w:cs="Times New Roman"/>
          <w:sz w:val="24"/>
          <w:szCs w:val="24"/>
        </w:rPr>
        <w:t xml:space="preserve"> the</w:t>
      </w:r>
      <w:r w:rsidR="00AF3F78" w:rsidRPr="00DD57F1">
        <w:rPr>
          <w:rFonts w:ascii="Times New Roman" w:hAnsi="Times New Roman" w:cs="Times New Roman"/>
          <w:sz w:val="24"/>
          <w:szCs w:val="24"/>
        </w:rPr>
        <w:t xml:space="preserve"> issue</w:t>
      </w:r>
      <w:r w:rsidR="00C97C3B" w:rsidRPr="00DD57F1">
        <w:rPr>
          <w:rFonts w:ascii="Times New Roman" w:hAnsi="Times New Roman" w:cs="Times New Roman"/>
          <w:sz w:val="24"/>
          <w:szCs w:val="24"/>
        </w:rPr>
        <w:t>,</w:t>
      </w:r>
      <w:r w:rsidR="003406B7" w:rsidRPr="00DD57F1">
        <w:rPr>
          <w:rFonts w:ascii="Times New Roman" w:hAnsi="Times New Roman" w:cs="Times New Roman"/>
          <w:sz w:val="24"/>
          <w:szCs w:val="24"/>
        </w:rPr>
        <w:t xml:space="preserve"> it is hard not to have</w:t>
      </w:r>
      <w:r w:rsidR="00C97C3B" w:rsidRPr="00DD57F1">
        <w:rPr>
          <w:rFonts w:ascii="Times New Roman" w:hAnsi="Times New Roman" w:cs="Times New Roman"/>
          <w:sz w:val="24"/>
          <w:szCs w:val="24"/>
        </w:rPr>
        <w:t xml:space="preserve"> </w:t>
      </w:r>
      <w:r w:rsidR="008C446C" w:rsidRPr="00DD57F1">
        <w:rPr>
          <w:rFonts w:ascii="Times New Roman" w:hAnsi="Times New Roman" w:cs="Times New Roman"/>
          <w:sz w:val="24"/>
          <w:szCs w:val="24"/>
        </w:rPr>
        <w:t>a</w:t>
      </w:r>
      <w:r w:rsidR="00C97C3B" w:rsidRPr="00DD57F1">
        <w:rPr>
          <w:rFonts w:ascii="Times New Roman" w:hAnsi="Times New Roman" w:cs="Times New Roman"/>
          <w:sz w:val="24"/>
          <w:szCs w:val="24"/>
        </w:rPr>
        <w:t xml:space="preserve"> sense of </w:t>
      </w:r>
      <w:r w:rsidR="003319FB" w:rsidRPr="00DD57F1">
        <w:rPr>
          <w:rFonts w:ascii="Times New Roman" w:hAnsi="Times New Roman" w:cs="Times New Roman"/>
          <w:sz w:val="24"/>
          <w:szCs w:val="24"/>
        </w:rPr>
        <w:t>d</w:t>
      </w:r>
      <w:r w:rsidR="00096910" w:rsidRPr="00DD57F1">
        <w:rPr>
          <w:rFonts w:ascii="Times New Roman" w:hAnsi="Times New Roman" w:cs="Times New Roman"/>
          <w:sz w:val="24"/>
          <w:szCs w:val="24"/>
        </w:rPr>
        <w:t>éjà vu</w:t>
      </w:r>
      <w:r w:rsidR="003319FB" w:rsidRPr="00DD57F1">
        <w:rPr>
          <w:rFonts w:ascii="Times New Roman" w:hAnsi="Times New Roman" w:cs="Times New Roman"/>
          <w:sz w:val="24"/>
          <w:szCs w:val="24"/>
        </w:rPr>
        <w:t>.</w:t>
      </w:r>
      <w:r w:rsidR="00AF3F78" w:rsidRPr="00DD57F1">
        <w:rPr>
          <w:rFonts w:ascii="Times New Roman" w:hAnsi="Times New Roman" w:cs="Times New Roman"/>
          <w:sz w:val="24"/>
          <w:szCs w:val="24"/>
        </w:rPr>
        <w:t xml:space="preserve">  The </w:t>
      </w:r>
      <w:r w:rsidR="003406B7" w:rsidRPr="00DD57F1">
        <w:rPr>
          <w:rFonts w:ascii="Times New Roman" w:hAnsi="Times New Roman" w:cs="Times New Roman"/>
          <w:sz w:val="24"/>
          <w:szCs w:val="24"/>
        </w:rPr>
        <w:t>same arguments,</w:t>
      </w:r>
      <w:r w:rsidR="00FA13A5" w:rsidRPr="00DD57F1">
        <w:rPr>
          <w:rFonts w:ascii="Times New Roman" w:hAnsi="Times New Roman" w:cs="Times New Roman"/>
          <w:sz w:val="24"/>
          <w:szCs w:val="24"/>
        </w:rPr>
        <w:t xml:space="preserve"> dressed up in different </w:t>
      </w:r>
      <w:r w:rsidR="003406B7" w:rsidRPr="00DD57F1">
        <w:rPr>
          <w:rFonts w:ascii="Times New Roman" w:hAnsi="Times New Roman" w:cs="Times New Roman"/>
          <w:sz w:val="24"/>
          <w:szCs w:val="24"/>
        </w:rPr>
        <w:t>overcoats, have been</w:t>
      </w:r>
      <w:r w:rsidR="00AF3F78" w:rsidRPr="00DD57F1">
        <w:rPr>
          <w:rFonts w:ascii="Times New Roman" w:hAnsi="Times New Roman" w:cs="Times New Roman"/>
          <w:sz w:val="24"/>
          <w:szCs w:val="24"/>
        </w:rPr>
        <w:t xml:space="preserve"> discussed </w:t>
      </w:r>
      <w:r w:rsidRPr="00DD57F1">
        <w:rPr>
          <w:rFonts w:ascii="Times New Roman" w:hAnsi="Times New Roman" w:cs="Times New Roman"/>
          <w:sz w:val="24"/>
          <w:szCs w:val="24"/>
        </w:rPr>
        <w:t xml:space="preserve">and considered in various reviews </w:t>
      </w:r>
      <w:r w:rsidR="00EE1C0F" w:rsidRPr="00DD57F1">
        <w:rPr>
          <w:rFonts w:ascii="Times New Roman" w:hAnsi="Times New Roman" w:cs="Times New Roman"/>
          <w:sz w:val="24"/>
          <w:szCs w:val="24"/>
        </w:rPr>
        <w:t xml:space="preserve">and innumerable conferences </w:t>
      </w:r>
      <w:r w:rsidR="00AF3F78" w:rsidRPr="00DD57F1">
        <w:rPr>
          <w:rFonts w:ascii="Times New Roman" w:hAnsi="Times New Roman" w:cs="Times New Roman"/>
          <w:sz w:val="24"/>
          <w:szCs w:val="24"/>
        </w:rPr>
        <w:t xml:space="preserve">for </w:t>
      </w:r>
      <w:r w:rsidR="003406B7" w:rsidRPr="00DD57F1">
        <w:rPr>
          <w:rFonts w:ascii="Times New Roman" w:hAnsi="Times New Roman" w:cs="Times New Roman"/>
          <w:sz w:val="24"/>
          <w:szCs w:val="24"/>
        </w:rPr>
        <w:t>more than a decade.</w:t>
      </w:r>
      <w:r w:rsidR="00AF3F78" w:rsidRPr="00DD57F1">
        <w:rPr>
          <w:rFonts w:ascii="Times New Roman" w:hAnsi="Times New Roman" w:cs="Times New Roman"/>
          <w:sz w:val="24"/>
          <w:szCs w:val="24"/>
        </w:rPr>
        <w:t xml:space="preserve">  </w:t>
      </w:r>
    </w:p>
    <w:p w14:paraId="7E891BF6" w14:textId="6F8FECBF" w:rsidR="00CB4906" w:rsidRPr="00DD57F1" w:rsidRDefault="00CA405E" w:rsidP="00BA31BB">
      <w:pPr>
        <w:spacing w:after="240" w:line="300" w:lineRule="auto"/>
        <w:jc w:val="both"/>
        <w:rPr>
          <w:rFonts w:ascii="Times New Roman" w:hAnsi="Times New Roman" w:cs="Times New Roman"/>
          <w:sz w:val="24"/>
          <w:szCs w:val="24"/>
        </w:rPr>
      </w:pPr>
      <w:r w:rsidRPr="00DD57F1">
        <w:rPr>
          <w:rFonts w:ascii="Times New Roman" w:hAnsi="Times New Roman" w:cs="Times New Roman"/>
          <w:sz w:val="24"/>
          <w:szCs w:val="24"/>
        </w:rPr>
        <w:t>There have been seven reviews in</w:t>
      </w:r>
      <w:r w:rsidR="00FA13A5" w:rsidRPr="00DD57F1">
        <w:rPr>
          <w:rFonts w:ascii="Times New Roman" w:hAnsi="Times New Roman" w:cs="Times New Roman"/>
          <w:sz w:val="24"/>
          <w:szCs w:val="24"/>
        </w:rPr>
        <w:t>to Part IVA-type regimes in</w:t>
      </w:r>
      <w:r w:rsidRPr="00DD57F1">
        <w:rPr>
          <w:rFonts w:ascii="Times New Roman" w:hAnsi="Times New Roman" w:cs="Times New Roman"/>
          <w:sz w:val="24"/>
          <w:szCs w:val="24"/>
        </w:rPr>
        <w:t xml:space="preserve"> the last 10 years, </w:t>
      </w:r>
      <w:r w:rsidR="00EE1C0F" w:rsidRPr="00DD57F1">
        <w:rPr>
          <w:rFonts w:ascii="Times New Roman" w:hAnsi="Times New Roman" w:cs="Times New Roman"/>
          <w:sz w:val="24"/>
          <w:szCs w:val="24"/>
        </w:rPr>
        <w:t xml:space="preserve">on average about </w:t>
      </w:r>
      <w:r w:rsidRPr="00DD57F1">
        <w:rPr>
          <w:rFonts w:ascii="Times New Roman" w:hAnsi="Times New Roman" w:cs="Times New Roman"/>
          <w:sz w:val="24"/>
          <w:szCs w:val="24"/>
        </w:rPr>
        <w:t xml:space="preserve">every one and a half years, </w:t>
      </w:r>
      <w:r w:rsidR="001410DA" w:rsidRPr="00DD57F1">
        <w:rPr>
          <w:rFonts w:ascii="Times New Roman" w:hAnsi="Times New Roman" w:cs="Times New Roman"/>
          <w:sz w:val="24"/>
          <w:szCs w:val="24"/>
        </w:rPr>
        <w:t xml:space="preserve">by the Commonwealth Attorney-General’s Department, the Department of Treasury, the Productivity Commission, </w:t>
      </w:r>
      <w:r w:rsidR="00FA13A5" w:rsidRPr="00DD57F1">
        <w:rPr>
          <w:rFonts w:ascii="Times New Roman" w:hAnsi="Times New Roman" w:cs="Times New Roman"/>
          <w:sz w:val="24"/>
          <w:szCs w:val="24"/>
        </w:rPr>
        <w:t>the Western Australia Law Reform Commission,</w:t>
      </w:r>
      <w:r w:rsidR="001410DA" w:rsidRPr="00DD57F1">
        <w:rPr>
          <w:rFonts w:ascii="Times New Roman" w:hAnsi="Times New Roman" w:cs="Times New Roman"/>
          <w:sz w:val="24"/>
          <w:szCs w:val="24"/>
        </w:rPr>
        <w:t xml:space="preserve"> two by the</w:t>
      </w:r>
      <w:r w:rsidR="00FA13A5" w:rsidRPr="00DD57F1">
        <w:rPr>
          <w:rFonts w:ascii="Times New Roman" w:hAnsi="Times New Roman" w:cs="Times New Roman"/>
          <w:sz w:val="24"/>
          <w:szCs w:val="24"/>
        </w:rPr>
        <w:t xml:space="preserve"> Victorian Law Reform Commission and we are now awaiting the report of the Australian Law Reform Commission</w:t>
      </w:r>
      <w:r w:rsidR="001410DA" w:rsidRPr="00DD57F1">
        <w:rPr>
          <w:rFonts w:ascii="Times New Roman" w:hAnsi="Times New Roman" w:cs="Times New Roman"/>
          <w:sz w:val="24"/>
          <w:szCs w:val="24"/>
        </w:rPr>
        <w:t xml:space="preserve">.  </w:t>
      </w:r>
      <w:r w:rsidR="00BA31BB" w:rsidRPr="00DD57F1">
        <w:rPr>
          <w:rFonts w:ascii="Times New Roman" w:hAnsi="Times New Roman" w:cs="Times New Roman"/>
          <w:sz w:val="24"/>
          <w:szCs w:val="24"/>
        </w:rPr>
        <w:t>None have pointed to any serious or systemic problems in the operation of Part IVA-type regimes</w:t>
      </w:r>
      <w:r w:rsidR="00BA31BB">
        <w:rPr>
          <w:rFonts w:ascii="Times New Roman" w:hAnsi="Times New Roman" w:cs="Times New Roman"/>
          <w:sz w:val="24"/>
          <w:szCs w:val="24"/>
        </w:rPr>
        <w:t xml:space="preserve">. </w:t>
      </w:r>
      <w:r w:rsidR="00BA31BB" w:rsidRPr="00DD57F1">
        <w:rPr>
          <w:rFonts w:ascii="Times New Roman" w:hAnsi="Times New Roman" w:cs="Times New Roman"/>
          <w:sz w:val="24"/>
          <w:szCs w:val="24"/>
        </w:rPr>
        <w:t>Justice Sarah Derrington who heads the ALRC Inquiry has said that she considers the regime works reasonably well</w:t>
      </w:r>
      <w:r w:rsidR="00BA31BB">
        <w:rPr>
          <w:rFonts w:ascii="Times New Roman" w:hAnsi="Times New Roman" w:cs="Times New Roman"/>
          <w:sz w:val="24"/>
          <w:szCs w:val="24"/>
        </w:rPr>
        <w:t>, and t</w:t>
      </w:r>
      <w:r w:rsidR="00BA31BB" w:rsidRPr="00DD57F1">
        <w:rPr>
          <w:rFonts w:ascii="Times New Roman" w:hAnsi="Times New Roman" w:cs="Times New Roman"/>
          <w:sz w:val="24"/>
          <w:szCs w:val="24"/>
        </w:rPr>
        <w:t xml:space="preserve">he proposed reforms are </w:t>
      </w:r>
      <w:r w:rsidR="00BA31BB">
        <w:rPr>
          <w:rFonts w:ascii="Times New Roman" w:hAnsi="Times New Roman" w:cs="Times New Roman"/>
          <w:sz w:val="24"/>
          <w:szCs w:val="24"/>
        </w:rPr>
        <w:t>better</w:t>
      </w:r>
      <w:r w:rsidR="00BA31BB" w:rsidRPr="00DD57F1">
        <w:rPr>
          <w:rFonts w:ascii="Times New Roman" w:hAnsi="Times New Roman" w:cs="Times New Roman"/>
          <w:sz w:val="24"/>
          <w:szCs w:val="24"/>
        </w:rPr>
        <w:t xml:space="preserve"> described as “repair” </w:t>
      </w:r>
      <w:r w:rsidR="00BA31BB">
        <w:rPr>
          <w:rFonts w:ascii="Times New Roman" w:hAnsi="Times New Roman" w:cs="Times New Roman"/>
          <w:sz w:val="24"/>
          <w:szCs w:val="24"/>
        </w:rPr>
        <w:t>rather than</w:t>
      </w:r>
      <w:r w:rsidR="00BA31BB" w:rsidRPr="00DD57F1">
        <w:rPr>
          <w:rFonts w:ascii="Times New Roman" w:hAnsi="Times New Roman" w:cs="Times New Roman"/>
          <w:sz w:val="24"/>
          <w:szCs w:val="24"/>
        </w:rPr>
        <w:t xml:space="preserve"> “</w:t>
      </w:r>
      <w:r w:rsidR="00BA31BB">
        <w:rPr>
          <w:rFonts w:ascii="Times New Roman" w:hAnsi="Times New Roman" w:cs="Times New Roman"/>
          <w:sz w:val="24"/>
          <w:szCs w:val="24"/>
        </w:rPr>
        <w:t>revolution</w:t>
      </w:r>
      <w:r w:rsidR="00BA31BB" w:rsidRPr="00DD57F1">
        <w:rPr>
          <w:rFonts w:ascii="Times New Roman" w:hAnsi="Times New Roman" w:cs="Times New Roman"/>
          <w:sz w:val="24"/>
          <w:szCs w:val="24"/>
        </w:rPr>
        <w:t>”.</w:t>
      </w:r>
    </w:p>
    <w:p w14:paraId="7E707B60" w14:textId="77777777" w:rsidR="00BA31BB" w:rsidRDefault="00BC0745" w:rsidP="008C446C">
      <w:pPr>
        <w:spacing w:after="240" w:line="300" w:lineRule="auto"/>
        <w:jc w:val="both"/>
        <w:rPr>
          <w:rFonts w:ascii="Times New Roman" w:hAnsi="Times New Roman" w:cs="Times New Roman"/>
          <w:sz w:val="24"/>
          <w:szCs w:val="24"/>
        </w:rPr>
      </w:pPr>
      <w:r w:rsidRPr="00DD57F1">
        <w:rPr>
          <w:rFonts w:ascii="Times New Roman" w:hAnsi="Times New Roman" w:cs="Times New Roman"/>
          <w:sz w:val="24"/>
          <w:szCs w:val="24"/>
        </w:rPr>
        <w:t xml:space="preserve">The </w:t>
      </w:r>
      <w:r w:rsidR="001410DA" w:rsidRPr="00DD57F1">
        <w:rPr>
          <w:rFonts w:ascii="Times New Roman" w:hAnsi="Times New Roman" w:cs="Times New Roman"/>
          <w:sz w:val="24"/>
          <w:szCs w:val="24"/>
        </w:rPr>
        <w:t xml:space="preserve">adoption </w:t>
      </w:r>
      <w:r w:rsidRPr="00DD57F1">
        <w:rPr>
          <w:rFonts w:ascii="Times New Roman" w:hAnsi="Times New Roman" w:cs="Times New Roman"/>
          <w:sz w:val="24"/>
          <w:szCs w:val="24"/>
        </w:rPr>
        <w:t xml:space="preserve">of Part IVA-type regimes </w:t>
      </w:r>
      <w:r w:rsidR="001410DA" w:rsidRPr="00DD57F1">
        <w:rPr>
          <w:rFonts w:ascii="Times New Roman" w:hAnsi="Times New Roman" w:cs="Times New Roman"/>
          <w:sz w:val="24"/>
          <w:szCs w:val="24"/>
        </w:rPr>
        <w:t xml:space="preserve">by state legislatures </w:t>
      </w:r>
      <w:r w:rsidR="005D68C8" w:rsidRPr="00DD57F1">
        <w:rPr>
          <w:rFonts w:ascii="Times New Roman" w:hAnsi="Times New Roman" w:cs="Times New Roman"/>
          <w:sz w:val="24"/>
          <w:szCs w:val="24"/>
        </w:rPr>
        <w:t>–</w:t>
      </w:r>
      <w:r w:rsidR="001410DA" w:rsidRPr="00DD57F1">
        <w:rPr>
          <w:rFonts w:ascii="Times New Roman" w:hAnsi="Times New Roman" w:cs="Times New Roman"/>
          <w:sz w:val="24"/>
          <w:szCs w:val="24"/>
        </w:rPr>
        <w:t xml:space="preserve"> </w:t>
      </w:r>
      <w:r w:rsidR="008C446C" w:rsidRPr="00DD57F1">
        <w:rPr>
          <w:rFonts w:ascii="Times New Roman" w:hAnsi="Times New Roman" w:cs="Times New Roman"/>
          <w:sz w:val="24"/>
          <w:szCs w:val="24"/>
        </w:rPr>
        <w:t>Victoria in 2000, NSW in 2010 and Queensland in 2016</w:t>
      </w:r>
      <w:r w:rsidR="00FA13A5" w:rsidRPr="00DD57F1">
        <w:rPr>
          <w:rFonts w:ascii="Times New Roman" w:hAnsi="Times New Roman" w:cs="Times New Roman"/>
          <w:sz w:val="24"/>
          <w:szCs w:val="24"/>
        </w:rPr>
        <w:t>, and the pending adoption in W</w:t>
      </w:r>
      <w:r w:rsidR="005D68C8" w:rsidRPr="00DD57F1">
        <w:rPr>
          <w:rFonts w:ascii="Times New Roman" w:hAnsi="Times New Roman" w:cs="Times New Roman"/>
          <w:sz w:val="24"/>
          <w:szCs w:val="24"/>
        </w:rPr>
        <w:t>A</w:t>
      </w:r>
      <w:r w:rsidR="008C446C" w:rsidRPr="00DD57F1">
        <w:rPr>
          <w:rFonts w:ascii="Times New Roman" w:hAnsi="Times New Roman" w:cs="Times New Roman"/>
          <w:sz w:val="24"/>
          <w:szCs w:val="24"/>
        </w:rPr>
        <w:t xml:space="preserve"> </w:t>
      </w:r>
      <w:r w:rsidR="001410DA" w:rsidRPr="00DD57F1">
        <w:rPr>
          <w:rFonts w:ascii="Times New Roman" w:hAnsi="Times New Roman" w:cs="Times New Roman"/>
          <w:sz w:val="24"/>
          <w:szCs w:val="24"/>
        </w:rPr>
        <w:t>–</w:t>
      </w:r>
      <w:r w:rsidRPr="00DD57F1">
        <w:rPr>
          <w:rFonts w:ascii="Times New Roman" w:hAnsi="Times New Roman" w:cs="Times New Roman"/>
          <w:sz w:val="24"/>
          <w:szCs w:val="24"/>
        </w:rPr>
        <w:t xml:space="preserve"> also indicates </w:t>
      </w:r>
      <w:r w:rsidR="00510522" w:rsidRPr="00DD57F1">
        <w:rPr>
          <w:rFonts w:ascii="Times New Roman" w:hAnsi="Times New Roman" w:cs="Times New Roman"/>
          <w:sz w:val="24"/>
          <w:szCs w:val="24"/>
        </w:rPr>
        <w:t xml:space="preserve">those </w:t>
      </w:r>
      <w:r w:rsidR="001410DA" w:rsidRPr="00DD57F1">
        <w:rPr>
          <w:rFonts w:ascii="Times New Roman" w:hAnsi="Times New Roman" w:cs="Times New Roman"/>
          <w:sz w:val="24"/>
          <w:szCs w:val="24"/>
        </w:rPr>
        <w:t>governments</w:t>
      </w:r>
      <w:r w:rsidRPr="00DD57F1">
        <w:rPr>
          <w:rFonts w:ascii="Times New Roman" w:hAnsi="Times New Roman" w:cs="Times New Roman"/>
          <w:sz w:val="24"/>
          <w:szCs w:val="24"/>
        </w:rPr>
        <w:t xml:space="preserve"> consider the</w:t>
      </w:r>
      <w:r w:rsidR="001410DA" w:rsidRPr="00DD57F1">
        <w:rPr>
          <w:rFonts w:ascii="Times New Roman" w:hAnsi="Times New Roman" w:cs="Times New Roman"/>
          <w:sz w:val="24"/>
          <w:szCs w:val="24"/>
        </w:rPr>
        <w:t xml:space="preserve"> regime </w:t>
      </w:r>
      <w:r w:rsidR="008C446C" w:rsidRPr="00DD57F1">
        <w:rPr>
          <w:rFonts w:ascii="Times New Roman" w:hAnsi="Times New Roman" w:cs="Times New Roman"/>
          <w:sz w:val="24"/>
          <w:szCs w:val="24"/>
        </w:rPr>
        <w:t>operate</w:t>
      </w:r>
      <w:r w:rsidRPr="00DD57F1">
        <w:rPr>
          <w:rFonts w:ascii="Times New Roman" w:hAnsi="Times New Roman" w:cs="Times New Roman"/>
          <w:sz w:val="24"/>
          <w:szCs w:val="24"/>
        </w:rPr>
        <w:t>s</w:t>
      </w:r>
      <w:r w:rsidR="00CA405E" w:rsidRPr="00DD57F1">
        <w:rPr>
          <w:rFonts w:ascii="Times New Roman" w:hAnsi="Times New Roman" w:cs="Times New Roman"/>
          <w:sz w:val="24"/>
          <w:szCs w:val="24"/>
        </w:rPr>
        <w:t xml:space="preserve"> reasonably </w:t>
      </w:r>
      <w:r w:rsidR="008C446C" w:rsidRPr="00DD57F1">
        <w:rPr>
          <w:rFonts w:ascii="Times New Roman" w:hAnsi="Times New Roman" w:cs="Times New Roman"/>
          <w:sz w:val="24"/>
          <w:szCs w:val="24"/>
        </w:rPr>
        <w:t>well.</w:t>
      </w:r>
      <w:r w:rsidR="00CA405E" w:rsidRPr="00DD57F1">
        <w:rPr>
          <w:rFonts w:ascii="Times New Roman" w:hAnsi="Times New Roman" w:cs="Times New Roman"/>
          <w:sz w:val="24"/>
          <w:szCs w:val="24"/>
        </w:rPr>
        <w:t xml:space="preserve"> </w:t>
      </w:r>
      <w:r w:rsidR="001410DA" w:rsidRPr="00DD57F1">
        <w:rPr>
          <w:rFonts w:ascii="Times New Roman" w:hAnsi="Times New Roman" w:cs="Times New Roman"/>
          <w:sz w:val="24"/>
          <w:szCs w:val="24"/>
        </w:rPr>
        <w:t>E</w:t>
      </w:r>
      <w:r w:rsidR="008C446C" w:rsidRPr="00DD57F1">
        <w:rPr>
          <w:rFonts w:ascii="Times New Roman" w:hAnsi="Times New Roman" w:cs="Times New Roman"/>
          <w:sz w:val="24"/>
          <w:szCs w:val="24"/>
        </w:rPr>
        <w:t>mpirical data produced by Professor Morabito</w:t>
      </w:r>
      <w:r w:rsidR="001410DA" w:rsidRPr="00DD57F1">
        <w:rPr>
          <w:rFonts w:ascii="Times New Roman" w:hAnsi="Times New Roman" w:cs="Times New Roman"/>
          <w:sz w:val="24"/>
          <w:szCs w:val="24"/>
        </w:rPr>
        <w:t xml:space="preserve"> bears this out</w:t>
      </w:r>
      <w:r w:rsidR="00510522" w:rsidRPr="00DD57F1">
        <w:rPr>
          <w:rFonts w:ascii="Times New Roman" w:hAnsi="Times New Roman" w:cs="Times New Roman"/>
          <w:sz w:val="24"/>
          <w:szCs w:val="24"/>
        </w:rPr>
        <w:t xml:space="preserve">, </w:t>
      </w:r>
      <w:r w:rsidR="005D68C8" w:rsidRPr="00DD57F1">
        <w:rPr>
          <w:rFonts w:ascii="Times New Roman" w:hAnsi="Times New Roman" w:cs="Times New Roman"/>
          <w:sz w:val="24"/>
          <w:szCs w:val="24"/>
        </w:rPr>
        <w:t>as does</w:t>
      </w:r>
      <w:r w:rsidR="008C446C" w:rsidRPr="00DD57F1">
        <w:rPr>
          <w:rFonts w:ascii="Times New Roman" w:hAnsi="Times New Roman" w:cs="Times New Roman"/>
          <w:sz w:val="24"/>
          <w:szCs w:val="24"/>
        </w:rPr>
        <w:t xml:space="preserve"> the vast number of </w:t>
      </w:r>
      <w:r w:rsidR="00CA405E" w:rsidRPr="00DD57F1">
        <w:rPr>
          <w:rFonts w:ascii="Times New Roman" w:hAnsi="Times New Roman" w:cs="Times New Roman"/>
          <w:sz w:val="24"/>
          <w:szCs w:val="24"/>
        </w:rPr>
        <w:t xml:space="preserve">successful </w:t>
      </w:r>
      <w:r w:rsidR="008C446C" w:rsidRPr="00DD57F1">
        <w:rPr>
          <w:rFonts w:ascii="Times New Roman" w:hAnsi="Times New Roman" w:cs="Times New Roman"/>
          <w:sz w:val="24"/>
          <w:szCs w:val="24"/>
        </w:rPr>
        <w:t>claimants</w:t>
      </w:r>
      <w:r w:rsidR="005D68C8" w:rsidRPr="00DD57F1">
        <w:rPr>
          <w:rFonts w:ascii="Times New Roman" w:hAnsi="Times New Roman" w:cs="Times New Roman"/>
          <w:sz w:val="24"/>
          <w:szCs w:val="24"/>
        </w:rPr>
        <w:t xml:space="preserve"> and</w:t>
      </w:r>
      <w:r w:rsidR="008C446C" w:rsidRPr="00DD57F1">
        <w:rPr>
          <w:rFonts w:ascii="Times New Roman" w:hAnsi="Times New Roman" w:cs="Times New Roman"/>
          <w:sz w:val="24"/>
          <w:szCs w:val="24"/>
        </w:rPr>
        <w:t xml:space="preserve"> the diversity and variety in their claims</w:t>
      </w:r>
      <w:r w:rsidR="005D68C8" w:rsidRPr="00DD57F1">
        <w:rPr>
          <w:rFonts w:ascii="Times New Roman" w:hAnsi="Times New Roman" w:cs="Times New Roman"/>
          <w:sz w:val="24"/>
          <w:szCs w:val="24"/>
        </w:rPr>
        <w:t>.</w:t>
      </w:r>
      <w:r w:rsidR="008C446C" w:rsidRPr="00DD57F1">
        <w:rPr>
          <w:rFonts w:ascii="Times New Roman" w:hAnsi="Times New Roman" w:cs="Times New Roman"/>
          <w:sz w:val="24"/>
          <w:szCs w:val="24"/>
        </w:rPr>
        <w:t xml:space="preserve"> </w:t>
      </w:r>
      <w:r w:rsidR="005D68C8" w:rsidRPr="00DD57F1">
        <w:rPr>
          <w:rFonts w:ascii="Times New Roman" w:hAnsi="Times New Roman" w:cs="Times New Roman"/>
          <w:sz w:val="24"/>
          <w:szCs w:val="24"/>
        </w:rPr>
        <w:t xml:space="preserve"> </w:t>
      </w:r>
    </w:p>
    <w:p w14:paraId="20ADDF55" w14:textId="6CE3E90D" w:rsidR="008C446C" w:rsidRPr="00DD57F1" w:rsidRDefault="005D68C8" w:rsidP="008C446C">
      <w:pPr>
        <w:spacing w:after="240" w:line="300" w:lineRule="auto"/>
        <w:jc w:val="both"/>
        <w:rPr>
          <w:rFonts w:ascii="Times New Roman" w:hAnsi="Times New Roman" w:cs="Times New Roman"/>
          <w:sz w:val="24"/>
          <w:szCs w:val="24"/>
        </w:rPr>
      </w:pPr>
      <w:r w:rsidRPr="00DD57F1">
        <w:rPr>
          <w:rFonts w:ascii="Times New Roman" w:hAnsi="Times New Roman" w:cs="Times New Roman"/>
          <w:sz w:val="24"/>
          <w:szCs w:val="24"/>
        </w:rPr>
        <w:t xml:space="preserve">It is also </w:t>
      </w:r>
      <w:r w:rsidR="00CA405E" w:rsidRPr="00DD57F1">
        <w:rPr>
          <w:rFonts w:ascii="Times New Roman" w:hAnsi="Times New Roman" w:cs="Times New Roman"/>
          <w:sz w:val="24"/>
          <w:szCs w:val="24"/>
        </w:rPr>
        <w:t>plain from the views</w:t>
      </w:r>
      <w:r w:rsidR="00C025CE" w:rsidRPr="00DD57F1">
        <w:rPr>
          <w:rFonts w:ascii="Times New Roman" w:hAnsi="Times New Roman" w:cs="Times New Roman"/>
          <w:sz w:val="24"/>
          <w:szCs w:val="24"/>
        </w:rPr>
        <w:t xml:space="preserve"> expressed by </w:t>
      </w:r>
      <w:r w:rsidR="00CA405E" w:rsidRPr="00DD57F1">
        <w:rPr>
          <w:rFonts w:ascii="Times New Roman" w:hAnsi="Times New Roman" w:cs="Times New Roman"/>
          <w:sz w:val="24"/>
          <w:szCs w:val="24"/>
        </w:rPr>
        <w:t xml:space="preserve">judges experienced in the regime’s operation. </w:t>
      </w:r>
      <w:r w:rsidRPr="00DD57F1">
        <w:rPr>
          <w:rFonts w:ascii="Times New Roman" w:hAnsi="Times New Roman" w:cs="Times New Roman"/>
          <w:sz w:val="24"/>
          <w:szCs w:val="24"/>
        </w:rPr>
        <w:t xml:space="preserve"> </w:t>
      </w:r>
      <w:r w:rsidR="008C446C" w:rsidRPr="00DD57F1">
        <w:rPr>
          <w:rFonts w:ascii="Times New Roman" w:hAnsi="Times New Roman" w:cs="Times New Roman"/>
          <w:sz w:val="24"/>
          <w:szCs w:val="24"/>
        </w:rPr>
        <w:t>In 2016, on making orders paving the way for the distribution of almost $700 million to many thousands of class members devastated by the Kilmore East-Kinglake and Murrindindi bushfires, Justice Jack Forrest of the Victorian Supreme Court said:</w:t>
      </w:r>
    </w:p>
    <w:p w14:paraId="495D7F91" w14:textId="77777777" w:rsidR="008C446C" w:rsidRPr="00DD57F1" w:rsidRDefault="008C446C" w:rsidP="006C415F">
      <w:pPr>
        <w:spacing w:after="240" w:line="300" w:lineRule="auto"/>
        <w:ind w:left="284"/>
        <w:jc w:val="both"/>
        <w:rPr>
          <w:rFonts w:ascii="Times New Roman" w:hAnsi="Times New Roman" w:cs="Times New Roman"/>
          <w:i/>
          <w:sz w:val="24"/>
          <w:szCs w:val="24"/>
        </w:rPr>
      </w:pPr>
      <w:r w:rsidRPr="00DD57F1">
        <w:rPr>
          <w:rFonts w:ascii="Times New Roman" w:hAnsi="Times New Roman" w:cs="Times New Roman"/>
          <w:i/>
          <w:sz w:val="24"/>
          <w:szCs w:val="24"/>
        </w:rPr>
        <w:t>This demonstrates that the class action process works. It shows that when it is properly managed, many substantially disadvantaged and affected people can recover compensation that they would otherwise not have been able to obtain.</w:t>
      </w:r>
      <w:r w:rsidRPr="00913BC8">
        <w:rPr>
          <w:rStyle w:val="EndnoteReference"/>
          <w:rFonts w:ascii="Times New Roman" w:hAnsi="Times New Roman" w:cs="Times New Roman"/>
          <w:sz w:val="24"/>
          <w:szCs w:val="24"/>
        </w:rPr>
        <w:endnoteReference w:id="1"/>
      </w:r>
    </w:p>
    <w:p w14:paraId="22F3C6A7" w14:textId="285D059E" w:rsidR="008C446C" w:rsidRPr="00DD57F1" w:rsidRDefault="00CA405E" w:rsidP="008C446C">
      <w:pPr>
        <w:spacing w:after="240" w:line="300" w:lineRule="auto"/>
        <w:jc w:val="both"/>
        <w:rPr>
          <w:rFonts w:ascii="Times New Roman" w:hAnsi="Times New Roman" w:cs="Times New Roman"/>
          <w:sz w:val="24"/>
          <w:szCs w:val="24"/>
        </w:rPr>
      </w:pPr>
      <w:r w:rsidRPr="00DD57F1">
        <w:rPr>
          <w:rFonts w:ascii="Times New Roman" w:hAnsi="Times New Roman" w:cs="Times New Roman"/>
          <w:sz w:val="24"/>
          <w:szCs w:val="24"/>
        </w:rPr>
        <w:t xml:space="preserve">In 2017 in </w:t>
      </w:r>
      <w:r w:rsidR="003D5FF8" w:rsidRPr="00DD57F1">
        <w:rPr>
          <w:rFonts w:ascii="Times New Roman" w:hAnsi="Times New Roman" w:cs="Times New Roman"/>
          <w:sz w:val="24"/>
          <w:szCs w:val="24"/>
        </w:rPr>
        <w:t>a book chapter</w:t>
      </w:r>
      <w:r w:rsidRPr="00DD57F1">
        <w:rPr>
          <w:rFonts w:ascii="Times New Roman" w:hAnsi="Times New Roman" w:cs="Times New Roman"/>
          <w:sz w:val="24"/>
          <w:szCs w:val="24"/>
        </w:rPr>
        <w:t xml:space="preserve"> I co-authored with Prof Morabito we wrote</w:t>
      </w:r>
      <w:r w:rsidR="008C446C" w:rsidRPr="00DD57F1">
        <w:rPr>
          <w:rFonts w:ascii="Times New Roman" w:hAnsi="Times New Roman" w:cs="Times New Roman"/>
          <w:sz w:val="24"/>
          <w:szCs w:val="24"/>
        </w:rPr>
        <w:t>:</w:t>
      </w:r>
      <w:r w:rsidR="008C446C" w:rsidRPr="00DD57F1">
        <w:rPr>
          <w:rStyle w:val="EndnoteReference"/>
          <w:rFonts w:ascii="Times New Roman" w:hAnsi="Times New Roman" w:cs="Times New Roman"/>
          <w:sz w:val="24"/>
          <w:szCs w:val="24"/>
        </w:rPr>
        <w:endnoteReference w:id="2"/>
      </w:r>
      <w:r w:rsidR="008C446C" w:rsidRPr="00DD57F1">
        <w:rPr>
          <w:rFonts w:ascii="Times New Roman" w:hAnsi="Times New Roman" w:cs="Times New Roman"/>
          <w:sz w:val="24"/>
          <w:szCs w:val="24"/>
        </w:rPr>
        <w:t xml:space="preserve"> </w:t>
      </w:r>
    </w:p>
    <w:p w14:paraId="7D18BA7F" w14:textId="53563E1A" w:rsidR="008C446C" w:rsidRPr="00DD57F1" w:rsidRDefault="008C446C" w:rsidP="006C415F">
      <w:pPr>
        <w:spacing w:after="240" w:line="300" w:lineRule="auto"/>
        <w:ind w:left="284"/>
        <w:jc w:val="both"/>
        <w:rPr>
          <w:rFonts w:ascii="Times New Roman" w:hAnsi="Times New Roman" w:cs="Times New Roman"/>
          <w:sz w:val="24"/>
          <w:szCs w:val="24"/>
        </w:rPr>
      </w:pPr>
      <w:r w:rsidRPr="00DD57F1">
        <w:rPr>
          <w:rFonts w:ascii="Times New Roman" w:hAnsi="Times New Roman" w:cs="Times New Roman"/>
          <w:i/>
          <w:sz w:val="24"/>
          <w:szCs w:val="24"/>
        </w:rPr>
        <w:t>[T]he procedure provides real, practical and broad-based access to justice, which must be seen as a substantial improvement, and it has proved flexible and adaptable in meeting challenges to the utility of the regime as they appear.  The regime seems appropriately balanced.  We can see few signs of systemic problems in its operation and there are reasons to be confident that the courts will deal with any serious problems that may later emerge.</w:t>
      </w:r>
    </w:p>
    <w:p w14:paraId="4400E348" w14:textId="18C4D51E" w:rsidR="00E67E49" w:rsidRPr="00DD57F1" w:rsidRDefault="00CA405E" w:rsidP="00EE1C0F">
      <w:pPr>
        <w:spacing w:after="240" w:line="300" w:lineRule="auto"/>
        <w:jc w:val="both"/>
        <w:rPr>
          <w:rFonts w:ascii="Times New Roman" w:hAnsi="Times New Roman" w:cs="Times New Roman"/>
          <w:sz w:val="24"/>
          <w:szCs w:val="24"/>
        </w:rPr>
      </w:pPr>
      <w:r w:rsidRPr="00DD57F1">
        <w:rPr>
          <w:rFonts w:ascii="Times New Roman" w:hAnsi="Times New Roman" w:cs="Times New Roman"/>
          <w:sz w:val="24"/>
          <w:szCs w:val="24"/>
        </w:rPr>
        <w:lastRenderedPageBreak/>
        <w:t>That remains my view.</w:t>
      </w:r>
      <w:r w:rsidR="00BC0745" w:rsidRPr="00DD57F1">
        <w:rPr>
          <w:rFonts w:ascii="Times New Roman" w:hAnsi="Times New Roman" w:cs="Times New Roman"/>
          <w:sz w:val="24"/>
          <w:szCs w:val="24"/>
        </w:rPr>
        <w:t xml:space="preserve"> </w:t>
      </w:r>
      <w:r w:rsidRPr="00DD57F1">
        <w:rPr>
          <w:rFonts w:ascii="Times New Roman" w:hAnsi="Times New Roman" w:cs="Times New Roman"/>
          <w:sz w:val="24"/>
          <w:szCs w:val="24"/>
        </w:rPr>
        <w:t xml:space="preserve">But that does </w:t>
      </w:r>
      <w:r w:rsidR="00E67E49" w:rsidRPr="00DD57F1">
        <w:rPr>
          <w:rFonts w:ascii="Times New Roman" w:hAnsi="Times New Roman" w:cs="Times New Roman"/>
          <w:sz w:val="24"/>
          <w:szCs w:val="24"/>
        </w:rPr>
        <w:t xml:space="preserve">not </w:t>
      </w:r>
      <w:r w:rsidRPr="00DD57F1">
        <w:rPr>
          <w:rFonts w:ascii="Times New Roman" w:hAnsi="Times New Roman" w:cs="Times New Roman"/>
          <w:sz w:val="24"/>
          <w:szCs w:val="24"/>
        </w:rPr>
        <w:t>mean that I consider the operation of the regime</w:t>
      </w:r>
      <w:r w:rsidR="00C025CE" w:rsidRPr="00DD57F1">
        <w:rPr>
          <w:rFonts w:ascii="Times New Roman" w:hAnsi="Times New Roman" w:cs="Times New Roman"/>
          <w:sz w:val="24"/>
          <w:szCs w:val="24"/>
        </w:rPr>
        <w:t xml:space="preserve"> is perfect.  </w:t>
      </w:r>
      <w:r w:rsidRPr="00DD57F1">
        <w:rPr>
          <w:rFonts w:ascii="Times New Roman" w:hAnsi="Times New Roman" w:cs="Times New Roman"/>
          <w:sz w:val="24"/>
          <w:szCs w:val="24"/>
        </w:rPr>
        <w:t>Nor does it mean that the regime will continue to operate reasonably well in the absence of</w:t>
      </w:r>
      <w:r w:rsidR="006C415F" w:rsidRPr="00DD57F1">
        <w:rPr>
          <w:rFonts w:ascii="Times New Roman" w:hAnsi="Times New Roman" w:cs="Times New Roman"/>
          <w:sz w:val="24"/>
          <w:szCs w:val="24"/>
        </w:rPr>
        <w:t xml:space="preserve"> further </w:t>
      </w:r>
      <w:r w:rsidRPr="00DD57F1">
        <w:rPr>
          <w:rFonts w:ascii="Times New Roman" w:hAnsi="Times New Roman" w:cs="Times New Roman"/>
          <w:sz w:val="24"/>
          <w:szCs w:val="24"/>
        </w:rPr>
        <w:t xml:space="preserve">reforms. </w:t>
      </w:r>
      <w:r w:rsidR="002B7524" w:rsidRPr="00DD57F1">
        <w:rPr>
          <w:rFonts w:ascii="Times New Roman" w:hAnsi="Times New Roman" w:cs="Times New Roman"/>
          <w:sz w:val="24"/>
          <w:szCs w:val="24"/>
        </w:rPr>
        <w:t xml:space="preserve"> The operation of </w:t>
      </w:r>
      <w:r w:rsidR="00EE1C0F" w:rsidRPr="00DD57F1">
        <w:rPr>
          <w:rFonts w:ascii="Times New Roman" w:hAnsi="Times New Roman" w:cs="Times New Roman"/>
          <w:sz w:val="24"/>
          <w:szCs w:val="24"/>
        </w:rPr>
        <w:t>Part IVA-type</w:t>
      </w:r>
      <w:r w:rsidR="002B7524" w:rsidRPr="00DD57F1">
        <w:rPr>
          <w:rFonts w:ascii="Times New Roman" w:hAnsi="Times New Roman" w:cs="Times New Roman"/>
          <w:sz w:val="24"/>
          <w:szCs w:val="24"/>
        </w:rPr>
        <w:t xml:space="preserve"> regime</w:t>
      </w:r>
      <w:r w:rsidR="00C52519" w:rsidRPr="00DD57F1">
        <w:rPr>
          <w:rFonts w:ascii="Times New Roman" w:hAnsi="Times New Roman" w:cs="Times New Roman"/>
          <w:sz w:val="24"/>
          <w:szCs w:val="24"/>
        </w:rPr>
        <w:t>s</w:t>
      </w:r>
      <w:r w:rsidR="002B7524" w:rsidRPr="00DD57F1">
        <w:rPr>
          <w:rFonts w:ascii="Times New Roman" w:hAnsi="Times New Roman" w:cs="Times New Roman"/>
          <w:sz w:val="24"/>
          <w:szCs w:val="24"/>
        </w:rPr>
        <w:t xml:space="preserve"> is constantly evolving and </w:t>
      </w:r>
      <w:r w:rsidR="00984BFA">
        <w:rPr>
          <w:rFonts w:ascii="Times New Roman" w:hAnsi="Times New Roman" w:cs="Times New Roman"/>
          <w:sz w:val="24"/>
          <w:szCs w:val="24"/>
        </w:rPr>
        <w:t xml:space="preserve">history shows that </w:t>
      </w:r>
      <w:r w:rsidR="00EE1C0F" w:rsidRPr="00DD57F1">
        <w:rPr>
          <w:rFonts w:ascii="Times New Roman" w:hAnsi="Times New Roman" w:cs="Times New Roman"/>
          <w:sz w:val="24"/>
          <w:szCs w:val="24"/>
        </w:rPr>
        <w:t>some remediation is necessary</w:t>
      </w:r>
      <w:r w:rsidR="00984BFA" w:rsidRPr="00984BFA">
        <w:rPr>
          <w:rFonts w:ascii="Times New Roman" w:hAnsi="Times New Roman" w:cs="Times New Roman"/>
          <w:sz w:val="24"/>
          <w:szCs w:val="24"/>
        </w:rPr>
        <w:t xml:space="preserve"> </w:t>
      </w:r>
      <w:r w:rsidR="00984BFA" w:rsidRPr="00DD57F1">
        <w:rPr>
          <w:rFonts w:ascii="Times New Roman" w:hAnsi="Times New Roman" w:cs="Times New Roman"/>
          <w:sz w:val="24"/>
          <w:szCs w:val="24"/>
        </w:rPr>
        <w:t>from time to time</w:t>
      </w:r>
      <w:r w:rsidR="00EE1C0F" w:rsidRPr="00DD57F1">
        <w:rPr>
          <w:rFonts w:ascii="Times New Roman" w:hAnsi="Times New Roman" w:cs="Times New Roman"/>
          <w:sz w:val="24"/>
          <w:szCs w:val="24"/>
        </w:rPr>
        <w:t>.</w:t>
      </w:r>
      <w:r w:rsidR="00BC0745" w:rsidRPr="00DD57F1">
        <w:rPr>
          <w:rFonts w:ascii="Times New Roman" w:hAnsi="Times New Roman" w:cs="Times New Roman"/>
          <w:sz w:val="24"/>
          <w:szCs w:val="24"/>
        </w:rPr>
        <w:t xml:space="preserve">  Key stakeholders are presently raising </w:t>
      </w:r>
      <w:r w:rsidR="00EE1C0F" w:rsidRPr="00DD57F1">
        <w:rPr>
          <w:rFonts w:ascii="Times New Roman" w:hAnsi="Times New Roman" w:cs="Times New Roman"/>
          <w:sz w:val="24"/>
          <w:szCs w:val="24"/>
        </w:rPr>
        <w:t>concerns which centre on shareholder class actions</w:t>
      </w:r>
      <w:r w:rsidR="00984BFA">
        <w:rPr>
          <w:rFonts w:ascii="Times New Roman" w:hAnsi="Times New Roman" w:cs="Times New Roman"/>
          <w:sz w:val="24"/>
          <w:szCs w:val="24"/>
        </w:rPr>
        <w:t>,</w:t>
      </w:r>
      <w:r w:rsidR="00EE1C0F" w:rsidRPr="00DD57F1">
        <w:rPr>
          <w:rFonts w:ascii="Times New Roman" w:hAnsi="Times New Roman" w:cs="Times New Roman"/>
          <w:sz w:val="24"/>
          <w:szCs w:val="24"/>
        </w:rPr>
        <w:t xml:space="preserve"> </w:t>
      </w:r>
      <w:r w:rsidR="00B00DEB" w:rsidRPr="00DD57F1">
        <w:rPr>
          <w:rFonts w:ascii="Times New Roman" w:hAnsi="Times New Roman" w:cs="Times New Roman"/>
          <w:sz w:val="24"/>
          <w:szCs w:val="24"/>
        </w:rPr>
        <w:t xml:space="preserve">which </w:t>
      </w:r>
      <w:r w:rsidR="00984BFA">
        <w:rPr>
          <w:rFonts w:ascii="Times New Roman" w:hAnsi="Times New Roman" w:cs="Times New Roman"/>
          <w:sz w:val="24"/>
          <w:szCs w:val="24"/>
        </w:rPr>
        <w:t xml:space="preserve">concerns </w:t>
      </w:r>
      <w:r w:rsidR="009357B5">
        <w:rPr>
          <w:rFonts w:ascii="Times New Roman" w:hAnsi="Times New Roman" w:cs="Times New Roman"/>
          <w:sz w:val="24"/>
          <w:szCs w:val="24"/>
        </w:rPr>
        <w:t>deserve</w:t>
      </w:r>
      <w:r w:rsidR="00B00DEB" w:rsidRPr="00DD57F1">
        <w:rPr>
          <w:rFonts w:ascii="Times New Roman" w:hAnsi="Times New Roman" w:cs="Times New Roman"/>
          <w:sz w:val="24"/>
          <w:szCs w:val="24"/>
        </w:rPr>
        <w:t xml:space="preserve"> </w:t>
      </w:r>
      <w:r w:rsidR="00BC0745" w:rsidRPr="00DD57F1">
        <w:rPr>
          <w:rFonts w:ascii="Times New Roman" w:hAnsi="Times New Roman" w:cs="Times New Roman"/>
          <w:sz w:val="24"/>
          <w:szCs w:val="24"/>
        </w:rPr>
        <w:t>careful consideration</w:t>
      </w:r>
      <w:r w:rsidR="00EE1C0F" w:rsidRPr="00DD57F1">
        <w:rPr>
          <w:rFonts w:ascii="Times New Roman" w:hAnsi="Times New Roman" w:cs="Times New Roman"/>
          <w:sz w:val="24"/>
          <w:szCs w:val="24"/>
        </w:rPr>
        <w:t xml:space="preserve">. </w:t>
      </w:r>
    </w:p>
    <w:p w14:paraId="5D58DBEA" w14:textId="2527FF8A" w:rsidR="008C446C" w:rsidRPr="00984BFA" w:rsidRDefault="003406B7" w:rsidP="00984BFA">
      <w:pPr>
        <w:pStyle w:val="ListParagraph"/>
        <w:numPr>
          <w:ilvl w:val="0"/>
          <w:numId w:val="38"/>
        </w:numPr>
        <w:spacing w:after="240" w:line="300" w:lineRule="auto"/>
        <w:ind w:left="567" w:hanging="567"/>
        <w:jc w:val="both"/>
        <w:rPr>
          <w:rFonts w:ascii="Times New Roman" w:hAnsi="Times New Roman" w:cs="Times New Roman"/>
          <w:b/>
          <w:caps/>
          <w:sz w:val="24"/>
          <w:szCs w:val="24"/>
        </w:rPr>
      </w:pPr>
      <w:r w:rsidRPr="00984BFA">
        <w:rPr>
          <w:rFonts w:ascii="Times New Roman" w:hAnsi="Times New Roman" w:cs="Times New Roman"/>
          <w:b/>
          <w:caps/>
          <w:sz w:val="24"/>
          <w:szCs w:val="24"/>
        </w:rPr>
        <w:t>Court</w:t>
      </w:r>
      <w:r w:rsidR="003D4DB4" w:rsidRPr="00984BFA">
        <w:rPr>
          <w:rFonts w:ascii="Times New Roman" w:hAnsi="Times New Roman" w:cs="Times New Roman"/>
          <w:b/>
          <w:caps/>
          <w:sz w:val="24"/>
          <w:szCs w:val="24"/>
        </w:rPr>
        <w:t>-</w:t>
      </w:r>
      <w:r w:rsidRPr="00984BFA">
        <w:rPr>
          <w:rFonts w:ascii="Times New Roman" w:hAnsi="Times New Roman" w:cs="Times New Roman"/>
          <w:b/>
          <w:caps/>
          <w:sz w:val="24"/>
          <w:szCs w:val="24"/>
        </w:rPr>
        <w:t>instituted r</w:t>
      </w:r>
      <w:r w:rsidR="008C446C" w:rsidRPr="00984BFA">
        <w:rPr>
          <w:rFonts w:ascii="Times New Roman" w:hAnsi="Times New Roman" w:cs="Times New Roman"/>
          <w:b/>
          <w:caps/>
          <w:sz w:val="24"/>
          <w:szCs w:val="24"/>
        </w:rPr>
        <w:t xml:space="preserve">eforms </w:t>
      </w:r>
    </w:p>
    <w:p w14:paraId="6468DE59" w14:textId="1F3147A3" w:rsidR="00BC0745" w:rsidRPr="00DD57F1" w:rsidRDefault="00BC0745" w:rsidP="00BC0745">
      <w:pPr>
        <w:spacing w:after="240" w:line="300" w:lineRule="auto"/>
        <w:jc w:val="both"/>
        <w:rPr>
          <w:rFonts w:ascii="Times New Roman" w:hAnsi="Times New Roman" w:cs="Times New Roman"/>
          <w:sz w:val="24"/>
          <w:szCs w:val="24"/>
        </w:rPr>
      </w:pPr>
      <w:r w:rsidRPr="00DD57F1">
        <w:rPr>
          <w:rFonts w:ascii="Times New Roman" w:hAnsi="Times New Roman" w:cs="Times New Roman"/>
          <w:sz w:val="24"/>
          <w:szCs w:val="24"/>
        </w:rPr>
        <w:t>It is important to understand that one of the reasons Part IVA-type regimes have worked well is the steps courts have taken to address problems in the operation of the regime as they are identified</w:t>
      </w:r>
      <w:r w:rsidR="00984BFA">
        <w:rPr>
          <w:rFonts w:ascii="Times New Roman" w:hAnsi="Times New Roman" w:cs="Times New Roman"/>
          <w:sz w:val="24"/>
          <w:szCs w:val="24"/>
        </w:rPr>
        <w:t>.</w:t>
      </w:r>
      <w:r w:rsidRPr="00DD57F1">
        <w:rPr>
          <w:rFonts w:ascii="Times New Roman" w:hAnsi="Times New Roman" w:cs="Times New Roman"/>
          <w:sz w:val="24"/>
          <w:szCs w:val="24"/>
        </w:rPr>
        <w:t xml:space="preserve"> I will start by </w:t>
      </w:r>
      <w:r w:rsidR="00E35858" w:rsidRPr="00DD57F1">
        <w:rPr>
          <w:rFonts w:ascii="Times New Roman" w:hAnsi="Times New Roman" w:cs="Times New Roman"/>
          <w:sz w:val="24"/>
          <w:szCs w:val="24"/>
        </w:rPr>
        <w:t xml:space="preserve">addressing </w:t>
      </w:r>
      <w:r w:rsidRPr="00DD57F1">
        <w:rPr>
          <w:rFonts w:ascii="Times New Roman" w:hAnsi="Times New Roman" w:cs="Times New Roman"/>
          <w:sz w:val="24"/>
          <w:szCs w:val="24"/>
        </w:rPr>
        <w:t>some of those steps</w:t>
      </w:r>
      <w:r w:rsidR="00984BFA">
        <w:rPr>
          <w:rFonts w:ascii="Times New Roman" w:hAnsi="Times New Roman" w:cs="Times New Roman"/>
          <w:sz w:val="24"/>
          <w:szCs w:val="24"/>
        </w:rPr>
        <w:t xml:space="preserve"> and then</w:t>
      </w:r>
      <w:r w:rsidRPr="00DD57F1">
        <w:rPr>
          <w:rFonts w:ascii="Times New Roman" w:hAnsi="Times New Roman" w:cs="Times New Roman"/>
          <w:sz w:val="24"/>
          <w:szCs w:val="24"/>
        </w:rPr>
        <w:t xml:space="preserve"> I will turn to outline and offer some commentary on some of the likely recommendations in the ALRC report.</w:t>
      </w:r>
    </w:p>
    <w:p w14:paraId="15F35F3D" w14:textId="118DAFE7" w:rsidR="00D80F71" w:rsidRPr="00DD57F1" w:rsidRDefault="00EE1C0F" w:rsidP="00B9601C">
      <w:pPr>
        <w:spacing w:after="240" w:line="300" w:lineRule="auto"/>
        <w:jc w:val="both"/>
        <w:rPr>
          <w:rFonts w:ascii="Times New Roman" w:hAnsi="Times New Roman" w:cs="Times New Roman"/>
          <w:sz w:val="24"/>
          <w:szCs w:val="24"/>
        </w:rPr>
      </w:pPr>
      <w:r w:rsidRPr="00DD57F1">
        <w:rPr>
          <w:rFonts w:ascii="Times New Roman" w:hAnsi="Times New Roman" w:cs="Times New Roman"/>
          <w:sz w:val="24"/>
          <w:szCs w:val="24"/>
        </w:rPr>
        <w:t>The</w:t>
      </w:r>
      <w:r w:rsidR="00BA31BB">
        <w:rPr>
          <w:rFonts w:ascii="Times New Roman" w:hAnsi="Times New Roman" w:cs="Times New Roman"/>
          <w:sz w:val="24"/>
          <w:szCs w:val="24"/>
        </w:rPr>
        <w:t xml:space="preserve"> court-instituted</w:t>
      </w:r>
      <w:r w:rsidR="00BC0745" w:rsidRPr="00DD57F1">
        <w:rPr>
          <w:rFonts w:ascii="Times New Roman" w:hAnsi="Times New Roman" w:cs="Times New Roman"/>
          <w:sz w:val="24"/>
          <w:szCs w:val="24"/>
        </w:rPr>
        <w:t xml:space="preserve"> reforms follow two broad themes</w:t>
      </w:r>
      <w:r w:rsidR="00B9601C" w:rsidRPr="00DD57F1">
        <w:rPr>
          <w:rFonts w:ascii="Times New Roman" w:hAnsi="Times New Roman" w:cs="Times New Roman"/>
          <w:sz w:val="24"/>
          <w:szCs w:val="24"/>
        </w:rPr>
        <w:t xml:space="preserve">.  </w:t>
      </w:r>
      <w:r w:rsidR="00D80F71" w:rsidRPr="00DD57F1">
        <w:rPr>
          <w:rFonts w:ascii="Times New Roman" w:hAnsi="Times New Roman" w:cs="Times New Roman"/>
          <w:i/>
          <w:sz w:val="24"/>
          <w:szCs w:val="24"/>
        </w:rPr>
        <w:t>First</w:t>
      </w:r>
      <w:r w:rsidR="00D80F71" w:rsidRPr="00DD57F1">
        <w:rPr>
          <w:rFonts w:ascii="Times New Roman" w:hAnsi="Times New Roman" w:cs="Times New Roman"/>
          <w:sz w:val="24"/>
          <w:szCs w:val="24"/>
        </w:rPr>
        <w:t xml:space="preserve">, </w:t>
      </w:r>
      <w:r w:rsidR="00B9601C" w:rsidRPr="00DD57F1">
        <w:rPr>
          <w:rFonts w:ascii="Times New Roman" w:hAnsi="Times New Roman" w:cs="Times New Roman"/>
          <w:sz w:val="24"/>
          <w:szCs w:val="24"/>
        </w:rPr>
        <w:t>cost and efficiency</w:t>
      </w:r>
      <w:r w:rsidR="00C05F4B" w:rsidRPr="00DD57F1">
        <w:rPr>
          <w:rFonts w:ascii="Times New Roman" w:hAnsi="Times New Roman" w:cs="Times New Roman"/>
          <w:sz w:val="24"/>
          <w:szCs w:val="24"/>
        </w:rPr>
        <w:t xml:space="preserve"> measures</w:t>
      </w:r>
      <w:r w:rsidR="00B9601C" w:rsidRPr="00DD57F1">
        <w:rPr>
          <w:rFonts w:ascii="Times New Roman" w:hAnsi="Times New Roman" w:cs="Times New Roman"/>
          <w:sz w:val="24"/>
          <w:szCs w:val="24"/>
        </w:rPr>
        <w:t xml:space="preserve"> </w:t>
      </w:r>
      <w:r w:rsidR="00D80F71" w:rsidRPr="00DD57F1">
        <w:rPr>
          <w:rFonts w:ascii="Times New Roman" w:hAnsi="Times New Roman" w:cs="Times New Roman"/>
          <w:sz w:val="24"/>
          <w:szCs w:val="24"/>
        </w:rPr>
        <w:t>in aid of the overarching purpose of facilitating the just resolution of disputes according to law as quickly, inexpensively and efficiently as possible</w:t>
      </w:r>
      <w:r w:rsidR="00B9601C" w:rsidRPr="00DD57F1">
        <w:rPr>
          <w:rFonts w:ascii="Times New Roman" w:hAnsi="Times New Roman" w:cs="Times New Roman"/>
          <w:sz w:val="24"/>
          <w:szCs w:val="24"/>
        </w:rPr>
        <w:t>.</w:t>
      </w:r>
      <w:r w:rsidR="00E35858" w:rsidRPr="00DD57F1">
        <w:rPr>
          <w:rFonts w:ascii="Times New Roman" w:hAnsi="Times New Roman" w:cs="Times New Roman"/>
          <w:sz w:val="24"/>
          <w:szCs w:val="24"/>
        </w:rPr>
        <w:t xml:space="preserve"> </w:t>
      </w:r>
      <w:r w:rsidR="00BC0745" w:rsidRPr="00DD57F1">
        <w:rPr>
          <w:rFonts w:ascii="Times New Roman" w:hAnsi="Times New Roman" w:cs="Times New Roman"/>
          <w:sz w:val="24"/>
          <w:szCs w:val="24"/>
        </w:rPr>
        <w:t xml:space="preserve"> </w:t>
      </w:r>
      <w:r w:rsidR="00D80F71" w:rsidRPr="00DD57F1">
        <w:rPr>
          <w:rFonts w:ascii="Times New Roman" w:hAnsi="Times New Roman" w:cs="Times New Roman"/>
          <w:i/>
          <w:sz w:val="24"/>
          <w:szCs w:val="24"/>
        </w:rPr>
        <w:t>Second</w:t>
      </w:r>
      <w:r w:rsidR="00D80F71" w:rsidRPr="00DD57F1">
        <w:rPr>
          <w:rFonts w:ascii="Times New Roman" w:hAnsi="Times New Roman" w:cs="Times New Roman"/>
          <w:sz w:val="24"/>
          <w:szCs w:val="24"/>
        </w:rPr>
        <w:t>,</w:t>
      </w:r>
      <w:r w:rsidR="00C05F4B" w:rsidRPr="00DD57F1">
        <w:rPr>
          <w:rFonts w:ascii="Times New Roman" w:hAnsi="Times New Roman" w:cs="Times New Roman"/>
          <w:sz w:val="24"/>
          <w:szCs w:val="24"/>
        </w:rPr>
        <w:t xml:space="preserve"> measures </w:t>
      </w:r>
      <w:r w:rsidR="00D80F71" w:rsidRPr="00DD57F1">
        <w:rPr>
          <w:rFonts w:ascii="Times New Roman" w:hAnsi="Times New Roman" w:cs="Times New Roman"/>
          <w:sz w:val="24"/>
          <w:szCs w:val="24"/>
        </w:rPr>
        <w:t xml:space="preserve">directed at ensuring </w:t>
      </w:r>
      <w:r w:rsidR="00B9601C" w:rsidRPr="00DD57F1">
        <w:rPr>
          <w:rFonts w:ascii="Times New Roman" w:hAnsi="Times New Roman" w:cs="Times New Roman"/>
          <w:sz w:val="24"/>
          <w:szCs w:val="24"/>
        </w:rPr>
        <w:t xml:space="preserve">the regime continues to reflect </w:t>
      </w:r>
      <w:r w:rsidR="00011D87" w:rsidRPr="00DD57F1">
        <w:rPr>
          <w:rFonts w:ascii="Times New Roman" w:hAnsi="Times New Roman" w:cs="Times New Roman"/>
          <w:sz w:val="24"/>
          <w:szCs w:val="24"/>
        </w:rPr>
        <w:t xml:space="preserve">the </w:t>
      </w:r>
      <w:r w:rsidR="00B9601C" w:rsidRPr="00DD57F1">
        <w:rPr>
          <w:rFonts w:ascii="Times New Roman" w:hAnsi="Times New Roman" w:cs="Times New Roman"/>
          <w:sz w:val="24"/>
          <w:szCs w:val="24"/>
        </w:rPr>
        <w:t>legislative intent</w:t>
      </w:r>
      <w:r w:rsidR="00011D87" w:rsidRPr="00DD57F1">
        <w:rPr>
          <w:rFonts w:ascii="Times New Roman" w:hAnsi="Times New Roman" w:cs="Times New Roman"/>
          <w:sz w:val="24"/>
          <w:szCs w:val="24"/>
        </w:rPr>
        <w:t xml:space="preserve"> of enacting an ‘open class’ opt</w:t>
      </w:r>
      <w:r w:rsidR="003D4DB4" w:rsidRPr="00DD57F1">
        <w:rPr>
          <w:rFonts w:ascii="Times New Roman" w:hAnsi="Times New Roman" w:cs="Times New Roman"/>
          <w:sz w:val="24"/>
          <w:szCs w:val="24"/>
        </w:rPr>
        <w:t>-</w:t>
      </w:r>
      <w:r w:rsidR="00011D87" w:rsidRPr="00DD57F1">
        <w:rPr>
          <w:rFonts w:ascii="Times New Roman" w:hAnsi="Times New Roman" w:cs="Times New Roman"/>
          <w:sz w:val="24"/>
          <w:szCs w:val="24"/>
        </w:rPr>
        <w:t>out procedure</w:t>
      </w:r>
      <w:r w:rsidR="00D80F71" w:rsidRPr="00DD57F1">
        <w:rPr>
          <w:rFonts w:ascii="Times New Roman" w:hAnsi="Times New Roman" w:cs="Times New Roman"/>
          <w:sz w:val="24"/>
          <w:szCs w:val="24"/>
        </w:rPr>
        <w:t>.</w:t>
      </w:r>
    </w:p>
    <w:p w14:paraId="34996221" w14:textId="333A48D6" w:rsidR="00324689" w:rsidRPr="009650DB" w:rsidRDefault="00324689" w:rsidP="00984BFA">
      <w:pPr>
        <w:pStyle w:val="ListParagraph"/>
        <w:numPr>
          <w:ilvl w:val="0"/>
          <w:numId w:val="39"/>
        </w:numPr>
        <w:spacing w:after="240" w:line="300" w:lineRule="auto"/>
        <w:ind w:left="567" w:hanging="567"/>
        <w:jc w:val="both"/>
        <w:rPr>
          <w:rFonts w:ascii="Times New Roman" w:hAnsi="Times New Roman" w:cs="Times New Roman"/>
          <w:b/>
          <w:sz w:val="24"/>
          <w:szCs w:val="24"/>
        </w:rPr>
      </w:pPr>
      <w:r w:rsidRPr="009650DB">
        <w:rPr>
          <w:rFonts w:ascii="Times New Roman" w:hAnsi="Times New Roman" w:cs="Times New Roman"/>
          <w:b/>
          <w:sz w:val="24"/>
          <w:szCs w:val="24"/>
        </w:rPr>
        <w:t xml:space="preserve">Cost and efficiency </w:t>
      </w:r>
      <w:r w:rsidR="00382AF5" w:rsidRPr="009650DB">
        <w:rPr>
          <w:rFonts w:ascii="Times New Roman" w:hAnsi="Times New Roman" w:cs="Times New Roman"/>
          <w:b/>
          <w:sz w:val="24"/>
          <w:szCs w:val="24"/>
        </w:rPr>
        <w:t>measures</w:t>
      </w:r>
    </w:p>
    <w:p w14:paraId="7B5663F3" w14:textId="71FE2A22" w:rsidR="00324689" w:rsidRPr="00DD57F1" w:rsidRDefault="00C05F4B" w:rsidP="00352055">
      <w:pPr>
        <w:spacing w:after="240" w:line="300" w:lineRule="auto"/>
        <w:jc w:val="both"/>
        <w:rPr>
          <w:rFonts w:ascii="Times New Roman" w:hAnsi="Times New Roman" w:cs="Times New Roman"/>
          <w:sz w:val="24"/>
          <w:szCs w:val="24"/>
        </w:rPr>
      </w:pPr>
      <w:r w:rsidRPr="00DD57F1">
        <w:rPr>
          <w:rFonts w:ascii="Times New Roman" w:hAnsi="Times New Roman" w:cs="Times New Roman"/>
          <w:sz w:val="24"/>
          <w:szCs w:val="24"/>
        </w:rPr>
        <w:t xml:space="preserve">In the past five years numerous measures have been introduced which are </w:t>
      </w:r>
      <w:r w:rsidR="009D35B9" w:rsidRPr="00DD57F1">
        <w:rPr>
          <w:rFonts w:ascii="Times New Roman" w:hAnsi="Times New Roman" w:cs="Times New Roman"/>
          <w:sz w:val="24"/>
          <w:szCs w:val="24"/>
        </w:rPr>
        <w:t xml:space="preserve">aimed at reducing </w:t>
      </w:r>
      <w:r w:rsidRPr="00DD57F1">
        <w:rPr>
          <w:rFonts w:ascii="Times New Roman" w:hAnsi="Times New Roman" w:cs="Times New Roman"/>
          <w:sz w:val="24"/>
          <w:szCs w:val="24"/>
        </w:rPr>
        <w:t xml:space="preserve">legal </w:t>
      </w:r>
      <w:r w:rsidR="009D35B9" w:rsidRPr="00DD57F1">
        <w:rPr>
          <w:rFonts w:ascii="Times New Roman" w:hAnsi="Times New Roman" w:cs="Times New Roman"/>
          <w:sz w:val="24"/>
          <w:szCs w:val="24"/>
        </w:rPr>
        <w:t xml:space="preserve">costs and </w:t>
      </w:r>
      <w:r w:rsidRPr="00DD57F1">
        <w:rPr>
          <w:rFonts w:ascii="Times New Roman" w:hAnsi="Times New Roman" w:cs="Times New Roman"/>
          <w:sz w:val="24"/>
          <w:szCs w:val="24"/>
        </w:rPr>
        <w:t xml:space="preserve">funding </w:t>
      </w:r>
      <w:r w:rsidR="009D35B9" w:rsidRPr="00DD57F1">
        <w:rPr>
          <w:rFonts w:ascii="Times New Roman" w:hAnsi="Times New Roman" w:cs="Times New Roman"/>
          <w:sz w:val="24"/>
          <w:szCs w:val="24"/>
        </w:rPr>
        <w:t>charges and improving efficiency</w:t>
      </w:r>
      <w:r w:rsidRPr="00DD57F1">
        <w:rPr>
          <w:rFonts w:ascii="Times New Roman" w:hAnsi="Times New Roman" w:cs="Times New Roman"/>
          <w:sz w:val="24"/>
          <w:szCs w:val="24"/>
        </w:rPr>
        <w:t>, including</w:t>
      </w:r>
      <w:r w:rsidR="00324689" w:rsidRPr="00DD57F1">
        <w:rPr>
          <w:rFonts w:ascii="Times New Roman" w:hAnsi="Times New Roman" w:cs="Times New Roman"/>
          <w:sz w:val="24"/>
          <w:szCs w:val="24"/>
        </w:rPr>
        <w:t>:</w:t>
      </w:r>
    </w:p>
    <w:p w14:paraId="4E23AD22" w14:textId="190D1923" w:rsidR="00B9601C" w:rsidRPr="00DD57F1" w:rsidRDefault="00B9601C" w:rsidP="00B9601C">
      <w:pPr>
        <w:pStyle w:val="ListParagraph"/>
        <w:numPr>
          <w:ilvl w:val="0"/>
          <w:numId w:val="24"/>
        </w:numPr>
        <w:spacing w:after="240" w:line="300" w:lineRule="auto"/>
        <w:ind w:left="567" w:hanging="567"/>
        <w:jc w:val="both"/>
        <w:rPr>
          <w:rFonts w:ascii="Times New Roman" w:hAnsi="Times New Roman" w:cs="Times New Roman"/>
          <w:i/>
          <w:sz w:val="24"/>
          <w:szCs w:val="24"/>
        </w:rPr>
      </w:pPr>
      <w:r w:rsidRPr="00DD57F1">
        <w:rPr>
          <w:rFonts w:ascii="Times New Roman" w:hAnsi="Times New Roman" w:cs="Times New Roman"/>
          <w:sz w:val="24"/>
          <w:szCs w:val="24"/>
        </w:rPr>
        <w:t xml:space="preserve">First, </w:t>
      </w:r>
      <w:r w:rsidRPr="00DD57F1">
        <w:rPr>
          <w:rFonts w:ascii="Times New Roman" w:hAnsi="Times New Roman" w:cs="Times New Roman"/>
          <w:i/>
          <w:sz w:val="24"/>
          <w:szCs w:val="24"/>
        </w:rPr>
        <w:t>c</w:t>
      </w:r>
      <w:r w:rsidR="00087565" w:rsidRPr="00DD57F1">
        <w:rPr>
          <w:rFonts w:ascii="Times New Roman" w:hAnsi="Times New Roman" w:cs="Times New Roman"/>
          <w:i/>
          <w:sz w:val="24"/>
          <w:szCs w:val="24"/>
        </w:rPr>
        <w:t>ase management</w:t>
      </w:r>
      <w:r w:rsidR="0008211E" w:rsidRPr="00DD57F1">
        <w:rPr>
          <w:rFonts w:ascii="Times New Roman" w:hAnsi="Times New Roman" w:cs="Times New Roman"/>
          <w:i/>
          <w:sz w:val="24"/>
          <w:szCs w:val="24"/>
        </w:rPr>
        <w:t xml:space="preserve"> by experienced judges</w:t>
      </w:r>
      <w:r w:rsidRPr="00DD57F1">
        <w:rPr>
          <w:rFonts w:ascii="Times New Roman" w:hAnsi="Times New Roman" w:cs="Times New Roman"/>
          <w:sz w:val="24"/>
          <w:szCs w:val="24"/>
        </w:rPr>
        <w:t xml:space="preserve">.  </w:t>
      </w:r>
    </w:p>
    <w:p w14:paraId="61E71E71" w14:textId="77777777" w:rsidR="00B9601C" w:rsidRPr="00DD57F1" w:rsidRDefault="00B9601C" w:rsidP="00B9601C">
      <w:pPr>
        <w:pStyle w:val="ListParagraph"/>
        <w:spacing w:after="240" w:line="300" w:lineRule="auto"/>
        <w:ind w:left="567"/>
        <w:jc w:val="both"/>
        <w:rPr>
          <w:rFonts w:ascii="Times New Roman" w:hAnsi="Times New Roman" w:cs="Times New Roman"/>
          <w:i/>
          <w:sz w:val="24"/>
          <w:szCs w:val="24"/>
        </w:rPr>
      </w:pPr>
    </w:p>
    <w:p w14:paraId="7A87B1CF" w14:textId="3857FC53" w:rsidR="00B9601C" w:rsidRPr="00DD57F1" w:rsidRDefault="00B9601C" w:rsidP="00B9601C">
      <w:pPr>
        <w:pStyle w:val="ListParagraph"/>
        <w:spacing w:after="240" w:line="300" w:lineRule="auto"/>
        <w:ind w:left="567"/>
        <w:jc w:val="both"/>
        <w:rPr>
          <w:rFonts w:ascii="Times New Roman" w:hAnsi="Times New Roman" w:cs="Times New Roman"/>
          <w:sz w:val="24"/>
          <w:szCs w:val="24"/>
        </w:rPr>
      </w:pPr>
      <w:r w:rsidRPr="00DD57F1">
        <w:rPr>
          <w:rFonts w:ascii="Times New Roman" w:hAnsi="Times New Roman" w:cs="Times New Roman"/>
          <w:sz w:val="24"/>
          <w:szCs w:val="24"/>
        </w:rPr>
        <w:t>The</w:t>
      </w:r>
      <w:r w:rsidR="00DC02CB" w:rsidRPr="00DD57F1">
        <w:rPr>
          <w:rFonts w:ascii="Times New Roman" w:hAnsi="Times New Roman" w:cs="Times New Roman"/>
          <w:sz w:val="24"/>
          <w:szCs w:val="24"/>
        </w:rPr>
        <w:t xml:space="preserve"> </w:t>
      </w:r>
      <w:r w:rsidR="00202126" w:rsidRPr="00DD57F1">
        <w:rPr>
          <w:rFonts w:ascii="Times New Roman" w:hAnsi="Times New Roman" w:cs="Times New Roman"/>
          <w:sz w:val="24"/>
          <w:szCs w:val="24"/>
        </w:rPr>
        <w:t>Court</w:t>
      </w:r>
      <w:r w:rsidR="00DC02CB" w:rsidRPr="00DD57F1">
        <w:rPr>
          <w:rFonts w:ascii="Times New Roman" w:hAnsi="Times New Roman" w:cs="Times New Roman"/>
          <w:sz w:val="24"/>
          <w:szCs w:val="24"/>
        </w:rPr>
        <w:t xml:space="preserve"> identified</w:t>
      </w:r>
      <w:r w:rsidRPr="00DD57F1">
        <w:rPr>
          <w:rFonts w:ascii="Times New Roman" w:hAnsi="Times New Roman" w:cs="Times New Roman"/>
          <w:sz w:val="24"/>
          <w:szCs w:val="24"/>
        </w:rPr>
        <w:t xml:space="preserve"> in 201</w:t>
      </w:r>
      <w:r w:rsidR="00C05F4B" w:rsidRPr="00DD57F1">
        <w:rPr>
          <w:rFonts w:ascii="Times New Roman" w:hAnsi="Times New Roman" w:cs="Times New Roman"/>
          <w:sz w:val="24"/>
          <w:szCs w:val="24"/>
        </w:rPr>
        <w:t>5</w:t>
      </w:r>
      <w:r w:rsidR="00DC02CB" w:rsidRPr="00DD57F1">
        <w:rPr>
          <w:rFonts w:ascii="Times New Roman" w:hAnsi="Times New Roman" w:cs="Times New Roman"/>
          <w:sz w:val="24"/>
          <w:szCs w:val="24"/>
        </w:rPr>
        <w:t xml:space="preserve"> </w:t>
      </w:r>
      <w:r w:rsidRPr="00DD57F1">
        <w:rPr>
          <w:rFonts w:ascii="Times New Roman" w:hAnsi="Times New Roman" w:cs="Times New Roman"/>
          <w:sz w:val="24"/>
          <w:szCs w:val="24"/>
        </w:rPr>
        <w:t>that</w:t>
      </w:r>
      <w:r w:rsidR="00EE1C0F" w:rsidRPr="00DD57F1">
        <w:rPr>
          <w:rFonts w:ascii="Times New Roman" w:hAnsi="Times New Roman" w:cs="Times New Roman"/>
          <w:sz w:val="24"/>
          <w:szCs w:val="24"/>
        </w:rPr>
        <w:t xml:space="preserve"> allocating judges </w:t>
      </w:r>
      <w:r w:rsidRPr="00DD57F1">
        <w:rPr>
          <w:rFonts w:ascii="Times New Roman" w:hAnsi="Times New Roman" w:cs="Times New Roman"/>
          <w:sz w:val="24"/>
          <w:szCs w:val="24"/>
        </w:rPr>
        <w:t xml:space="preserve">experienced in class actions </w:t>
      </w:r>
      <w:r w:rsidR="00673CA1" w:rsidRPr="00DD57F1">
        <w:rPr>
          <w:rFonts w:ascii="Times New Roman" w:hAnsi="Times New Roman" w:cs="Times New Roman"/>
          <w:sz w:val="24"/>
          <w:szCs w:val="24"/>
        </w:rPr>
        <w:t>to case management</w:t>
      </w:r>
      <w:r w:rsidRPr="00DD57F1">
        <w:rPr>
          <w:rFonts w:ascii="Times New Roman" w:hAnsi="Times New Roman" w:cs="Times New Roman"/>
          <w:sz w:val="24"/>
          <w:szCs w:val="24"/>
        </w:rPr>
        <w:t xml:space="preserve"> meant that matters</w:t>
      </w:r>
      <w:r w:rsidR="00EE1C0F" w:rsidRPr="00DD57F1">
        <w:rPr>
          <w:rFonts w:ascii="Times New Roman" w:hAnsi="Times New Roman" w:cs="Times New Roman"/>
          <w:sz w:val="24"/>
          <w:szCs w:val="24"/>
        </w:rPr>
        <w:t xml:space="preserve"> were </w:t>
      </w:r>
      <w:r w:rsidR="00673CA1" w:rsidRPr="00DD57F1">
        <w:rPr>
          <w:rFonts w:ascii="Times New Roman" w:hAnsi="Times New Roman" w:cs="Times New Roman"/>
          <w:sz w:val="24"/>
          <w:szCs w:val="24"/>
        </w:rPr>
        <w:t>listed for</w:t>
      </w:r>
      <w:r w:rsidRPr="00DD57F1">
        <w:rPr>
          <w:rFonts w:ascii="Times New Roman" w:hAnsi="Times New Roman" w:cs="Times New Roman"/>
          <w:sz w:val="24"/>
          <w:szCs w:val="24"/>
        </w:rPr>
        <w:t xml:space="preserve"> trial more quickly, where </w:t>
      </w:r>
      <w:r w:rsidR="00673CA1" w:rsidRPr="00DD57F1">
        <w:rPr>
          <w:rFonts w:ascii="Times New Roman" w:hAnsi="Times New Roman" w:cs="Times New Roman"/>
          <w:sz w:val="24"/>
          <w:szCs w:val="24"/>
        </w:rPr>
        <w:t>they usually settle</w:t>
      </w:r>
      <w:r w:rsidRPr="00DD57F1">
        <w:rPr>
          <w:rFonts w:ascii="Times New Roman" w:hAnsi="Times New Roman" w:cs="Times New Roman"/>
          <w:sz w:val="24"/>
          <w:szCs w:val="24"/>
        </w:rPr>
        <w:t xml:space="preserve">. </w:t>
      </w:r>
      <w:r w:rsidR="00984BFA">
        <w:rPr>
          <w:rFonts w:ascii="Times New Roman" w:hAnsi="Times New Roman" w:cs="Times New Roman"/>
          <w:sz w:val="24"/>
          <w:szCs w:val="24"/>
        </w:rPr>
        <w:t>Allocation of experienced judges</w:t>
      </w:r>
      <w:r w:rsidR="00BC0745" w:rsidRPr="00DD57F1">
        <w:rPr>
          <w:rFonts w:ascii="Times New Roman" w:hAnsi="Times New Roman" w:cs="Times New Roman"/>
          <w:sz w:val="24"/>
          <w:szCs w:val="24"/>
        </w:rPr>
        <w:t xml:space="preserve"> has become standard practice where it can be accommodated.</w:t>
      </w:r>
    </w:p>
    <w:p w14:paraId="735153B3" w14:textId="77777777" w:rsidR="00F5433B" w:rsidRPr="00DD57F1" w:rsidRDefault="00F5433B" w:rsidP="00324689">
      <w:pPr>
        <w:pStyle w:val="ListParagraph"/>
        <w:spacing w:after="240" w:line="300" w:lineRule="auto"/>
        <w:ind w:left="567"/>
        <w:jc w:val="both"/>
        <w:rPr>
          <w:rFonts w:ascii="Times New Roman" w:hAnsi="Times New Roman" w:cs="Times New Roman"/>
          <w:sz w:val="24"/>
          <w:szCs w:val="24"/>
        </w:rPr>
      </w:pPr>
    </w:p>
    <w:p w14:paraId="1204DDD6" w14:textId="277CABD7" w:rsidR="00AC6F28" w:rsidRPr="00DD57F1" w:rsidRDefault="00B9601C" w:rsidP="00087565">
      <w:pPr>
        <w:pStyle w:val="ListParagraph"/>
        <w:numPr>
          <w:ilvl w:val="0"/>
          <w:numId w:val="24"/>
        </w:numPr>
        <w:spacing w:after="240" w:line="300" w:lineRule="auto"/>
        <w:ind w:left="567" w:hanging="567"/>
        <w:jc w:val="both"/>
        <w:rPr>
          <w:rFonts w:ascii="Times New Roman" w:hAnsi="Times New Roman" w:cs="Times New Roman"/>
          <w:i/>
          <w:sz w:val="24"/>
          <w:szCs w:val="24"/>
        </w:rPr>
      </w:pPr>
      <w:r w:rsidRPr="00DD57F1">
        <w:rPr>
          <w:rFonts w:ascii="Times New Roman" w:hAnsi="Times New Roman" w:cs="Times New Roman"/>
          <w:sz w:val="24"/>
          <w:szCs w:val="24"/>
        </w:rPr>
        <w:t xml:space="preserve">Second, </w:t>
      </w:r>
      <w:r w:rsidRPr="00DD57F1">
        <w:rPr>
          <w:rFonts w:ascii="Times New Roman" w:hAnsi="Times New Roman" w:cs="Times New Roman"/>
          <w:i/>
          <w:sz w:val="24"/>
          <w:szCs w:val="24"/>
        </w:rPr>
        <w:t>c</w:t>
      </w:r>
      <w:r w:rsidR="00AC6F28" w:rsidRPr="00DD57F1">
        <w:rPr>
          <w:rFonts w:ascii="Times New Roman" w:hAnsi="Times New Roman" w:cs="Times New Roman"/>
          <w:i/>
          <w:sz w:val="24"/>
          <w:szCs w:val="24"/>
        </w:rPr>
        <w:t>ase management of competing class actions</w:t>
      </w:r>
      <w:r w:rsidRPr="00DD57F1">
        <w:rPr>
          <w:rFonts w:ascii="Times New Roman" w:hAnsi="Times New Roman" w:cs="Times New Roman"/>
          <w:sz w:val="24"/>
          <w:szCs w:val="24"/>
        </w:rPr>
        <w:t xml:space="preserve">.  </w:t>
      </w:r>
    </w:p>
    <w:p w14:paraId="5FBF0C1E" w14:textId="77777777" w:rsidR="009513C5" w:rsidRPr="00DD57F1" w:rsidRDefault="009513C5" w:rsidP="009513C5">
      <w:pPr>
        <w:pStyle w:val="ListParagraph"/>
        <w:spacing w:after="240" w:line="300" w:lineRule="auto"/>
        <w:ind w:left="567"/>
        <w:jc w:val="both"/>
        <w:rPr>
          <w:rFonts w:ascii="Times New Roman" w:hAnsi="Times New Roman" w:cs="Times New Roman"/>
          <w:i/>
          <w:sz w:val="24"/>
          <w:szCs w:val="24"/>
        </w:rPr>
      </w:pPr>
    </w:p>
    <w:p w14:paraId="3F40CFA3" w14:textId="5EC7D320" w:rsidR="00CE1BFC" w:rsidRPr="00DD57F1" w:rsidRDefault="002564A8" w:rsidP="00CE1BFC">
      <w:pPr>
        <w:pStyle w:val="ListParagraph"/>
        <w:spacing w:after="240" w:line="300" w:lineRule="auto"/>
        <w:ind w:left="567"/>
        <w:jc w:val="both"/>
        <w:rPr>
          <w:rFonts w:ascii="Times New Roman" w:hAnsi="Times New Roman" w:cs="Times New Roman"/>
          <w:sz w:val="24"/>
          <w:szCs w:val="24"/>
        </w:rPr>
      </w:pPr>
      <w:r w:rsidRPr="00DD57F1">
        <w:rPr>
          <w:rFonts w:ascii="Times New Roman" w:hAnsi="Times New Roman" w:cs="Times New Roman"/>
          <w:sz w:val="24"/>
          <w:szCs w:val="24"/>
        </w:rPr>
        <w:t>When dealing with overlapping or competing class actions t</w:t>
      </w:r>
      <w:r w:rsidR="00AC6F28" w:rsidRPr="00DD57F1">
        <w:rPr>
          <w:rFonts w:ascii="Times New Roman" w:hAnsi="Times New Roman" w:cs="Times New Roman"/>
          <w:sz w:val="24"/>
          <w:szCs w:val="24"/>
        </w:rPr>
        <w:t>he</w:t>
      </w:r>
      <w:r w:rsidR="00E124D7" w:rsidRPr="00DD57F1">
        <w:rPr>
          <w:rFonts w:ascii="Times New Roman" w:hAnsi="Times New Roman" w:cs="Times New Roman"/>
          <w:sz w:val="24"/>
          <w:szCs w:val="24"/>
        </w:rPr>
        <w:t xml:space="preserve"> Court has</w:t>
      </w:r>
      <w:r w:rsidR="00801DD9" w:rsidRPr="00DD57F1">
        <w:rPr>
          <w:rFonts w:ascii="Times New Roman" w:hAnsi="Times New Roman" w:cs="Times New Roman"/>
          <w:sz w:val="24"/>
          <w:szCs w:val="24"/>
        </w:rPr>
        <w:t xml:space="preserve"> repeatedly said </w:t>
      </w:r>
      <w:r w:rsidRPr="00DD57F1">
        <w:rPr>
          <w:rFonts w:ascii="Times New Roman" w:hAnsi="Times New Roman" w:cs="Times New Roman"/>
          <w:sz w:val="24"/>
          <w:szCs w:val="24"/>
        </w:rPr>
        <w:t>that it</w:t>
      </w:r>
      <w:r w:rsidR="0092119F" w:rsidRPr="00DD57F1">
        <w:rPr>
          <w:rFonts w:ascii="Times New Roman" w:hAnsi="Times New Roman" w:cs="Times New Roman"/>
          <w:sz w:val="24"/>
          <w:szCs w:val="24"/>
        </w:rPr>
        <w:t xml:space="preserve"> will </w:t>
      </w:r>
      <w:r w:rsidR="00DC02CB" w:rsidRPr="00DD57F1">
        <w:rPr>
          <w:rFonts w:ascii="Times New Roman" w:hAnsi="Times New Roman" w:cs="Times New Roman"/>
          <w:sz w:val="24"/>
          <w:szCs w:val="24"/>
        </w:rPr>
        <w:t>not countenance</w:t>
      </w:r>
      <w:r w:rsidR="00E124D7" w:rsidRPr="00DD57F1">
        <w:rPr>
          <w:rFonts w:ascii="Times New Roman" w:hAnsi="Times New Roman" w:cs="Times New Roman"/>
          <w:sz w:val="24"/>
          <w:szCs w:val="24"/>
        </w:rPr>
        <w:t xml:space="preserve"> increased legal costs, wastage of court resources, delay, and unfairness to respondents</w:t>
      </w:r>
      <w:r w:rsidR="00801DD9" w:rsidRPr="00DD57F1">
        <w:rPr>
          <w:rFonts w:ascii="Times New Roman" w:hAnsi="Times New Roman" w:cs="Times New Roman"/>
          <w:sz w:val="24"/>
          <w:szCs w:val="24"/>
        </w:rPr>
        <w:t xml:space="preserve"> through </w:t>
      </w:r>
      <w:r w:rsidR="00BC0745" w:rsidRPr="00DD57F1">
        <w:rPr>
          <w:rFonts w:ascii="Times New Roman" w:hAnsi="Times New Roman" w:cs="Times New Roman"/>
          <w:sz w:val="24"/>
          <w:szCs w:val="24"/>
        </w:rPr>
        <w:t>such cases</w:t>
      </w:r>
      <w:r w:rsidR="003D4DB4" w:rsidRPr="00DD57F1">
        <w:rPr>
          <w:rFonts w:ascii="Times New Roman" w:hAnsi="Times New Roman" w:cs="Times New Roman"/>
          <w:sz w:val="24"/>
          <w:szCs w:val="24"/>
        </w:rPr>
        <w:t>.</w:t>
      </w:r>
      <w:r w:rsidR="00E124D7" w:rsidRPr="00DD57F1">
        <w:rPr>
          <w:rStyle w:val="EndnoteReference"/>
          <w:rFonts w:ascii="Times New Roman" w:hAnsi="Times New Roman" w:cs="Times New Roman"/>
          <w:sz w:val="24"/>
          <w:szCs w:val="24"/>
        </w:rPr>
        <w:endnoteReference w:id="3"/>
      </w:r>
      <w:r w:rsidR="003D4DB4" w:rsidRPr="00DD57F1">
        <w:rPr>
          <w:rFonts w:ascii="Times New Roman" w:hAnsi="Times New Roman" w:cs="Times New Roman"/>
          <w:sz w:val="24"/>
          <w:szCs w:val="24"/>
        </w:rPr>
        <w:t xml:space="preserve"> </w:t>
      </w:r>
      <w:r w:rsidR="0092119F" w:rsidRPr="00DD57F1">
        <w:rPr>
          <w:rFonts w:ascii="Times New Roman" w:hAnsi="Times New Roman" w:cs="Times New Roman"/>
          <w:sz w:val="24"/>
          <w:szCs w:val="24"/>
        </w:rPr>
        <w:t xml:space="preserve"> For example</w:t>
      </w:r>
      <w:r w:rsidR="00CE1BFC" w:rsidRPr="00DD57F1">
        <w:rPr>
          <w:rFonts w:ascii="Times New Roman" w:hAnsi="Times New Roman" w:cs="Times New Roman"/>
          <w:sz w:val="24"/>
          <w:szCs w:val="24"/>
        </w:rPr>
        <w:t>:</w:t>
      </w:r>
    </w:p>
    <w:p w14:paraId="346A79E8" w14:textId="77777777" w:rsidR="00E124D7" w:rsidRPr="00DD57F1" w:rsidRDefault="00E124D7" w:rsidP="00CE1BFC">
      <w:pPr>
        <w:pStyle w:val="ListParagraph"/>
        <w:spacing w:after="240" w:line="300" w:lineRule="auto"/>
        <w:ind w:left="567"/>
        <w:jc w:val="both"/>
        <w:rPr>
          <w:rFonts w:ascii="Times New Roman" w:hAnsi="Times New Roman" w:cs="Times New Roman"/>
          <w:sz w:val="24"/>
          <w:szCs w:val="24"/>
        </w:rPr>
      </w:pPr>
    </w:p>
    <w:p w14:paraId="58F96D16" w14:textId="7F6ED7F2" w:rsidR="00984BFA" w:rsidRDefault="00984BFA" w:rsidP="00984BFA">
      <w:pPr>
        <w:pStyle w:val="ListParagraph"/>
        <w:numPr>
          <w:ilvl w:val="0"/>
          <w:numId w:val="28"/>
        </w:numPr>
        <w:spacing w:after="240" w:line="300" w:lineRule="auto"/>
        <w:ind w:left="1134" w:hanging="567"/>
        <w:jc w:val="both"/>
        <w:rPr>
          <w:rFonts w:ascii="Times New Roman" w:hAnsi="Times New Roman" w:cs="Times New Roman"/>
          <w:sz w:val="24"/>
          <w:szCs w:val="24"/>
        </w:rPr>
      </w:pPr>
      <w:r>
        <w:rPr>
          <w:rFonts w:ascii="Times New Roman" w:hAnsi="Times New Roman" w:cs="Times New Roman"/>
          <w:sz w:val="24"/>
          <w:szCs w:val="24"/>
        </w:rPr>
        <w:t>I</w:t>
      </w:r>
      <w:r w:rsidRPr="00DD57F1">
        <w:rPr>
          <w:rFonts w:ascii="Times New Roman" w:hAnsi="Times New Roman" w:cs="Times New Roman"/>
          <w:sz w:val="24"/>
          <w:szCs w:val="24"/>
        </w:rPr>
        <w:t xml:space="preserve">n </w:t>
      </w:r>
      <w:r w:rsidRPr="00DD57F1">
        <w:rPr>
          <w:rFonts w:ascii="Times New Roman" w:hAnsi="Times New Roman" w:cs="Times New Roman"/>
          <w:i/>
          <w:sz w:val="24"/>
          <w:szCs w:val="24"/>
        </w:rPr>
        <w:t>Cantor v Audi Australia Pty Limited (No 2)</w:t>
      </w:r>
      <w:r w:rsidRPr="00DD57F1">
        <w:rPr>
          <w:rStyle w:val="EndnoteReference"/>
          <w:rFonts w:ascii="Times New Roman" w:hAnsi="Times New Roman" w:cs="Times New Roman"/>
          <w:sz w:val="24"/>
          <w:szCs w:val="24"/>
        </w:rPr>
        <w:endnoteReference w:id="4"/>
      </w:r>
      <w:r w:rsidRPr="00DD57F1">
        <w:rPr>
          <w:rFonts w:ascii="Times New Roman" w:hAnsi="Times New Roman" w:cs="Times New Roman"/>
          <w:sz w:val="24"/>
          <w:szCs w:val="24"/>
        </w:rPr>
        <w:t>, the VW class action, Foster J allowed two competing class actions to remain on foot but ordered a joint trial of the cases and made orders directed at reducing wastage of costs.</w:t>
      </w:r>
    </w:p>
    <w:p w14:paraId="5A5F670F" w14:textId="77777777" w:rsidR="00984BFA" w:rsidRPr="00DD57F1" w:rsidRDefault="00984BFA" w:rsidP="00984BFA">
      <w:pPr>
        <w:pStyle w:val="ListParagraph"/>
        <w:spacing w:after="240" w:line="300" w:lineRule="auto"/>
        <w:ind w:left="1134"/>
        <w:jc w:val="both"/>
        <w:rPr>
          <w:rFonts w:ascii="Times New Roman" w:hAnsi="Times New Roman" w:cs="Times New Roman"/>
          <w:sz w:val="24"/>
          <w:szCs w:val="24"/>
        </w:rPr>
      </w:pPr>
    </w:p>
    <w:p w14:paraId="73D37D03" w14:textId="3B08C399" w:rsidR="00AC6F28" w:rsidRPr="00DD57F1" w:rsidRDefault="002A5482" w:rsidP="00CE1BFC">
      <w:pPr>
        <w:pStyle w:val="ListParagraph"/>
        <w:numPr>
          <w:ilvl w:val="0"/>
          <w:numId w:val="28"/>
        </w:numPr>
        <w:spacing w:after="240" w:line="300" w:lineRule="auto"/>
        <w:ind w:left="1134" w:hanging="567"/>
        <w:jc w:val="both"/>
        <w:rPr>
          <w:rFonts w:ascii="Times New Roman" w:hAnsi="Times New Roman" w:cs="Times New Roman"/>
          <w:sz w:val="24"/>
          <w:szCs w:val="24"/>
        </w:rPr>
      </w:pPr>
      <w:r>
        <w:rPr>
          <w:rFonts w:ascii="Times New Roman" w:hAnsi="Times New Roman" w:cs="Times New Roman"/>
          <w:sz w:val="24"/>
          <w:szCs w:val="24"/>
        </w:rPr>
        <w:lastRenderedPageBreak/>
        <w:t>I</w:t>
      </w:r>
      <w:r w:rsidR="00CE1BFC" w:rsidRPr="00DD57F1">
        <w:rPr>
          <w:rFonts w:ascii="Times New Roman" w:hAnsi="Times New Roman" w:cs="Times New Roman"/>
          <w:sz w:val="24"/>
          <w:szCs w:val="24"/>
        </w:rPr>
        <w:t xml:space="preserve">n </w:t>
      </w:r>
      <w:r w:rsidR="00CE1BFC" w:rsidRPr="00DD57F1">
        <w:rPr>
          <w:rFonts w:ascii="Times New Roman" w:hAnsi="Times New Roman" w:cs="Times New Roman"/>
          <w:i/>
          <w:sz w:val="24"/>
          <w:szCs w:val="24"/>
        </w:rPr>
        <w:t>McKay Super Solutions v Bellamy’s Australia Ltd</w:t>
      </w:r>
      <w:r w:rsidR="00CE1BFC" w:rsidRPr="00DD57F1">
        <w:rPr>
          <w:rStyle w:val="EndnoteReference"/>
          <w:rFonts w:ascii="Times New Roman" w:hAnsi="Times New Roman" w:cs="Times New Roman"/>
          <w:sz w:val="24"/>
          <w:szCs w:val="24"/>
        </w:rPr>
        <w:endnoteReference w:id="5"/>
      </w:r>
      <w:r w:rsidR="00CE1BFC" w:rsidRPr="00DD57F1">
        <w:rPr>
          <w:rFonts w:ascii="Times New Roman" w:hAnsi="Times New Roman" w:cs="Times New Roman"/>
          <w:sz w:val="24"/>
          <w:szCs w:val="24"/>
        </w:rPr>
        <w:t xml:space="preserve"> t</w:t>
      </w:r>
      <w:r w:rsidR="000F65E0" w:rsidRPr="00DD57F1">
        <w:rPr>
          <w:rFonts w:ascii="Times New Roman" w:hAnsi="Times New Roman" w:cs="Times New Roman"/>
          <w:sz w:val="24"/>
          <w:szCs w:val="24"/>
        </w:rPr>
        <w:t>w</w:t>
      </w:r>
      <w:r w:rsidR="00CE1BFC" w:rsidRPr="00DD57F1">
        <w:rPr>
          <w:rFonts w:ascii="Times New Roman" w:hAnsi="Times New Roman" w:cs="Times New Roman"/>
          <w:sz w:val="24"/>
          <w:szCs w:val="24"/>
        </w:rPr>
        <w:t xml:space="preserve">o overlapping open </w:t>
      </w:r>
      <w:r w:rsidR="000F65E0" w:rsidRPr="00DD57F1">
        <w:rPr>
          <w:rFonts w:ascii="Times New Roman" w:hAnsi="Times New Roman" w:cs="Times New Roman"/>
          <w:sz w:val="24"/>
          <w:szCs w:val="24"/>
        </w:rPr>
        <w:t xml:space="preserve">securities </w:t>
      </w:r>
      <w:r w:rsidR="00CE1BFC" w:rsidRPr="00DD57F1">
        <w:rPr>
          <w:rFonts w:ascii="Times New Roman" w:hAnsi="Times New Roman" w:cs="Times New Roman"/>
          <w:sz w:val="24"/>
          <w:szCs w:val="24"/>
        </w:rPr>
        <w:t xml:space="preserve">class actions were filed. </w:t>
      </w:r>
      <w:r w:rsidR="003D4DB4" w:rsidRPr="00DD57F1">
        <w:rPr>
          <w:rFonts w:ascii="Times New Roman" w:hAnsi="Times New Roman" w:cs="Times New Roman"/>
          <w:sz w:val="24"/>
          <w:szCs w:val="24"/>
        </w:rPr>
        <w:t xml:space="preserve"> </w:t>
      </w:r>
      <w:r w:rsidR="00CE1BFC" w:rsidRPr="00DD57F1">
        <w:rPr>
          <w:rFonts w:ascii="Times New Roman" w:hAnsi="Times New Roman" w:cs="Times New Roman"/>
          <w:sz w:val="24"/>
          <w:szCs w:val="24"/>
        </w:rPr>
        <w:t>Beach J closed the class in one proceeding</w:t>
      </w:r>
      <w:r w:rsidR="000F65E0" w:rsidRPr="00DD57F1">
        <w:rPr>
          <w:rFonts w:ascii="Times New Roman" w:hAnsi="Times New Roman" w:cs="Times New Roman"/>
          <w:sz w:val="24"/>
          <w:szCs w:val="24"/>
        </w:rPr>
        <w:t xml:space="preserve"> and</w:t>
      </w:r>
      <w:r w:rsidR="00CE1BFC" w:rsidRPr="00DD57F1">
        <w:rPr>
          <w:rFonts w:ascii="Times New Roman" w:hAnsi="Times New Roman" w:cs="Times New Roman"/>
          <w:sz w:val="24"/>
          <w:szCs w:val="24"/>
        </w:rPr>
        <w:t xml:space="preserve"> allowed the other proceeding to remain as an open class</w:t>
      </w:r>
      <w:r w:rsidR="000F65E0" w:rsidRPr="00DD57F1">
        <w:rPr>
          <w:rFonts w:ascii="Times New Roman" w:hAnsi="Times New Roman" w:cs="Times New Roman"/>
          <w:sz w:val="24"/>
          <w:szCs w:val="24"/>
        </w:rPr>
        <w:t>.</w:t>
      </w:r>
      <w:r w:rsidR="003D4DB4" w:rsidRPr="00DD57F1">
        <w:rPr>
          <w:rFonts w:ascii="Times New Roman" w:hAnsi="Times New Roman" w:cs="Times New Roman"/>
          <w:sz w:val="24"/>
          <w:szCs w:val="24"/>
        </w:rPr>
        <w:t xml:space="preserve"> </w:t>
      </w:r>
      <w:r w:rsidR="000F65E0" w:rsidRPr="00DD57F1">
        <w:rPr>
          <w:rFonts w:ascii="Times New Roman" w:hAnsi="Times New Roman" w:cs="Times New Roman"/>
          <w:sz w:val="24"/>
          <w:szCs w:val="24"/>
        </w:rPr>
        <w:t xml:space="preserve"> His Honour ordered</w:t>
      </w:r>
      <w:r w:rsidR="00CE1BFC" w:rsidRPr="00DD57F1">
        <w:rPr>
          <w:rFonts w:ascii="Times New Roman" w:hAnsi="Times New Roman" w:cs="Times New Roman"/>
          <w:sz w:val="24"/>
          <w:szCs w:val="24"/>
        </w:rPr>
        <w:t xml:space="preserve"> a joint trial of both proceedings</w:t>
      </w:r>
      <w:r w:rsidR="000F65E0" w:rsidRPr="00DD57F1">
        <w:rPr>
          <w:rFonts w:ascii="Times New Roman" w:hAnsi="Times New Roman" w:cs="Times New Roman"/>
          <w:sz w:val="24"/>
          <w:szCs w:val="24"/>
        </w:rPr>
        <w:t xml:space="preserve"> and </w:t>
      </w:r>
      <w:r w:rsidR="00CE1BFC" w:rsidRPr="00DD57F1">
        <w:rPr>
          <w:rFonts w:ascii="Times New Roman" w:hAnsi="Times New Roman" w:cs="Times New Roman"/>
          <w:sz w:val="24"/>
          <w:szCs w:val="24"/>
        </w:rPr>
        <w:t xml:space="preserve">required the opposing applicant’s lawyers and funders to cooperate. </w:t>
      </w:r>
    </w:p>
    <w:p w14:paraId="136FE416" w14:textId="77777777" w:rsidR="00E124D7" w:rsidRPr="00DD57F1" w:rsidRDefault="00E124D7" w:rsidP="00E124D7">
      <w:pPr>
        <w:pStyle w:val="ListParagraph"/>
        <w:spacing w:after="240" w:line="300" w:lineRule="auto"/>
        <w:ind w:left="1134"/>
        <w:jc w:val="both"/>
        <w:rPr>
          <w:rFonts w:ascii="Times New Roman" w:hAnsi="Times New Roman" w:cs="Times New Roman"/>
          <w:sz w:val="24"/>
          <w:szCs w:val="24"/>
        </w:rPr>
      </w:pPr>
    </w:p>
    <w:p w14:paraId="768F200A" w14:textId="642FB63B" w:rsidR="00613B04" w:rsidRPr="00DD57F1" w:rsidRDefault="002A5482" w:rsidP="0074286D">
      <w:pPr>
        <w:pStyle w:val="ListParagraph"/>
        <w:numPr>
          <w:ilvl w:val="0"/>
          <w:numId w:val="28"/>
        </w:numPr>
        <w:spacing w:after="240" w:line="300" w:lineRule="auto"/>
        <w:ind w:left="1134" w:hanging="567"/>
        <w:jc w:val="both"/>
        <w:rPr>
          <w:rFonts w:ascii="Times New Roman" w:hAnsi="Times New Roman" w:cs="Times New Roman"/>
          <w:sz w:val="24"/>
          <w:szCs w:val="24"/>
        </w:rPr>
      </w:pPr>
      <w:r>
        <w:rPr>
          <w:rFonts w:ascii="Times New Roman" w:hAnsi="Times New Roman" w:cs="Times New Roman"/>
          <w:sz w:val="24"/>
          <w:szCs w:val="24"/>
        </w:rPr>
        <w:t>I</w:t>
      </w:r>
      <w:r w:rsidR="00CE1BFC" w:rsidRPr="00DD57F1">
        <w:rPr>
          <w:rFonts w:ascii="Times New Roman" w:hAnsi="Times New Roman" w:cs="Times New Roman"/>
          <w:sz w:val="24"/>
          <w:szCs w:val="24"/>
        </w:rPr>
        <w:t xml:space="preserve">n </w:t>
      </w:r>
      <w:r w:rsidR="000F65E0" w:rsidRPr="00DD57F1">
        <w:rPr>
          <w:rFonts w:ascii="Times New Roman" w:hAnsi="Times New Roman" w:cs="Times New Roman"/>
          <w:i/>
          <w:sz w:val="24"/>
          <w:szCs w:val="24"/>
        </w:rPr>
        <w:t>Perera v GetSwift Limited</w:t>
      </w:r>
      <w:r w:rsidR="000F65E0" w:rsidRPr="00DD57F1">
        <w:rPr>
          <w:rStyle w:val="EndnoteReference"/>
          <w:rFonts w:ascii="Times New Roman" w:hAnsi="Times New Roman" w:cs="Times New Roman"/>
          <w:sz w:val="24"/>
          <w:szCs w:val="24"/>
        </w:rPr>
        <w:endnoteReference w:id="6"/>
      </w:r>
      <w:r w:rsidR="000F65E0" w:rsidRPr="00DD57F1">
        <w:rPr>
          <w:rFonts w:ascii="Times New Roman" w:hAnsi="Times New Roman" w:cs="Times New Roman"/>
          <w:i/>
          <w:sz w:val="24"/>
          <w:szCs w:val="24"/>
        </w:rPr>
        <w:t xml:space="preserve"> </w:t>
      </w:r>
      <w:r w:rsidR="001357D7" w:rsidRPr="00DD57F1">
        <w:rPr>
          <w:rFonts w:ascii="Times New Roman" w:hAnsi="Times New Roman" w:cs="Times New Roman"/>
          <w:sz w:val="24"/>
          <w:szCs w:val="24"/>
        </w:rPr>
        <w:t>(</w:t>
      </w:r>
      <w:r w:rsidR="001357D7" w:rsidRPr="00DD57F1">
        <w:rPr>
          <w:rFonts w:ascii="Times New Roman" w:hAnsi="Times New Roman" w:cs="Times New Roman"/>
          <w:b/>
          <w:i/>
          <w:sz w:val="24"/>
          <w:szCs w:val="24"/>
        </w:rPr>
        <w:t>GetSwift</w:t>
      </w:r>
      <w:r w:rsidR="001357D7" w:rsidRPr="00DD57F1">
        <w:rPr>
          <w:rFonts w:ascii="Times New Roman" w:hAnsi="Times New Roman" w:cs="Times New Roman"/>
          <w:sz w:val="24"/>
          <w:szCs w:val="24"/>
        </w:rPr>
        <w:t xml:space="preserve">) </w:t>
      </w:r>
      <w:r w:rsidR="00B9601C" w:rsidRPr="00DD57F1">
        <w:rPr>
          <w:rFonts w:ascii="Times New Roman" w:hAnsi="Times New Roman" w:cs="Times New Roman"/>
          <w:sz w:val="24"/>
          <w:szCs w:val="24"/>
        </w:rPr>
        <w:t>Lee J</w:t>
      </w:r>
      <w:r w:rsidR="002564A8" w:rsidRPr="00DD57F1">
        <w:rPr>
          <w:rFonts w:ascii="Times New Roman" w:hAnsi="Times New Roman" w:cs="Times New Roman"/>
          <w:sz w:val="24"/>
          <w:szCs w:val="24"/>
        </w:rPr>
        <w:t xml:space="preserve"> conducted a tender process between three competing solicitors and funders. He</w:t>
      </w:r>
      <w:r w:rsidR="00B9601C" w:rsidRPr="00DD57F1">
        <w:rPr>
          <w:rFonts w:ascii="Times New Roman" w:hAnsi="Times New Roman" w:cs="Times New Roman"/>
          <w:sz w:val="24"/>
          <w:szCs w:val="24"/>
        </w:rPr>
        <w:t xml:space="preserve"> found that there was no significant difference between the cases in terms of scope, pleadings, preparation, experience or competence of the legal practitioners or the number of group members.  In this context he made orders for the Webb proceeding to continue as its funding model was </w:t>
      </w:r>
      <w:r w:rsidR="001357D7" w:rsidRPr="00DD57F1">
        <w:rPr>
          <w:rFonts w:ascii="Times New Roman" w:hAnsi="Times New Roman" w:cs="Times New Roman"/>
          <w:sz w:val="24"/>
          <w:szCs w:val="24"/>
        </w:rPr>
        <w:t xml:space="preserve">“very likely to produce a better return for class members in the vast bulk of realistic scenarios </w:t>
      </w:r>
      <w:r w:rsidR="003D4DB4" w:rsidRPr="00DD57F1">
        <w:rPr>
          <w:rFonts w:ascii="Times New Roman" w:hAnsi="Times New Roman" w:cs="Times New Roman"/>
          <w:sz w:val="24"/>
          <w:szCs w:val="24"/>
        </w:rPr>
        <w:t>at all stages of the proceeding</w:t>
      </w:r>
      <w:r w:rsidR="001357D7" w:rsidRPr="00DD57F1">
        <w:rPr>
          <w:rFonts w:ascii="Times New Roman" w:hAnsi="Times New Roman" w:cs="Times New Roman"/>
          <w:sz w:val="24"/>
          <w:szCs w:val="24"/>
        </w:rPr>
        <w:t>”</w:t>
      </w:r>
      <w:r w:rsidR="003D4DB4" w:rsidRPr="00DD57F1">
        <w:rPr>
          <w:rFonts w:ascii="Times New Roman" w:hAnsi="Times New Roman" w:cs="Times New Roman"/>
          <w:sz w:val="24"/>
          <w:szCs w:val="24"/>
        </w:rPr>
        <w:t>.</w:t>
      </w:r>
      <w:r w:rsidR="001357D7" w:rsidRPr="00DD57F1">
        <w:rPr>
          <w:rStyle w:val="EndnoteReference"/>
          <w:rFonts w:ascii="Times New Roman" w:hAnsi="Times New Roman" w:cs="Times New Roman"/>
          <w:sz w:val="24"/>
          <w:szCs w:val="24"/>
        </w:rPr>
        <w:endnoteReference w:id="7"/>
      </w:r>
      <w:r w:rsidR="00286A5C" w:rsidRPr="00DD57F1">
        <w:rPr>
          <w:rFonts w:ascii="Times New Roman" w:hAnsi="Times New Roman" w:cs="Times New Roman"/>
          <w:sz w:val="24"/>
          <w:szCs w:val="24"/>
        </w:rPr>
        <w:t xml:space="preserve"> </w:t>
      </w:r>
      <w:r w:rsidR="003D4DB4" w:rsidRPr="00DD57F1">
        <w:rPr>
          <w:rFonts w:ascii="Times New Roman" w:hAnsi="Times New Roman" w:cs="Times New Roman"/>
          <w:sz w:val="24"/>
          <w:szCs w:val="24"/>
        </w:rPr>
        <w:t xml:space="preserve"> </w:t>
      </w:r>
      <w:r w:rsidR="00B9601C" w:rsidRPr="00DD57F1">
        <w:rPr>
          <w:rFonts w:ascii="Times New Roman" w:hAnsi="Times New Roman" w:cs="Times New Roman"/>
          <w:sz w:val="24"/>
          <w:szCs w:val="24"/>
        </w:rPr>
        <w:t>T</w:t>
      </w:r>
      <w:r w:rsidR="00286A5C" w:rsidRPr="00DD57F1">
        <w:rPr>
          <w:rFonts w:ascii="Times New Roman" w:hAnsi="Times New Roman" w:cs="Times New Roman"/>
          <w:sz w:val="24"/>
          <w:szCs w:val="24"/>
        </w:rPr>
        <w:t xml:space="preserve">he other two proceedings </w:t>
      </w:r>
      <w:r w:rsidR="00B9601C" w:rsidRPr="00DD57F1">
        <w:rPr>
          <w:rFonts w:ascii="Times New Roman" w:hAnsi="Times New Roman" w:cs="Times New Roman"/>
          <w:sz w:val="24"/>
          <w:szCs w:val="24"/>
        </w:rPr>
        <w:t>were</w:t>
      </w:r>
      <w:r w:rsidR="00286A5C" w:rsidRPr="00DD57F1">
        <w:rPr>
          <w:rFonts w:ascii="Times New Roman" w:hAnsi="Times New Roman" w:cs="Times New Roman"/>
          <w:sz w:val="24"/>
          <w:szCs w:val="24"/>
        </w:rPr>
        <w:t xml:space="preserve"> stayed</w:t>
      </w:r>
      <w:r w:rsidR="001357D7" w:rsidRPr="00DD57F1">
        <w:rPr>
          <w:rFonts w:ascii="Times New Roman" w:hAnsi="Times New Roman" w:cs="Times New Roman"/>
          <w:sz w:val="24"/>
          <w:szCs w:val="24"/>
        </w:rPr>
        <w:t>.</w:t>
      </w:r>
      <w:r w:rsidR="00286A5C" w:rsidRPr="00DD57F1">
        <w:rPr>
          <w:rFonts w:ascii="Times New Roman" w:hAnsi="Times New Roman" w:cs="Times New Roman"/>
          <w:sz w:val="24"/>
          <w:szCs w:val="24"/>
        </w:rPr>
        <w:t xml:space="preserve"> </w:t>
      </w:r>
      <w:r w:rsidR="00801DD9" w:rsidRPr="00DD57F1">
        <w:rPr>
          <w:rFonts w:ascii="Times New Roman" w:hAnsi="Times New Roman" w:cs="Times New Roman"/>
          <w:sz w:val="24"/>
          <w:szCs w:val="24"/>
        </w:rPr>
        <w:t xml:space="preserve"> </w:t>
      </w:r>
      <w:r w:rsidR="001357D7" w:rsidRPr="00DD57F1">
        <w:rPr>
          <w:rFonts w:ascii="Times New Roman" w:hAnsi="Times New Roman" w:cs="Times New Roman"/>
          <w:sz w:val="24"/>
          <w:szCs w:val="24"/>
        </w:rPr>
        <w:t xml:space="preserve">The decision in </w:t>
      </w:r>
      <w:r w:rsidR="001357D7" w:rsidRPr="00DD57F1">
        <w:rPr>
          <w:rFonts w:ascii="Times New Roman" w:hAnsi="Times New Roman" w:cs="Times New Roman"/>
          <w:i/>
          <w:sz w:val="24"/>
          <w:szCs w:val="24"/>
        </w:rPr>
        <w:t>GetSwift</w:t>
      </w:r>
      <w:r w:rsidR="001B5C22" w:rsidRPr="00DD57F1">
        <w:rPr>
          <w:rFonts w:ascii="Times New Roman" w:hAnsi="Times New Roman" w:cs="Times New Roman"/>
          <w:sz w:val="24"/>
          <w:szCs w:val="24"/>
        </w:rPr>
        <w:t xml:space="preserve"> has been </w:t>
      </w:r>
      <w:r w:rsidR="001357D7" w:rsidRPr="00DD57F1">
        <w:rPr>
          <w:rFonts w:ascii="Times New Roman" w:hAnsi="Times New Roman" w:cs="Times New Roman"/>
          <w:sz w:val="24"/>
          <w:szCs w:val="24"/>
        </w:rPr>
        <w:t>appealed and the judgment of the Full Court is reserved</w:t>
      </w:r>
      <w:r w:rsidR="00613B04" w:rsidRPr="00DD57F1">
        <w:rPr>
          <w:rFonts w:ascii="Times New Roman" w:hAnsi="Times New Roman" w:cs="Times New Roman"/>
          <w:sz w:val="24"/>
          <w:szCs w:val="24"/>
        </w:rPr>
        <w:t>.</w:t>
      </w:r>
    </w:p>
    <w:p w14:paraId="212CC1CD" w14:textId="1C96A940" w:rsidR="003D5FF8" w:rsidRPr="00DD57F1" w:rsidRDefault="00801DD9" w:rsidP="001B5C22">
      <w:pPr>
        <w:spacing w:after="240" w:line="300" w:lineRule="auto"/>
        <w:ind w:left="567"/>
        <w:jc w:val="both"/>
        <w:rPr>
          <w:rFonts w:ascii="Times New Roman" w:hAnsi="Times New Roman" w:cs="Times New Roman"/>
          <w:sz w:val="24"/>
          <w:szCs w:val="24"/>
        </w:rPr>
      </w:pPr>
      <w:r w:rsidRPr="00DD57F1">
        <w:rPr>
          <w:rFonts w:ascii="Times New Roman" w:hAnsi="Times New Roman" w:cs="Times New Roman"/>
          <w:sz w:val="24"/>
          <w:szCs w:val="24"/>
        </w:rPr>
        <w:t>T</w:t>
      </w:r>
      <w:r w:rsidR="003D5FF8" w:rsidRPr="00DD57F1">
        <w:rPr>
          <w:rFonts w:ascii="Times New Roman" w:hAnsi="Times New Roman" w:cs="Times New Roman"/>
          <w:sz w:val="24"/>
          <w:szCs w:val="24"/>
        </w:rPr>
        <w:t>he Court</w:t>
      </w:r>
      <w:r w:rsidRPr="00DD57F1">
        <w:rPr>
          <w:rFonts w:ascii="Times New Roman" w:hAnsi="Times New Roman" w:cs="Times New Roman"/>
          <w:sz w:val="24"/>
          <w:szCs w:val="24"/>
        </w:rPr>
        <w:t xml:space="preserve"> has and will continue to </w:t>
      </w:r>
      <w:r w:rsidR="003D5FF8" w:rsidRPr="00DD57F1">
        <w:rPr>
          <w:rFonts w:ascii="Times New Roman" w:hAnsi="Times New Roman" w:cs="Times New Roman"/>
          <w:sz w:val="24"/>
          <w:szCs w:val="24"/>
        </w:rPr>
        <w:t>address the problems of wasted costs and resources, delay, a</w:t>
      </w:r>
      <w:r w:rsidRPr="00DD57F1">
        <w:rPr>
          <w:rFonts w:ascii="Times New Roman" w:hAnsi="Times New Roman" w:cs="Times New Roman"/>
          <w:sz w:val="24"/>
          <w:szCs w:val="24"/>
        </w:rPr>
        <w:t xml:space="preserve">nd unfairness to the respondent </w:t>
      </w:r>
      <w:r w:rsidR="003D4DB4" w:rsidRPr="00DD57F1">
        <w:rPr>
          <w:rFonts w:ascii="Times New Roman" w:hAnsi="Times New Roman" w:cs="Times New Roman"/>
          <w:sz w:val="24"/>
          <w:szCs w:val="24"/>
        </w:rPr>
        <w:t xml:space="preserve">through </w:t>
      </w:r>
      <w:r w:rsidRPr="00DD57F1">
        <w:rPr>
          <w:rFonts w:ascii="Times New Roman" w:hAnsi="Times New Roman" w:cs="Times New Roman"/>
          <w:sz w:val="24"/>
          <w:szCs w:val="24"/>
        </w:rPr>
        <w:t>competing cases</w:t>
      </w:r>
      <w:r w:rsidR="003D4DB4" w:rsidRPr="00DD57F1">
        <w:rPr>
          <w:rFonts w:ascii="Times New Roman" w:hAnsi="Times New Roman" w:cs="Times New Roman"/>
          <w:sz w:val="24"/>
          <w:szCs w:val="24"/>
        </w:rPr>
        <w:t>.</w:t>
      </w:r>
    </w:p>
    <w:p w14:paraId="190E4497" w14:textId="011B0636" w:rsidR="009513C5" w:rsidRPr="00DD57F1" w:rsidRDefault="00271BF9" w:rsidP="001B5C22">
      <w:pPr>
        <w:spacing w:after="240" w:line="300" w:lineRule="auto"/>
        <w:ind w:left="567"/>
        <w:jc w:val="both"/>
        <w:rPr>
          <w:rFonts w:ascii="Times New Roman" w:hAnsi="Times New Roman" w:cs="Times New Roman"/>
          <w:sz w:val="24"/>
          <w:szCs w:val="24"/>
        </w:rPr>
      </w:pPr>
      <w:r w:rsidRPr="00DD57F1">
        <w:rPr>
          <w:rFonts w:ascii="Times New Roman" w:hAnsi="Times New Roman" w:cs="Times New Roman"/>
          <w:sz w:val="24"/>
          <w:szCs w:val="24"/>
        </w:rPr>
        <w:t>W</w:t>
      </w:r>
      <w:r w:rsidR="009513C5" w:rsidRPr="00DD57F1">
        <w:rPr>
          <w:rFonts w:ascii="Times New Roman" w:hAnsi="Times New Roman" w:cs="Times New Roman"/>
          <w:sz w:val="24"/>
          <w:szCs w:val="24"/>
        </w:rPr>
        <w:t xml:space="preserve">here </w:t>
      </w:r>
      <w:r w:rsidRPr="00DD57F1">
        <w:rPr>
          <w:rFonts w:ascii="Times New Roman" w:hAnsi="Times New Roman" w:cs="Times New Roman"/>
          <w:sz w:val="24"/>
          <w:szCs w:val="24"/>
        </w:rPr>
        <w:t xml:space="preserve">competing proceedings are commenced in the Federal Court and a State Supreme Court respectively, there are </w:t>
      </w:r>
      <w:r w:rsidR="007F32CB" w:rsidRPr="00DD57F1">
        <w:rPr>
          <w:rFonts w:ascii="Times New Roman" w:hAnsi="Times New Roman" w:cs="Times New Roman"/>
          <w:sz w:val="24"/>
          <w:szCs w:val="24"/>
        </w:rPr>
        <w:t>obvious</w:t>
      </w:r>
      <w:r w:rsidR="009513C5" w:rsidRPr="00DD57F1">
        <w:rPr>
          <w:rFonts w:ascii="Times New Roman" w:hAnsi="Times New Roman" w:cs="Times New Roman"/>
          <w:sz w:val="24"/>
          <w:szCs w:val="24"/>
        </w:rPr>
        <w:t xml:space="preserve"> difficulties</w:t>
      </w:r>
      <w:r w:rsidR="009B4FFD" w:rsidRPr="00DD57F1">
        <w:rPr>
          <w:rFonts w:ascii="Times New Roman" w:hAnsi="Times New Roman" w:cs="Times New Roman"/>
          <w:sz w:val="24"/>
          <w:szCs w:val="24"/>
        </w:rPr>
        <w:t>.</w:t>
      </w:r>
      <w:r w:rsidR="005020CC" w:rsidRPr="00DD57F1">
        <w:rPr>
          <w:rFonts w:ascii="Times New Roman" w:hAnsi="Times New Roman" w:cs="Times New Roman"/>
          <w:sz w:val="24"/>
          <w:szCs w:val="24"/>
        </w:rPr>
        <w:t xml:space="preserve"> </w:t>
      </w:r>
      <w:r w:rsidR="009B4FFD" w:rsidRPr="00DD57F1">
        <w:rPr>
          <w:rFonts w:ascii="Times New Roman" w:hAnsi="Times New Roman" w:cs="Times New Roman"/>
          <w:sz w:val="24"/>
          <w:szCs w:val="24"/>
        </w:rPr>
        <w:t xml:space="preserve"> Recently, one open securities class action </w:t>
      </w:r>
      <w:r w:rsidR="00801DD9" w:rsidRPr="00DD57F1">
        <w:rPr>
          <w:rFonts w:ascii="Times New Roman" w:hAnsi="Times New Roman" w:cs="Times New Roman"/>
          <w:sz w:val="24"/>
          <w:szCs w:val="24"/>
        </w:rPr>
        <w:t xml:space="preserve">against AMP </w:t>
      </w:r>
      <w:r w:rsidR="009B4FFD" w:rsidRPr="00DD57F1">
        <w:rPr>
          <w:rFonts w:ascii="Times New Roman" w:hAnsi="Times New Roman" w:cs="Times New Roman"/>
          <w:sz w:val="24"/>
          <w:szCs w:val="24"/>
        </w:rPr>
        <w:t xml:space="preserve">arising out of matters raised at the </w:t>
      </w:r>
      <w:r w:rsidR="005020CC" w:rsidRPr="00DD57F1">
        <w:rPr>
          <w:rFonts w:ascii="Times New Roman" w:hAnsi="Times New Roman" w:cs="Times New Roman"/>
          <w:sz w:val="24"/>
          <w:szCs w:val="24"/>
        </w:rPr>
        <w:t xml:space="preserve">Financial Services </w:t>
      </w:r>
      <w:r w:rsidR="009B4FFD" w:rsidRPr="00DD57F1">
        <w:rPr>
          <w:rFonts w:ascii="Times New Roman" w:hAnsi="Times New Roman" w:cs="Times New Roman"/>
          <w:sz w:val="24"/>
          <w:szCs w:val="24"/>
        </w:rPr>
        <w:t>Royal Commission was filed in the NSW Supreme Court and another four open securities class actions in relation to the same issues were filed in the Federal Court.</w:t>
      </w:r>
      <w:r w:rsidR="005020CC" w:rsidRPr="00DD57F1">
        <w:rPr>
          <w:rFonts w:ascii="Times New Roman" w:hAnsi="Times New Roman" w:cs="Times New Roman"/>
          <w:sz w:val="24"/>
          <w:szCs w:val="24"/>
        </w:rPr>
        <w:t xml:space="preserve"> </w:t>
      </w:r>
      <w:r w:rsidR="009B4FFD" w:rsidRPr="00DD57F1">
        <w:rPr>
          <w:rFonts w:ascii="Times New Roman" w:hAnsi="Times New Roman" w:cs="Times New Roman"/>
          <w:sz w:val="24"/>
          <w:szCs w:val="24"/>
        </w:rPr>
        <w:t xml:space="preserve"> We</w:t>
      </w:r>
      <w:r w:rsidR="009513C5" w:rsidRPr="00DD57F1">
        <w:rPr>
          <w:rFonts w:ascii="Times New Roman" w:hAnsi="Times New Roman" w:cs="Times New Roman"/>
          <w:sz w:val="24"/>
          <w:szCs w:val="24"/>
        </w:rPr>
        <w:t xml:space="preserve"> </w:t>
      </w:r>
      <w:r w:rsidRPr="00DD57F1">
        <w:rPr>
          <w:rFonts w:ascii="Times New Roman" w:hAnsi="Times New Roman" w:cs="Times New Roman"/>
          <w:sz w:val="24"/>
          <w:szCs w:val="24"/>
        </w:rPr>
        <w:t xml:space="preserve">saw </w:t>
      </w:r>
      <w:r w:rsidR="009B4FFD" w:rsidRPr="00DD57F1">
        <w:rPr>
          <w:rFonts w:ascii="Times New Roman" w:hAnsi="Times New Roman" w:cs="Times New Roman"/>
          <w:sz w:val="24"/>
          <w:szCs w:val="24"/>
        </w:rPr>
        <w:t>the unhappy spectacle of an anti-suit injunction being raised in relation to the four cases before the Federal Court, in response an anti-anti-suit injunction</w:t>
      </w:r>
      <w:r w:rsidR="00454364" w:rsidRPr="00DD57F1">
        <w:rPr>
          <w:rFonts w:ascii="Times New Roman" w:hAnsi="Times New Roman" w:cs="Times New Roman"/>
          <w:sz w:val="24"/>
          <w:szCs w:val="24"/>
        </w:rPr>
        <w:t xml:space="preserve"> was</w:t>
      </w:r>
      <w:r w:rsidR="00801DD9" w:rsidRPr="00DD57F1">
        <w:rPr>
          <w:rFonts w:ascii="Times New Roman" w:hAnsi="Times New Roman" w:cs="Times New Roman"/>
          <w:sz w:val="24"/>
          <w:szCs w:val="24"/>
        </w:rPr>
        <w:t xml:space="preserve"> raised</w:t>
      </w:r>
      <w:r w:rsidR="009B4FFD" w:rsidRPr="00DD57F1">
        <w:rPr>
          <w:rFonts w:ascii="Times New Roman" w:hAnsi="Times New Roman" w:cs="Times New Roman"/>
          <w:sz w:val="24"/>
          <w:szCs w:val="24"/>
        </w:rPr>
        <w:t>, and in further response an anti-anti-anti-suit injunction</w:t>
      </w:r>
      <w:r w:rsidR="00454364" w:rsidRPr="00DD57F1">
        <w:rPr>
          <w:rFonts w:ascii="Times New Roman" w:hAnsi="Times New Roman" w:cs="Times New Roman"/>
          <w:sz w:val="24"/>
          <w:szCs w:val="24"/>
        </w:rPr>
        <w:t xml:space="preserve"> was filed</w:t>
      </w:r>
      <w:r w:rsidR="009513C5" w:rsidRPr="00DD57F1">
        <w:rPr>
          <w:rFonts w:ascii="Times New Roman" w:hAnsi="Times New Roman" w:cs="Times New Roman"/>
          <w:sz w:val="24"/>
          <w:szCs w:val="24"/>
        </w:rPr>
        <w:t xml:space="preserve">: see </w:t>
      </w:r>
      <w:bookmarkStart w:id="1" w:name="MNC"/>
      <w:bookmarkEnd w:id="1"/>
      <w:r w:rsidR="009513C5" w:rsidRPr="00DD57F1">
        <w:rPr>
          <w:rFonts w:ascii="Times New Roman" w:hAnsi="Times New Roman" w:cs="Times New Roman"/>
          <w:i/>
          <w:sz w:val="24"/>
          <w:szCs w:val="24"/>
        </w:rPr>
        <w:t>Wileypark Pty Ltd v AMP Limited</w:t>
      </w:r>
      <w:r w:rsidR="00454364" w:rsidRPr="00DD57F1">
        <w:rPr>
          <w:rStyle w:val="EndnoteReference"/>
          <w:rFonts w:ascii="Times New Roman" w:hAnsi="Times New Roman" w:cs="Times New Roman"/>
          <w:sz w:val="24"/>
          <w:szCs w:val="24"/>
        </w:rPr>
        <w:endnoteReference w:id="8"/>
      </w:r>
      <w:r w:rsidR="009B4FFD" w:rsidRPr="00DD57F1">
        <w:rPr>
          <w:rFonts w:ascii="Times New Roman" w:hAnsi="Times New Roman" w:cs="Times New Roman"/>
          <w:sz w:val="24"/>
          <w:szCs w:val="24"/>
        </w:rPr>
        <w:t xml:space="preserve"> </w:t>
      </w:r>
      <w:r w:rsidR="00AB6A0C">
        <w:rPr>
          <w:rFonts w:ascii="Times New Roman" w:hAnsi="Times New Roman" w:cs="Times New Roman"/>
          <w:sz w:val="24"/>
          <w:szCs w:val="24"/>
        </w:rPr>
        <w:t>(</w:t>
      </w:r>
      <w:r w:rsidR="00AB6A0C">
        <w:rPr>
          <w:rFonts w:ascii="Times New Roman" w:hAnsi="Times New Roman" w:cs="Times New Roman"/>
          <w:b/>
          <w:i/>
          <w:sz w:val="24"/>
          <w:szCs w:val="24"/>
        </w:rPr>
        <w:t>Wileypark</w:t>
      </w:r>
      <w:r w:rsidR="00AB6A0C">
        <w:rPr>
          <w:rFonts w:ascii="Times New Roman" w:hAnsi="Times New Roman" w:cs="Times New Roman"/>
          <w:sz w:val="24"/>
          <w:szCs w:val="24"/>
        </w:rPr>
        <w:t>).</w:t>
      </w:r>
      <w:r w:rsidR="00454364" w:rsidRPr="00DD57F1">
        <w:rPr>
          <w:rFonts w:ascii="Times New Roman" w:hAnsi="Times New Roman" w:cs="Times New Roman"/>
          <w:sz w:val="24"/>
          <w:szCs w:val="24"/>
        </w:rPr>
        <w:t xml:space="preserve"> </w:t>
      </w:r>
    </w:p>
    <w:p w14:paraId="536A0987" w14:textId="0F8A08E9" w:rsidR="001B5C22" w:rsidRPr="00DD57F1" w:rsidRDefault="00454364" w:rsidP="001B5C22">
      <w:pPr>
        <w:spacing w:after="240" w:line="300" w:lineRule="auto"/>
        <w:ind w:left="567"/>
        <w:jc w:val="both"/>
        <w:rPr>
          <w:rFonts w:ascii="Times New Roman" w:hAnsi="Times New Roman" w:cs="Times New Roman"/>
          <w:sz w:val="24"/>
          <w:szCs w:val="24"/>
        </w:rPr>
      </w:pPr>
      <w:r w:rsidRPr="00DD57F1">
        <w:rPr>
          <w:rFonts w:ascii="Times New Roman" w:hAnsi="Times New Roman" w:cs="Times New Roman"/>
          <w:sz w:val="24"/>
          <w:szCs w:val="24"/>
        </w:rPr>
        <w:t>The case illustrate</w:t>
      </w:r>
      <w:r w:rsidR="00801DD9" w:rsidRPr="00DD57F1">
        <w:rPr>
          <w:rFonts w:ascii="Times New Roman" w:hAnsi="Times New Roman" w:cs="Times New Roman"/>
          <w:sz w:val="24"/>
          <w:szCs w:val="24"/>
        </w:rPr>
        <w:t>s</w:t>
      </w:r>
      <w:r w:rsidRPr="00DD57F1">
        <w:rPr>
          <w:rFonts w:ascii="Times New Roman" w:hAnsi="Times New Roman" w:cs="Times New Roman"/>
          <w:sz w:val="24"/>
          <w:szCs w:val="24"/>
        </w:rPr>
        <w:t xml:space="preserve"> the shortcomings in </w:t>
      </w:r>
      <w:r w:rsidR="009513C5" w:rsidRPr="00DD57F1">
        <w:rPr>
          <w:rFonts w:ascii="Times New Roman" w:hAnsi="Times New Roman" w:cs="Times New Roman"/>
          <w:sz w:val="24"/>
          <w:szCs w:val="24"/>
        </w:rPr>
        <w:t xml:space="preserve">the </w:t>
      </w:r>
      <w:r w:rsidRPr="00DD57F1">
        <w:rPr>
          <w:rFonts w:ascii="Times New Roman" w:hAnsi="Times New Roman" w:cs="Times New Roman"/>
          <w:sz w:val="24"/>
          <w:szCs w:val="24"/>
        </w:rPr>
        <w:t>cross-vesting</w:t>
      </w:r>
      <w:r w:rsidR="009513C5" w:rsidRPr="00DD57F1">
        <w:rPr>
          <w:rFonts w:ascii="Times New Roman" w:hAnsi="Times New Roman" w:cs="Times New Roman"/>
          <w:sz w:val="24"/>
          <w:szCs w:val="24"/>
        </w:rPr>
        <w:t xml:space="preserve"> procedure</w:t>
      </w:r>
      <w:r w:rsidR="00801DD9" w:rsidRPr="00DD57F1">
        <w:rPr>
          <w:rFonts w:ascii="Times New Roman" w:hAnsi="Times New Roman" w:cs="Times New Roman"/>
          <w:sz w:val="24"/>
          <w:szCs w:val="24"/>
        </w:rPr>
        <w:t xml:space="preserve"> when applied </w:t>
      </w:r>
      <w:r w:rsidR="009513C5" w:rsidRPr="00DD57F1">
        <w:rPr>
          <w:rFonts w:ascii="Times New Roman" w:hAnsi="Times New Roman" w:cs="Times New Roman"/>
          <w:sz w:val="24"/>
          <w:szCs w:val="24"/>
        </w:rPr>
        <w:t>to class actions because</w:t>
      </w:r>
      <w:r w:rsidR="00801DD9" w:rsidRPr="00DD57F1">
        <w:rPr>
          <w:rFonts w:ascii="Times New Roman" w:hAnsi="Times New Roman" w:cs="Times New Roman"/>
          <w:sz w:val="24"/>
          <w:szCs w:val="24"/>
        </w:rPr>
        <w:t xml:space="preserve"> </w:t>
      </w:r>
      <w:r w:rsidR="009513C5" w:rsidRPr="00DD57F1">
        <w:rPr>
          <w:rFonts w:ascii="Times New Roman" w:hAnsi="Times New Roman" w:cs="Times New Roman"/>
          <w:sz w:val="24"/>
          <w:szCs w:val="24"/>
        </w:rPr>
        <w:t xml:space="preserve">a </w:t>
      </w:r>
      <w:r w:rsidR="003D5FF8" w:rsidRPr="00DD57F1">
        <w:rPr>
          <w:rFonts w:ascii="Times New Roman" w:hAnsi="Times New Roman" w:cs="Times New Roman"/>
          <w:sz w:val="24"/>
          <w:szCs w:val="24"/>
        </w:rPr>
        <w:t>c</w:t>
      </w:r>
      <w:r w:rsidR="009513C5" w:rsidRPr="00DD57F1">
        <w:rPr>
          <w:rFonts w:ascii="Times New Roman" w:hAnsi="Times New Roman" w:cs="Times New Roman"/>
          <w:sz w:val="24"/>
          <w:szCs w:val="24"/>
        </w:rPr>
        <w:t>ourt cannot ‘pull’</w:t>
      </w:r>
      <w:r w:rsidR="00801DD9" w:rsidRPr="00DD57F1">
        <w:rPr>
          <w:rFonts w:ascii="Times New Roman" w:hAnsi="Times New Roman" w:cs="Times New Roman"/>
          <w:sz w:val="24"/>
          <w:szCs w:val="24"/>
        </w:rPr>
        <w:t xml:space="preserve"> a proceeding </w:t>
      </w:r>
      <w:r w:rsidR="009513C5" w:rsidRPr="00DD57F1">
        <w:rPr>
          <w:rFonts w:ascii="Times New Roman" w:hAnsi="Times New Roman" w:cs="Times New Roman"/>
          <w:sz w:val="24"/>
          <w:szCs w:val="24"/>
        </w:rPr>
        <w:t>across to it</w:t>
      </w:r>
      <w:r w:rsidR="00801DD9" w:rsidRPr="00DD57F1">
        <w:rPr>
          <w:rFonts w:ascii="Times New Roman" w:hAnsi="Times New Roman" w:cs="Times New Roman"/>
          <w:sz w:val="24"/>
          <w:szCs w:val="24"/>
        </w:rPr>
        <w:t>,</w:t>
      </w:r>
      <w:r w:rsidR="009513C5" w:rsidRPr="00DD57F1">
        <w:rPr>
          <w:rFonts w:ascii="Times New Roman" w:hAnsi="Times New Roman" w:cs="Times New Roman"/>
          <w:sz w:val="24"/>
          <w:szCs w:val="24"/>
        </w:rPr>
        <w:t xml:space="preserve"> and the </w:t>
      </w:r>
      <w:r w:rsidRPr="00DD57F1">
        <w:rPr>
          <w:rFonts w:ascii="Times New Roman" w:hAnsi="Times New Roman" w:cs="Times New Roman"/>
          <w:sz w:val="24"/>
          <w:szCs w:val="24"/>
        </w:rPr>
        <w:t>respondent</w:t>
      </w:r>
      <w:r w:rsidR="00E14748" w:rsidRPr="00DD57F1">
        <w:rPr>
          <w:rFonts w:ascii="Times New Roman" w:hAnsi="Times New Roman" w:cs="Times New Roman"/>
          <w:sz w:val="24"/>
          <w:szCs w:val="24"/>
        </w:rPr>
        <w:t xml:space="preserve"> – as</w:t>
      </w:r>
      <w:r w:rsidR="00AE7C8D" w:rsidRPr="00DD57F1">
        <w:rPr>
          <w:rFonts w:ascii="Times New Roman" w:hAnsi="Times New Roman" w:cs="Times New Roman"/>
          <w:sz w:val="24"/>
          <w:szCs w:val="24"/>
        </w:rPr>
        <w:t xml:space="preserve"> the only common party in the competing cases </w:t>
      </w:r>
      <w:r w:rsidR="00E14748" w:rsidRPr="00DD57F1">
        <w:rPr>
          <w:rFonts w:ascii="Times New Roman" w:hAnsi="Times New Roman" w:cs="Times New Roman"/>
          <w:sz w:val="24"/>
          <w:szCs w:val="24"/>
        </w:rPr>
        <w:t>– is</w:t>
      </w:r>
      <w:r w:rsidR="00801DD9" w:rsidRPr="00DD57F1">
        <w:rPr>
          <w:rFonts w:ascii="Times New Roman" w:hAnsi="Times New Roman" w:cs="Times New Roman"/>
          <w:sz w:val="24"/>
          <w:szCs w:val="24"/>
        </w:rPr>
        <w:t xml:space="preserve"> </w:t>
      </w:r>
      <w:r w:rsidR="009513C5" w:rsidRPr="00DD57F1">
        <w:rPr>
          <w:rFonts w:ascii="Times New Roman" w:hAnsi="Times New Roman" w:cs="Times New Roman"/>
          <w:sz w:val="24"/>
          <w:szCs w:val="24"/>
        </w:rPr>
        <w:t>the only party that can</w:t>
      </w:r>
      <w:r w:rsidR="00AE7C8D" w:rsidRPr="00DD57F1">
        <w:rPr>
          <w:rFonts w:ascii="Times New Roman" w:hAnsi="Times New Roman" w:cs="Times New Roman"/>
          <w:sz w:val="24"/>
          <w:szCs w:val="24"/>
        </w:rPr>
        <w:t xml:space="preserve"> apply </w:t>
      </w:r>
      <w:r w:rsidR="009513C5" w:rsidRPr="00DD57F1">
        <w:rPr>
          <w:rFonts w:ascii="Times New Roman" w:hAnsi="Times New Roman" w:cs="Times New Roman"/>
          <w:sz w:val="24"/>
          <w:szCs w:val="24"/>
        </w:rPr>
        <w:t xml:space="preserve">to ‘push’ </w:t>
      </w:r>
      <w:r w:rsidR="003D5FF8" w:rsidRPr="00DD57F1">
        <w:rPr>
          <w:rFonts w:ascii="Times New Roman" w:hAnsi="Times New Roman" w:cs="Times New Roman"/>
          <w:sz w:val="24"/>
          <w:szCs w:val="24"/>
        </w:rPr>
        <w:t xml:space="preserve">the </w:t>
      </w:r>
      <w:r w:rsidR="009513C5" w:rsidRPr="00DD57F1">
        <w:rPr>
          <w:rFonts w:ascii="Times New Roman" w:hAnsi="Times New Roman" w:cs="Times New Roman"/>
          <w:sz w:val="24"/>
          <w:szCs w:val="24"/>
        </w:rPr>
        <w:t xml:space="preserve">case </w:t>
      </w:r>
      <w:r w:rsidR="00AE7C8D" w:rsidRPr="00DD57F1">
        <w:rPr>
          <w:rFonts w:ascii="Times New Roman" w:hAnsi="Times New Roman" w:cs="Times New Roman"/>
          <w:sz w:val="24"/>
          <w:szCs w:val="24"/>
        </w:rPr>
        <w:t>to another court</w:t>
      </w:r>
      <w:r w:rsidR="009513C5" w:rsidRPr="00DD57F1">
        <w:rPr>
          <w:rFonts w:ascii="Times New Roman" w:hAnsi="Times New Roman" w:cs="Times New Roman"/>
          <w:sz w:val="24"/>
          <w:szCs w:val="24"/>
        </w:rPr>
        <w:t>.  As the</w:t>
      </w:r>
      <w:r w:rsidR="003D5FF8" w:rsidRPr="00DD57F1">
        <w:rPr>
          <w:rFonts w:ascii="Times New Roman" w:hAnsi="Times New Roman" w:cs="Times New Roman"/>
          <w:sz w:val="24"/>
          <w:szCs w:val="24"/>
        </w:rPr>
        <w:t xml:space="preserve"> Full</w:t>
      </w:r>
      <w:r w:rsidR="009513C5" w:rsidRPr="00DD57F1">
        <w:rPr>
          <w:rFonts w:ascii="Times New Roman" w:hAnsi="Times New Roman" w:cs="Times New Roman"/>
          <w:sz w:val="24"/>
          <w:szCs w:val="24"/>
        </w:rPr>
        <w:t xml:space="preserve"> Court said i</w:t>
      </w:r>
      <w:r w:rsidRPr="00DD57F1">
        <w:rPr>
          <w:rFonts w:ascii="Times New Roman" w:hAnsi="Times New Roman" w:cs="Times New Roman"/>
          <w:sz w:val="24"/>
          <w:szCs w:val="24"/>
        </w:rPr>
        <w:t xml:space="preserve">n </w:t>
      </w:r>
      <w:r w:rsidRPr="00DD57F1">
        <w:rPr>
          <w:rFonts w:ascii="Times New Roman" w:hAnsi="Times New Roman" w:cs="Times New Roman"/>
          <w:i/>
          <w:sz w:val="24"/>
          <w:szCs w:val="24"/>
        </w:rPr>
        <w:t>Wileypark</w:t>
      </w:r>
      <w:r w:rsidR="00E14748" w:rsidRPr="00DD57F1">
        <w:rPr>
          <w:rFonts w:ascii="Times New Roman" w:hAnsi="Times New Roman" w:cs="Times New Roman"/>
          <w:sz w:val="24"/>
          <w:szCs w:val="24"/>
        </w:rPr>
        <w:t>,</w:t>
      </w:r>
      <w:r w:rsidR="009513C5" w:rsidRPr="00DD57F1">
        <w:rPr>
          <w:rFonts w:ascii="Times New Roman" w:hAnsi="Times New Roman" w:cs="Times New Roman"/>
          <w:sz w:val="24"/>
          <w:szCs w:val="24"/>
        </w:rPr>
        <w:t xml:space="preserve"> there is </w:t>
      </w:r>
      <w:r w:rsidR="00801DD9" w:rsidRPr="00DD57F1">
        <w:rPr>
          <w:rFonts w:ascii="Times New Roman" w:hAnsi="Times New Roman" w:cs="Times New Roman"/>
          <w:sz w:val="24"/>
          <w:szCs w:val="24"/>
        </w:rPr>
        <w:t xml:space="preserve">a </w:t>
      </w:r>
      <w:r w:rsidR="00E14748" w:rsidRPr="00DD57F1">
        <w:rPr>
          <w:rFonts w:ascii="Times New Roman" w:hAnsi="Times New Roman" w:cs="Times New Roman"/>
          <w:sz w:val="24"/>
          <w:szCs w:val="24"/>
        </w:rPr>
        <w:t>risk of</w:t>
      </w:r>
      <w:r w:rsidR="00801DD9" w:rsidRPr="00DD57F1">
        <w:rPr>
          <w:rFonts w:ascii="Times New Roman" w:hAnsi="Times New Roman" w:cs="Times New Roman"/>
          <w:sz w:val="24"/>
          <w:szCs w:val="24"/>
        </w:rPr>
        <w:t xml:space="preserve"> procedural arbitrage based on the view of the applicant’s lawyers and funders about </w:t>
      </w:r>
      <w:r w:rsidR="00E14748" w:rsidRPr="00DD57F1">
        <w:rPr>
          <w:rFonts w:ascii="Times New Roman" w:hAnsi="Times New Roman" w:cs="Times New Roman"/>
          <w:sz w:val="24"/>
          <w:szCs w:val="24"/>
        </w:rPr>
        <w:t xml:space="preserve">the approach of different judges in different courts to the facts and law, as well as to </w:t>
      </w:r>
      <w:r w:rsidR="00801DD9" w:rsidRPr="00DD57F1">
        <w:rPr>
          <w:rFonts w:ascii="Times New Roman" w:hAnsi="Times New Roman" w:cs="Times New Roman"/>
          <w:sz w:val="24"/>
          <w:szCs w:val="24"/>
        </w:rPr>
        <w:t>lawyer’s fees and funder’s charges</w:t>
      </w:r>
      <w:r w:rsidR="00E14748" w:rsidRPr="00DD57F1">
        <w:rPr>
          <w:rFonts w:ascii="Times New Roman" w:hAnsi="Times New Roman" w:cs="Times New Roman"/>
          <w:sz w:val="24"/>
          <w:szCs w:val="24"/>
        </w:rPr>
        <w:t>.</w:t>
      </w:r>
      <w:r w:rsidR="00801DD9" w:rsidRPr="00DD57F1">
        <w:rPr>
          <w:rStyle w:val="EndnoteReference"/>
          <w:rFonts w:ascii="Times New Roman" w:hAnsi="Times New Roman" w:cs="Times New Roman"/>
          <w:sz w:val="24"/>
          <w:szCs w:val="24"/>
        </w:rPr>
        <w:endnoteReference w:id="9"/>
      </w:r>
      <w:r w:rsidR="00801DD9" w:rsidRPr="00DD57F1">
        <w:rPr>
          <w:rFonts w:ascii="Times New Roman" w:hAnsi="Times New Roman" w:cs="Times New Roman"/>
          <w:sz w:val="24"/>
          <w:szCs w:val="24"/>
        </w:rPr>
        <w:t xml:space="preserve"> </w:t>
      </w:r>
      <w:r w:rsidR="00E14748" w:rsidRPr="00DD57F1">
        <w:rPr>
          <w:rFonts w:ascii="Times New Roman" w:hAnsi="Times New Roman" w:cs="Times New Roman"/>
          <w:sz w:val="24"/>
          <w:szCs w:val="24"/>
        </w:rPr>
        <w:t xml:space="preserve"> These risks are increased</w:t>
      </w:r>
      <w:r w:rsidR="00984BFA">
        <w:rPr>
          <w:rFonts w:ascii="Times New Roman" w:hAnsi="Times New Roman" w:cs="Times New Roman"/>
          <w:sz w:val="24"/>
          <w:szCs w:val="24"/>
        </w:rPr>
        <w:t xml:space="preserve"> when</w:t>
      </w:r>
      <w:r w:rsidR="00E14748" w:rsidRPr="00DD57F1">
        <w:rPr>
          <w:rFonts w:ascii="Times New Roman" w:hAnsi="Times New Roman" w:cs="Times New Roman"/>
          <w:sz w:val="24"/>
          <w:szCs w:val="24"/>
        </w:rPr>
        <w:t xml:space="preserve"> a </w:t>
      </w:r>
      <w:r w:rsidR="00801DD9" w:rsidRPr="00DD57F1">
        <w:rPr>
          <w:rFonts w:ascii="Times New Roman" w:hAnsi="Times New Roman" w:cs="Times New Roman"/>
          <w:sz w:val="24"/>
          <w:szCs w:val="24"/>
        </w:rPr>
        <w:t xml:space="preserve">respondent </w:t>
      </w:r>
      <w:r w:rsidR="00E14748" w:rsidRPr="00DD57F1">
        <w:rPr>
          <w:rFonts w:ascii="Times New Roman" w:hAnsi="Times New Roman" w:cs="Times New Roman"/>
          <w:sz w:val="24"/>
          <w:szCs w:val="24"/>
        </w:rPr>
        <w:t xml:space="preserve">submits </w:t>
      </w:r>
      <w:r w:rsidR="00801DD9" w:rsidRPr="00DD57F1">
        <w:rPr>
          <w:rFonts w:ascii="Times New Roman" w:hAnsi="Times New Roman" w:cs="Times New Roman"/>
          <w:sz w:val="24"/>
          <w:szCs w:val="24"/>
        </w:rPr>
        <w:t xml:space="preserve">that it would prefer to </w:t>
      </w:r>
      <w:r w:rsidRPr="00DD57F1">
        <w:rPr>
          <w:rFonts w:ascii="Times New Roman" w:hAnsi="Times New Roman" w:cs="Times New Roman"/>
          <w:sz w:val="24"/>
          <w:szCs w:val="24"/>
        </w:rPr>
        <w:t>be sued in</w:t>
      </w:r>
      <w:r w:rsidR="009513C5" w:rsidRPr="00DD57F1">
        <w:rPr>
          <w:rFonts w:ascii="Times New Roman" w:hAnsi="Times New Roman" w:cs="Times New Roman"/>
          <w:sz w:val="24"/>
          <w:szCs w:val="24"/>
        </w:rPr>
        <w:t xml:space="preserve"> one Court </w:t>
      </w:r>
      <w:r w:rsidR="00271BF9" w:rsidRPr="00DD57F1">
        <w:rPr>
          <w:rFonts w:ascii="Times New Roman" w:hAnsi="Times New Roman" w:cs="Times New Roman"/>
          <w:sz w:val="24"/>
          <w:szCs w:val="24"/>
        </w:rPr>
        <w:t>than another</w:t>
      </w:r>
      <w:r w:rsidR="00801DD9" w:rsidRPr="00DD57F1">
        <w:rPr>
          <w:rFonts w:ascii="Times New Roman" w:hAnsi="Times New Roman" w:cs="Times New Roman"/>
          <w:sz w:val="24"/>
          <w:szCs w:val="24"/>
        </w:rPr>
        <w:t>.</w:t>
      </w:r>
      <w:r w:rsidR="005F794E" w:rsidRPr="00DD57F1">
        <w:rPr>
          <w:rStyle w:val="EndnoteReference"/>
          <w:rFonts w:ascii="Times New Roman" w:hAnsi="Times New Roman" w:cs="Times New Roman"/>
          <w:sz w:val="24"/>
          <w:szCs w:val="24"/>
        </w:rPr>
        <w:endnoteReference w:id="10"/>
      </w:r>
      <w:r w:rsidR="009513C5" w:rsidRPr="00DD57F1">
        <w:rPr>
          <w:rFonts w:ascii="Times New Roman" w:hAnsi="Times New Roman" w:cs="Times New Roman"/>
          <w:sz w:val="24"/>
          <w:szCs w:val="24"/>
        </w:rPr>
        <w:t xml:space="preserve"> </w:t>
      </w:r>
    </w:p>
    <w:p w14:paraId="25FC747C" w14:textId="2FE90AFC" w:rsidR="00454364" w:rsidRPr="00DD57F1" w:rsidRDefault="003D5FF8" w:rsidP="001B5C22">
      <w:pPr>
        <w:spacing w:after="240" w:line="300" w:lineRule="auto"/>
        <w:ind w:left="567"/>
        <w:jc w:val="both"/>
        <w:rPr>
          <w:rFonts w:ascii="Times New Roman" w:hAnsi="Times New Roman" w:cs="Times New Roman"/>
          <w:sz w:val="24"/>
          <w:szCs w:val="24"/>
        </w:rPr>
      </w:pPr>
      <w:r w:rsidRPr="00DD57F1">
        <w:rPr>
          <w:rFonts w:ascii="Times New Roman" w:hAnsi="Times New Roman" w:cs="Times New Roman"/>
          <w:sz w:val="24"/>
          <w:szCs w:val="24"/>
        </w:rPr>
        <w:t>A</w:t>
      </w:r>
      <w:r w:rsidR="007F32CB" w:rsidRPr="00DD57F1">
        <w:rPr>
          <w:rFonts w:ascii="Times New Roman" w:hAnsi="Times New Roman" w:cs="Times New Roman"/>
          <w:sz w:val="24"/>
          <w:szCs w:val="24"/>
        </w:rPr>
        <w:t xml:space="preserve"> </w:t>
      </w:r>
      <w:r w:rsidR="00454364" w:rsidRPr="00DD57F1">
        <w:rPr>
          <w:rFonts w:ascii="Times New Roman" w:hAnsi="Times New Roman" w:cs="Times New Roman"/>
          <w:sz w:val="24"/>
          <w:szCs w:val="24"/>
        </w:rPr>
        <w:t>protocol</w:t>
      </w:r>
      <w:r w:rsidR="004E434A" w:rsidRPr="00DD57F1">
        <w:rPr>
          <w:rFonts w:ascii="Times New Roman" w:hAnsi="Times New Roman" w:cs="Times New Roman"/>
          <w:sz w:val="24"/>
          <w:szCs w:val="24"/>
        </w:rPr>
        <w:t xml:space="preserve"> </w:t>
      </w:r>
      <w:r w:rsidRPr="00DD57F1">
        <w:rPr>
          <w:rFonts w:ascii="Times New Roman" w:hAnsi="Times New Roman" w:cs="Times New Roman"/>
          <w:sz w:val="24"/>
          <w:szCs w:val="24"/>
        </w:rPr>
        <w:t xml:space="preserve">has been drafted </w:t>
      </w:r>
      <w:r w:rsidR="004E434A" w:rsidRPr="00DD57F1">
        <w:rPr>
          <w:rFonts w:ascii="Times New Roman" w:hAnsi="Times New Roman" w:cs="Times New Roman"/>
          <w:sz w:val="24"/>
          <w:szCs w:val="24"/>
        </w:rPr>
        <w:t>to address this issue</w:t>
      </w:r>
      <w:r w:rsidR="007F32CB" w:rsidRPr="00DD57F1">
        <w:rPr>
          <w:rFonts w:ascii="Times New Roman" w:hAnsi="Times New Roman" w:cs="Times New Roman"/>
          <w:sz w:val="24"/>
          <w:szCs w:val="24"/>
        </w:rPr>
        <w:t>.</w:t>
      </w:r>
      <w:r w:rsidRPr="00DD57F1">
        <w:rPr>
          <w:rFonts w:ascii="Times New Roman" w:hAnsi="Times New Roman" w:cs="Times New Roman"/>
          <w:sz w:val="24"/>
          <w:szCs w:val="24"/>
        </w:rPr>
        <w:t xml:space="preserve">  </w:t>
      </w:r>
      <w:r w:rsidR="00E14748" w:rsidRPr="00DD57F1">
        <w:rPr>
          <w:rFonts w:ascii="Times New Roman" w:hAnsi="Times New Roman" w:cs="Times New Roman"/>
          <w:sz w:val="24"/>
          <w:szCs w:val="24"/>
        </w:rPr>
        <w:t xml:space="preserve">Although the final </w:t>
      </w:r>
      <w:r w:rsidRPr="00DD57F1">
        <w:rPr>
          <w:rFonts w:ascii="Times New Roman" w:hAnsi="Times New Roman" w:cs="Times New Roman"/>
          <w:sz w:val="24"/>
          <w:szCs w:val="24"/>
        </w:rPr>
        <w:t xml:space="preserve">form </w:t>
      </w:r>
      <w:r w:rsidR="00801DD9" w:rsidRPr="00DD57F1">
        <w:rPr>
          <w:rFonts w:ascii="Times New Roman" w:hAnsi="Times New Roman" w:cs="Times New Roman"/>
          <w:sz w:val="24"/>
          <w:szCs w:val="24"/>
        </w:rPr>
        <w:t xml:space="preserve">of the protocol </w:t>
      </w:r>
      <w:r w:rsidRPr="00DD57F1">
        <w:rPr>
          <w:rFonts w:ascii="Times New Roman" w:hAnsi="Times New Roman" w:cs="Times New Roman"/>
          <w:sz w:val="24"/>
          <w:szCs w:val="24"/>
        </w:rPr>
        <w:t>is still being discussed</w:t>
      </w:r>
      <w:r w:rsidR="00801DD9" w:rsidRPr="00DD57F1">
        <w:rPr>
          <w:rFonts w:ascii="Times New Roman" w:hAnsi="Times New Roman" w:cs="Times New Roman"/>
          <w:sz w:val="24"/>
          <w:szCs w:val="24"/>
        </w:rPr>
        <w:t xml:space="preserve">, </w:t>
      </w:r>
      <w:r w:rsidR="00E14748" w:rsidRPr="00DD57F1">
        <w:rPr>
          <w:rFonts w:ascii="Times New Roman" w:hAnsi="Times New Roman" w:cs="Times New Roman"/>
          <w:sz w:val="24"/>
          <w:szCs w:val="24"/>
        </w:rPr>
        <w:t xml:space="preserve">the essential proposal is </w:t>
      </w:r>
      <w:r w:rsidR="00801DD9" w:rsidRPr="00DD57F1">
        <w:rPr>
          <w:rFonts w:ascii="Times New Roman" w:hAnsi="Times New Roman" w:cs="Times New Roman"/>
          <w:sz w:val="24"/>
          <w:szCs w:val="24"/>
        </w:rPr>
        <w:t xml:space="preserve">that when </w:t>
      </w:r>
      <w:r w:rsidR="00271BF9" w:rsidRPr="00DD57F1">
        <w:rPr>
          <w:rFonts w:ascii="Times New Roman" w:hAnsi="Times New Roman" w:cs="Times New Roman"/>
          <w:sz w:val="24"/>
          <w:szCs w:val="24"/>
        </w:rPr>
        <w:t>competing class actions are filed</w:t>
      </w:r>
      <w:r w:rsidR="00801DD9" w:rsidRPr="00DD57F1">
        <w:rPr>
          <w:rFonts w:ascii="Times New Roman" w:hAnsi="Times New Roman" w:cs="Times New Roman"/>
          <w:sz w:val="24"/>
          <w:szCs w:val="24"/>
        </w:rPr>
        <w:t xml:space="preserve"> in different courts</w:t>
      </w:r>
      <w:r w:rsidR="00E14748" w:rsidRPr="00DD57F1">
        <w:rPr>
          <w:rFonts w:ascii="Times New Roman" w:hAnsi="Times New Roman" w:cs="Times New Roman"/>
          <w:sz w:val="24"/>
          <w:szCs w:val="24"/>
        </w:rPr>
        <w:t>,</w:t>
      </w:r>
      <w:r w:rsidR="00801DD9" w:rsidRPr="00DD57F1">
        <w:rPr>
          <w:rFonts w:ascii="Times New Roman" w:hAnsi="Times New Roman" w:cs="Times New Roman"/>
          <w:sz w:val="24"/>
          <w:szCs w:val="24"/>
        </w:rPr>
        <w:t xml:space="preserve"> senior </w:t>
      </w:r>
      <w:r w:rsidR="007F32CB" w:rsidRPr="00DD57F1">
        <w:rPr>
          <w:rFonts w:ascii="Times New Roman" w:hAnsi="Times New Roman" w:cs="Times New Roman"/>
          <w:sz w:val="24"/>
          <w:szCs w:val="24"/>
        </w:rPr>
        <w:t>judges</w:t>
      </w:r>
      <w:r w:rsidR="00271BF9" w:rsidRPr="00DD57F1">
        <w:rPr>
          <w:rFonts w:ascii="Times New Roman" w:hAnsi="Times New Roman" w:cs="Times New Roman"/>
          <w:sz w:val="24"/>
          <w:szCs w:val="24"/>
        </w:rPr>
        <w:t xml:space="preserve"> </w:t>
      </w:r>
      <w:r w:rsidR="00801DD9" w:rsidRPr="00DD57F1">
        <w:rPr>
          <w:rFonts w:ascii="Times New Roman" w:hAnsi="Times New Roman" w:cs="Times New Roman"/>
          <w:sz w:val="24"/>
          <w:szCs w:val="24"/>
        </w:rPr>
        <w:t xml:space="preserve">of those courts </w:t>
      </w:r>
      <w:r w:rsidR="00271BF9" w:rsidRPr="00DD57F1">
        <w:rPr>
          <w:rFonts w:ascii="Times New Roman" w:hAnsi="Times New Roman" w:cs="Times New Roman"/>
          <w:sz w:val="24"/>
          <w:szCs w:val="24"/>
        </w:rPr>
        <w:t xml:space="preserve">will convene </w:t>
      </w:r>
      <w:r w:rsidR="005F794E" w:rsidRPr="00DD57F1">
        <w:rPr>
          <w:rFonts w:ascii="Times New Roman" w:hAnsi="Times New Roman" w:cs="Times New Roman"/>
          <w:sz w:val="24"/>
          <w:szCs w:val="24"/>
        </w:rPr>
        <w:t xml:space="preserve">a joint case </w:t>
      </w:r>
      <w:r w:rsidR="005F794E" w:rsidRPr="00DD57F1">
        <w:rPr>
          <w:rFonts w:ascii="Times New Roman" w:hAnsi="Times New Roman" w:cs="Times New Roman"/>
          <w:sz w:val="24"/>
          <w:szCs w:val="24"/>
        </w:rPr>
        <w:lastRenderedPageBreak/>
        <w:t xml:space="preserve">management hearing to </w:t>
      </w:r>
      <w:r w:rsidR="00AE7C8D" w:rsidRPr="00DD57F1">
        <w:rPr>
          <w:rFonts w:ascii="Times New Roman" w:hAnsi="Times New Roman" w:cs="Times New Roman"/>
          <w:sz w:val="24"/>
          <w:szCs w:val="24"/>
        </w:rPr>
        <w:t>decide</w:t>
      </w:r>
      <w:r w:rsidR="00801DD9" w:rsidRPr="00DD57F1">
        <w:rPr>
          <w:rFonts w:ascii="Times New Roman" w:hAnsi="Times New Roman" w:cs="Times New Roman"/>
          <w:sz w:val="24"/>
          <w:szCs w:val="24"/>
        </w:rPr>
        <w:t xml:space="preserve"> questions such as </w:t>
      </w:r>
      <w:r w:rsidR="00AE7C8D" w:rsidRPr="00DD57F1">
        <w:rPr>
          <w:rFonts w:ascii="Times New Roman" w:hAnsi="Times New Roman" w:cs="Times New Roman"/>
          <w:sz w:val="24"/>
          <w:szCs w:val="24"/>
        </w:rPr>
        <w:t xml:space="preserve">the case </w:t>
      </w:r>
      <w:r w:rsidR="00E67E49" w:rsidRPr="00DD57F1">
        <w:rPr>
          <w:rFonts w:ascii="Times New Roman" w:hAnsi="Times New Roman" w:cs="Times New Roman"/>
          <w:sz w:val="24"/>
          <w:szCs w:val="24"/>
        </w:rPr>
        <w:t xml:space="preserve">or cases </w:t>
      </w:r>
      <w:r w:rsidR="00AE7C8D" w:rsidRPr="00DD57F1">
        <w:rPr>
          <w:rFonts w:ascii="Times New Roman" w:hAnsi="Times New Roman" w:cs="Times New Roman"/>
          <w:sz w:val="24"/>
          <w:szCs w:val="24"/>
        </w:rPr>
        <w:t>to go forward and</w:t>
      </w:r>
      <w:r w:rsidR="00E67E49" w:rsidRPr="00DD57F1">
        <w:rPr>
          <w:rFonts w:ascii="Times New Roman" w:hAnsi="Times New Roman" w:cs="Times New Roman"/>
          <w:sz w:val="24"/>
          <w:szCs w:val="24"/>
        </w:rPr>
        <w:t xml:space="preserve"> </w:t>
      </w:r>
      <w:r w:rsidR="007F32CB" w:rsidRPr="00DD57F1">
        <w:rPr>
          <w:rFonts w:ascii="Times New Roman" w:hAnsi="Times New Roman" w:cs="Times New Roman"/>
          <w:sz w:val="24"/>
          <w:szCs w:val="24"/>
        </w:rPr>
        <w:t>the forum in which</w:t>
      </w:r>
      <w:r w:rsidR="00E67E49" w:rsidRPr="00DD57F1">
        <w:rPr>
          <w:rFonts w:ascii="Times New Roman" w:hAnsi="Times New Roman" w:cs="Times New Roman"/>
          <w:sz w:val="24"/>
          <w:szCs w:val="24"/>
        </w:rPr>
        <w:t xml:space="preserve"> the proceeding will be heard</w:t>
      </w:r>
      <w:r w:rsidR="005F794E" w:rsidRPr="00DD57F1">
        <w:rPr>
          <w:rFonts w:ascii="Times New Roman" w:hAnsi="Times New Roman" w:cs="Times New Roman"/>
          <w:sz w:val="24"/>
          <w:szCs w:val="24"/>
        </w:rPr>
        <w:t>.</w:t>
      </w:r>
    </w:p>
    <w:p w14:paraId="610D76DC" w14:textId="772B59B2" w:rsidR="00C025CE" w:rsidRPr="00DD57F1" w:rsidRDefault="00271BF9" w:rsidP="00087565">
      <w:pPr>
        <w:pStyle w:val="ListParagraph"/>
        <w:numPr>
          <w:ilvl w:val="0"/>
          <w:numId w:val="24"/>
        </w:numPr>
        <w:spacing w:after="240" w:line="300" w:lineRule="auto"/>
        <w:ind w:left="567" w:hanging="567"/>
        <w:jc w:val="both"/>
        <w:rPr>
          <w:rFonts w:ascii="Times New Roman" w:hAnsi="Times New Roman" w:cs="Times New Roman"/>
          <w:i/>
          <w:sz w:val="24"/>
          <w:szCs w:val="24"/>
        </w:rPr>
      </w:pPr>
      <w:r w:rsidRPr="00DD57F1">
        <w:rPr>
          <w:rFonts w:ascii="Times New Roman" w:hAnsi="Times New Roman" w:cs="Times New Roman"/>
          <w:sz w:val="24"/>
          <w:szCs w:val="24"/>
        </w:rPr>
        <w:t xml:space="preserve">Third, </w:t>
      </w:r>
      <w:r w:rsidR="00630B27" w:rsidRPr="00DD57F1">
        <w:rPr>
          <w:rFonts w:ascii="Times New Roman" w:hAnsi="Times New Roman" w:cs="Times New Roman"/>
          <w:i/>
          <w:sz w:val="24"/>
          <w:szCs w:val="24"/>
        </w:rPr>
        <w:t xml:space="preserve">striking out </w:t>
      </w:r>
      <w:r w:rsidRPr="00DD57F1">
        <w:rPr>
          <w:rFonts w:ascii="Times New Roman" w:hAnsi="Times New Roman" w:cs="Times New Roman"/>
          <w:i/>
          <w:sz w:val="24"/>
          <w:szCs w:val="24"/>
        </w:rPr>
        <w:t>a</w:t>
      </w:r>
      <w:r w:rsidR="00C025CE" w:rsidRPr="00DD57F1">
        <w:rPr>
          <w:rFonts w:ascii="Times New Roman" w:hAnsi="Times New Roman" w:cs="Times New Roman"/>
          <w:i/>
          <w:sz w:val="24"/>
          <w:szCs w:val="24"/>
        </w:rPr>
        <w:t>buse</w:t>
      </w:r>
      <w:r w:rsidR="00630B27" w:rsidRPr="00DD57F1">
        <w:rPr>
          <w:rFonts w:ascii="Times New Roman" w:hAnsi="Times New Roman" w:cs="Times New Roman"/>
          <w:i/>
          <w:sz w:val="24"/>
          <w:szCs w:val="24"/>
        </w:rPr>
        <w:t>s</w:t>
      </w:r>
      <w:r w:rsidR="00C025CE" w:rsidRPr="00DD57F1">
        <w:rPr>
          <w:rFonts w:ascii="Times New Roman" w:hAnsi="Times New Roman" w:cs="Times New Roman"/>
          <w:i/>
          <w:sz w:val="24"/>
          <w:szCs w:val="24"/>
        </w:rPr>
        <w:t xml:space="preserve"> of process</w:t>
      </w:r>
      <w:r w:rsidRPr="00DD57F1">
        <w:rPr>
          <w:rFonts w:ascii="Times New Roman" w:hAnsi="Times New Roman" w:cs="Times New Roman"/>
          <w:i/>
          <w:sz w:val="24"/>
          <w:szCs w:val="24"/>
        </w:rPr>
        <w:t>.</w:t>
      </w:r>
    </w:p>
    <w:p w14:paraId="7A6CC4FE" w14:textId="2EDC92B8" w:rsidR="00C025CE" w:rsidRPr="00DD57F1" w:rsidRDefault="00801DD9" w:rsidP="00C025CE">
      <w:pPr>
        <w:spacing w:after="240" w:line="300" w:lineRule="auto"/>
        <w:ind w:left="567"/>
        <w:jc w:val="both"/>
        <w:rPr>
          <w:rFonts w:ascii="Times New Roman" w:hAnsi="Times New Roman" w:cs="Times New Roman"/>
          <w:sz w:val="24"/>
          <w:szCs w:val="24"/>
        </w:rPr>
      </w:pPr>
      <w:r w:rsidRPr="00DD57F1">
        <w:rPr>
          <w:rFonts w:ascii="Times New Roman" w:hAnsi="Times New Roman" w:cs="Times New Roman"/>
          <w:sz w:val="24"/>
          <w:szCs w:val="24"/>
        </w:rPr>
        <w:t xml:space="preserve">In the last five years the </w:t>
      </w:r>
      <w:r w:rsidR="003D5FF8" w:rsidRPr="00DD57F1">
        <w:rPr>
          <w:rFonts w:ascii="Times New Roman" w:hAnsi="Times New Roman" w:cs="Times New Roman"/>
          <w:sz w:val="24"/>
          <w:szCs w:val="24"/>
        </w:rPr>
        <w:t>c</w:t>
      </w:r>
      <w:r w:rsidR="00271BF9" w:rsidRPr="00DD57F1">
        <w:rPr>
          <w:rFonts w:ascii="Times New Roman" w:hAnsi="Times New Roman" w:cs="Times New Roman"/>
          <w:sz w:val="24"/>
          <w:szCs w:val="24"/>
        </w:rPr>
        <w:t>ourt</w:t>
      </w:r>
      <w:r w:rsidR="003D5FF8" w:rsidRPr="00DD57F1">
        <w:rPr>
          <w:rFonts w:ascii="Times New Roman" w:hAnsi="Times New Roman" w:cs="Times New Roman"/>
          <w:sz w:val="24"/>
          <w:szCs w:val="24"/>
        </w:rPr>
        <w:t>s have</w:t>
      </w:r>
      <w:r w:rsidR="00271BF9" w:rsidRPr="00DD57F1">
        <w:rPr>
          <w:rFonts w:ascii="Times New Roman" w:hAnsi="Times New Roman" w:cs="Times New Roman"/>
          <w:sz w:val="24"/>
          <w:szCs w:val="24"/>
        </w:rPr>
        <w:t xml:space="preserve"> found </w:t>
      </w:r>
      <w:r w:rsidRPr="00DD57F1">
        <w:rPr>
          <w:rFonts w:ascii="Times New Roman" w:hAnsi="Times New Roman" w:cs="Times New Roman"/>
          <w:sz w:val="24"/>
          <w:szCs w:val="24"/>
        </w:rPr>
        <w:t>various models used to fund class actions and to act for the applicant and class members constituted an abuse of process</w:t>
      </w:r>
      <w:r w:rsidR="00271BF9" w:rsidRPr="00DD57F1">
        <w:rPr>
          <w:rFonts w:ascii="Times New Roman" w:hAnsi="Times New Roman" w:cs="Times New Roman"/>
          <w:sz w:val="24"/>
          <w:szCs w:val="24"/>
        </w:rPr>
        <w:t>.</w:t>
      </w:r>
      <w:r w:rsidR="00E14748" w:rsidRPr="00DD57F1">
        <w:rPr>
          <w:rFonts w:ascii="Times New Roman" w:hAnsi="Times New Roman" w:cs="Times New Roman"/>
          <w:sz w:val="24"/>
          <w:szCs w:val="24"/>
        </w:rPr>
        <w:t xml:space="preserve">  These generally involved the same or associated entities acting as the applicant, litigation funder and solicitor for the applicant.</w:t>
      </w:r>
      <w:r w:rsidR="0077127A" w:rsidRPr="00DD57F1">
        <w:rPr>
          <w:rFonts w:ascii="Times New Roman" w:hAnsi="Times New Roman" w:cs="Times New Roman"/>
          <w:sz w:val="24"/>
          <w:szCs w:val="24"/>
        </w:rPr>
        <w:t xml:space="preserve">  Those models</w:t>
      </w:r>
      <w:r w:rsidRPr="00DD57F1">
        <w:rPr>
          <w:rFonts w:ascii="Times New Roman" w:hAnsi="Times New Roman" w:cs="Times New Roman"/>
          <w:sz w:val="24"/>
          <w:szCs w:val="24"/>
        </w:rPr>
        <w:t xml:space="preserve"> are now no longer used</w:t>
      </w:r>
      <w:r w:rsidR="00AF318A" w:rsidRPr="00DD57F1">
        <w:rPr>
          <w:rFonts w:ascii="Times New Roman" w:hAnsi="Times New Roman" w:cs="Times New Roman"/>
          <w:sz w:val="24"/>
          <w:szCs w:val="24"/>
        </w:rPr>
        <w:t xml:space="preserve">. </w:t>
      </w:r>
    </w:p>
    <w:p w14:paraId="39CE4633" w14:textId="2F43373D" w:rsidR="00087565" w:rsidRPr="00DD57F1" w:rsidRDefault="00271BF9" w:rsidP="00087565">
      <w:pPr>
        <w:pStyle w:val="ListParagraph"/>
        <w:numPr>
          <w:ilvl w:val="0"/>
          <w:numId w:val="24"/>
        </w:numPr>
        <w:spacing w:after="240" w:line="300" w:lineRule="auto"/>
        <w:ind w:left="567" w:hanging="567"/>
        <w:jc w:val="both"/>
        <w:rPr>
          <w:rFonts w:ascii="Times New Roman" w:hAnsi="Times New Roman" w:cs="Times New Roman"/>
          <w:i/>
          <w:sz w:val="24"/>
          <w:szCs w:val="24"/>
        </w:rPr>
      </w:pPr>
      <w:r w:rsidRPr="00DD57F1">
        <w:rPr>
          <w:rFonts w:ascii="Times New Roman" w:hAnsi="Times New Roman" w:cs="Times New Roman"/>
          <w:sz w:val="24"/>
          <w:szCs w:val="24"/>
        </w:rPr>
        <w:t xml:space="preserve">Fourth, </w:t>
      </w:r>
      <w:r w:rsidRPr="00DD57F1">
        <w:rPr>
          <w:rFonts w:ascii="Times New Roman" w:hAnsi="Times New Roman" w:cs="Times New Roman"/>
          <w:i/>
          <w:sz w:val="24"/>
          <w:szCs w:val="24"/>
        </w:rPr>
        <w:t>e</w:t>
      </w:r>
      <w:r w:rsidR="00087565" w:rsidRPr="00DD57F1">
        <w:rPr>
          <w:rFonts w:ascii="Times New Roman" w:hAnsi="Times New Roman" w:cs="Times New Roman"/>
          <w:i/>
          <w:sz w:val="24"/>
          <w:szCs w:val="24"/>
        </w:rPr>
        <w:t>nhanced disclosure of litigation funding charges</w:t>
      </w:r>
      <w:r w:rsidR="00103B95" w:rsidRPr="00DD57F1">
        <w:rPr>
          <w:rFonts w:ascii="Times New Roman" w:hAnsi="Times New Roman" w:cs="Times New Roman"/>
          <w:i/>
          <w:sz w:val="24"/>
          <w:szCs w:val="24"/>
        </w:rPr>
        <w:t>.</w:t>
      </w:r>
    </w:p>
    <w:p w14:paraId="3967EB2B" w14:textId="77777777" w:rsidR="00A44A38" w:rsidRPr="00DD57F1" w:rsidRDefault="00A44A38" w:rsidP="00A44A38">
      <w:pPr>
        <w:pStyle w:val="ListParagraph"/>
        <w:spacing w:after="240" w:line="300" w:lineRule="auto"/>
        <w:ind w:left="567"/>
        <w:jc w:val="both"/>
        <w:rPr>
          <w:rFonts w:ascii="Times New Roman" w:hAnsi="Times New Roman" w:cs="Times New Roman"/>
          <w:i/>
          <w:sz w:val="24"/>
          <w:szCs w:val="24"/>
        </w:rPr>
      </w:pPr>
    </w:p>
    <w:p w14:paraId="62B5A5E3" w14:textId="402E62E5" w:rsidR="00087565" w:rsidRPr="00DD57F1" w:rsidRDefault="00087565" w:rsidP="00087565">
      <w:pPr>
        <w:pStyle w:val="ListParagraph"/>
        <w:spacing w:after="240" w:line="300" w:lineRule="auto"/>
        <w:ind w:left="567"/>
        <w:jc w:val="both"/>
        <w:rPr>
          <w:rFonts w:ascii="Times New Roman" w:hAnsi="Times New Roman" w:cs="Times New Roman"/>
          <w:sz w:val="24"/>
          <w:szCs w:val="24"/>
        </w:rPr>
      </w:pPr>
      <w:r w:rsidRPr="00DD57F1">
        <w:rPr>
          <w:rFonts w:ascii="Times New Roman" w:hAnsi="Times New Roman" w:cs="Times New Roman"/>
          <w:sz w:val="24"/>
          <w:szCs w:val="24"/>
        </w:rPr>
        <w:t>Since 2016 the Court has required the applicant to confidentially file with the Court any litigation funding agreement, and to serve on the respondent a funding agreement redacted to conceal confidential “war chest” information</w:t>
      </w:r>
      <w:r w:rsidR="00801DD9" w:rsidRPr="00DD57F1">
        <w:rPr>
          <w:rFonts w:ascii="Times New Roman" w:hAnsi="Times New Roman" w:cs="Times New Roman"/>
          <w:sz w:val="24"/>
          <w:szCs w:val="24"/>
        </w:rPr>
        <w:t>, and has</w:t>
      </w:r>
      <w:r w:rsidRPr="00DD57F1">
        <w:rPr>
          <w:rFonts w:ascii="Times New Roman" w:hAnsi="Times New Roman" w:cs="Times New Roman"/>
          <w:sz w:val="24"/>
          <w:szCs w:val="24"/>
        </w:rPr>
        <w:t xml:space="preserve"> </w:t>
      </w:r>
      <w:r w:rsidR="00EF783C" w:rsidRPr="00DD57F1">
        <w:rPr>
          <w:rFonts w:ascii="Times New Roman" w:hAnsi="Times New Roman" w:cs="Times New Roman"/>
          <w:sz w:val="24"/>
          <w:szCs w:val="24"/>
        </w:rPr>
        <w:t xml:space="preserve">discouraged </w:t>
      </w:r>
      <w:r w:rsidRPr="00DD57F1">
        <w:rPr>
          <w:rFonts w:ascii="Times New Roman" w:hAnsi="Times New Roman" w:cs="Times New Roman"/>
          <w:sz w:val="24"/>
          <w:szCs w:val="24"/>
        </w:rPr>
        <w:t xml:space="preserve">the use of </w:t>
      </w:r>
      <w:r w:rsidR="00EF783C" w:rsidRPr="00DD57F1">
        <w:rPr>
          <w:rFonts w:ascii="Times New Roman" w:hAnsi="Times New Roman" w:cs="Times New Roman"/>
          <w:sz w:val="24"/>
          <w:szCs w:val="24"/>
        </w:rPr>
        <w:t xml:space="preserve">undisclosed </w:t>
      </w:r>
      <w:r w:rsidRPr="00DD57F1">
        <w:rPr>
          <w:rFonts w:ascii="Times New Roman" w:hAnsi="Times New Roman" w:cs="Times New Roman"/>
          <w:sz w:val="24"/>
          <w:szCs w:val="24"/>
        </w:rPr>
        <w:t>side letters between the funder and a representative applicant.</w:t>
      </w:r>
      <w:r w:rsidRPr="00DD57F1">
        <w:rPr>
          <w:rStyle w:val="EndnoteReference"/>
          <w:rFonts w:ascii="Times New Roman" w:hAnsi="Times New Roman" w:cs="Times New Roman"/>
          <w:sz w:val="24"/>
          <w:szCs w:val="24"/>
        </w:rPr>
        <w:endnoteReference w:id="11"/>
      </w:r>
      <w:r w:rsidRPr="00DD57F1">
        <w:rPr>
          <w:rFonts w:ascii="Times New Roman" w:hAnsi="Times New Roman" w:cs="Times New Roman"/>
          <w:sz w:val="24"/>
          <w:szCs w:val="24"/>
        </w:rPr>
        <w:t xml:space="preserve"> </w:t>
      </w:r>
      <w:r w:rsidR="00103B95" w:rsidRPr="00DD57F1">
        <w:rPr>
          <w:rFonts w:ascii="Times New Roman" w:hAnsi="Times New Roman" w:cs="Times New Roman"/>
          <w:sz w:val="24"/>
          <w:szCs w:val="24"/>
        </w:rPr>
        <w:t xml:space="preserve"> </w:t>
      </w:r>
      <w:r w:rsidRPr="00DD57F1">
        <w:rPr>
          <w:rFonts w:ascii="Times New Roman" w:hAnsi="Times New Roman" w:cs="Times New Roman"/>
          <w:sz w:val="24"/>
          <w:szCs w:val="24"/>
        </w:rPr>
        <w:t xml:space="preserve">Through this requirement any contentious features of the funding agreement will come to the attention of the docket judge. </w:t>
      </w:r>
    </w:p>
    <w:p w14:paraId="6DA9EA6D" w14:textId="77777777" w:rsidR="00087565" w:rsidRPr="00DD57F1" w:rsidRDefault="00087565" w:rsidP="00087565">
      <w:pPr>
        <w:pStyle w:val="ListParagraph"/>
        <w:spacing w:after="240" w:line="300" w:lineRule="auto"/>
        <w:ind w:left="567"/>
        <w:jc w:val="both"/>
        <w:rPr>
          <w:rFonts w:ascii="Times New Roman" w:hAnsi="Times New Roman" w:cs="Times New Roman"/>
          <w:sz w:val="24"/>
          <w:szCs w:val="24"/>
        </w:rPr>
      </w:pPr>
    </w:p>
    <w:p w14:paraId="2A934632" w14:textId="2B68326E" w:rsidR="00087565" w:rsidRPr="00DD57F1" w:rsidRDefault="00EF783C" w:rsidP="00087565">
      <w:pPr>
        <w:pStyle w:val="ListParagraph"/>
        <w:numPr>
          <w:ilvl w:val="0"/>
          <w:numId w:val="24"/>
        </w:numPr>
        <w:spacing w:after="240" w:line="300" w:lineRule="auto"/>
        <w:ind w:left="567" w:hanging="567"/>
        <w:jc w:val="both"/>
        <w:rPr>
          <w:rFonts w:ascii="Times New Roman" w:hAnsi="Times New Roman" w:cs="Times New Roman"/>
          <w:i/>
          <w:sz w:val="24"/>
          <w:szCs w:val="24"/>
        </w:rPr>
      </w:pPr>
      <w:r w:rsidRPr="00DD57F1">
        <w:rPr>
          <w:rFonts w:ascii="Times New Roman" w:hAnsi="Times New Roman" w:cs="Times New Roman"/>
          <w:sz w:val="24"/>
          <w:szCs w:val="24"/>
        </w:rPr>
        <w:t xml:space="preserve">Fifth, </w:t>
      </w:r>
      <w:r w:rsidRPr="00DD57F1">
        <w:rPr>
          <w:rFonts w:ascii="Times New Roman" w:hAnsi="Times New Roman" w:cs="Times New Roman"/>
          <w:i/>
          <w:sz w:val="24"/>
          <w:szCs w:val="24"/>
        </w:rPr>
        <w:t>i</w:t>
      </w:r>
      <w:r w:rsidR="00B83424" w:rsidRPr="00DD57F1">
        <w:rPr>
          <w:rFonts w:ascii="Times New Roman" w:hAnsi="Times New Roman" w:cs="Times New Roman"/>
          <w:i/>
          <w:sz w:val="24"/>
          <w:szCs w:val="24"/>
        </w:rPr>
        <w:t xml:space="preserve">ncreased judicial </w:t>
      </w:r>
      <w:r w:rsidR="00087565" w:rsidRPr="00DD57F1">
        <w:rPr>
          <w:rFonts w:ascii="Times New Roman" w:hAnsi="Times New Roman" w:cs="Times New Roman"/>
          <w:i/>
          <w:sz w:val="24"/>
          <w:szCs w:val="24"/>
        </w:rPr>
        <w:t>scrutiny of litigation funding charges</w:t>
      </w:r>
      <w:r w:rsidR="005F794E" w:rsidRPr="00DD57F1">
        <w:rPr>
          <w:rFonts w:ascii="Times New Roman" w:hAnsi="Times New Roman" w:cs="Times New Roman"/>
          <w:i/>
          <w:sz w:val="24"/>
          <w:szCs w:val="24"/>
        </w:rPr>
        <w:t xml:space="preserve"> and legal costs</w:t>
      </w:r>
      <w:r w:rsidR="00103B95" w:rsidRPr="00DD57F1">
        <w:rPr>
          <w:rFonts w:ascii="Times New Roman" w:hAnsi="Times New Roman" w:cs="Times New Roman"/>
          <w:i/>
          <w:sz w:val="24"/>
          <w:szCs w:val="24"/>
        </w:rPr>
        <w:t>.</w:t>
      </w:r>
      <w:r w:rsidR="005F794E" w:rsidRPr="00DD57F1">
        <w:rPr>
          <w:rFonts w:ascii="Times New Roman" w:hAnsi="Times New Roman" w:cs="Times New Roman"/>
          <w:i/>
          <w:sz w:val="24"/>
          <w:szCs w:val="24"/>
        </w:rPr>
        <w:t xml:space="preserve"> </w:t>
      </w:r>
    </w:p>
    <w:p w14:paraId="6EF8A389" w14:textId="77777777" w:rsidR="00AE7C8D" w:rsidRPr="00DD57F1" w:rsidRDefault="00AE7C8D" w:rsidP="00AE7C8D">
      <w:pPr>
        <w:pStyle w:val="ListParagraph"/>
        <w:spacing w:after="240" w:line="300" w:lineRule="auto"/>
        <w:ind w:left="567"/>
        <w:jc w:val="both"/>
        <w:rPr>
          <w:rFonts w:ascii="Times New Roman" w:hAnsi="Times New Roman" w:cs="Times New Roman"/>
          <w:i/>
          <w:sz w:val="24"/>
          <w:szCs w:val="24"/>
        </w:rPr>
      </w:pPr>
    </w:p>
    <w:p w14:paraId="53A6A186" w14:textId="37CAFEFA" w:rsidR="00AE7C8D" w:rsidRPr="00DD57F1" w:rsidRDefault="00984BFA" w:rsidP="00613B04">
      <w:pPr>
        <w:pStyle w:val="ListParagraph"/>
        <w:spacing w:after="240" w:line="300" w:lineRule="auto"/>
        <w:ind w:left="567"/>
        <w:jc w:val="both"/>
        <w:rPr>
          <w:rFonts w:ascii="Times New Roman" w:hAnsi="Times New Roman" w:cs="Times New Roman"/>
          <w:sz w:val="24"/>
          <w:szCs w:val="24"/>
        </w:rPr>
      </w:pPr>
      <w:r>
        <w:rPr>
          <w:rFonts w:ascii="Times New Roman" w:hAnsi="Times New Roman" w:cs="Times New Roman"/>
          <w:sz w:val="24"/>
          <w:szCs w:val="24"/>
        </w:rPr>
        <w:t>I</w:t>
      </w:r>
      <w:r w:rsidRPr="00DD57F1">
        <w:rPr>
          <w:rFonts w:ascii="Times New Roman" w:hAnsi="Times New Roman" w:cs="Times New Roman"/>
          <w:sz w:val="24"/>
          <w:szCs w:val="24"/>
        </w:rPr>
        <w:t>n settlement approval decisions</w:t>
      </w:r>
      <w:r>
        <w:rPr>
          <w:rFonts w:ascii="Times New Roman" w:hAnsi="Times New Roman" w:cs="Times New Roman"/>
          <w:sz w:val="24"/>
          <w:szCs w:val="24"/>
        </w:rPr>
        <w:t xml:space="preserve"> in the great majority of class actions the courts have found </w:t>
      </w:r>
      <w:r w:rsidR="00415FB7" w:rsidRPr="00DD57F1">
        <w:rPr>
          <w:rFonts w:ascii="Times New Roman" w:hAnsi="Times New Roman" w:cs="Times New Roman"/>
          <w:sz w:val="24"/>
          <w:szCs w:val="24"/>
        </w:rPr>
        <w:t xml:space="preserve">the legal costs and funding charges </w:t>
      </w:r>
      <w:r>
        <w:rPr>
          <w:rFonts w:ascii="Times New Roman" w:hAnsi="Times New Roman" w:cs="Times New Roman"/>
          <w:sz w:val="24"/>
          <w:szCs w:val="24"/>
        </w:rPr>
        <w:t>to be reasonable and proportionate</w:t>
      </w:r>
      <w:r w:rsidR="00AE7C8D" w:rsidRPr="00DD57F1">
        <w:rPr>
          <w:rFonts w:ascii="Times New Roman" w:hAnsi="Times New Roman" w:cs="Times New Roman"/>
          <w:sz w:val="24"/>
          <w:szCs w:val="24"/>
        </w:rPr>
        <w:t>. I</w:t>
      </w:r>
      <w:r w:rsidR="005F794E" w:rsidRPr="00DD57F1">
        <w:rPr>
          <w:rFonts w:ascii="Times New Roman" w:hAnsi="Times New Roman" w:cs="Times New Roman"/>
          <w:sz w:val="24"/>
          <w:szCs w:val="24"/>
        </w:rPr>
        <w:t xml:space="preserve">n such cases the class action regime is a relatively efficient mechanism for dealing with mass claims and distributing compensation to the claimants.  </w:t>
      </w:r>
    </w:p>
    <w:p w14:paraId="3A8F7B1B" w14:textId="77777777" w:rsidR="00AE7C8D" w:rsidRPr="00DD57F1" w:rsidRDefault="00AE7C8D" w:rsidP="00613B04">
      <w:pPr>
        <w:pStyle w:val="ListParagraph"/>
        <w:spacing w:after="240" w:line="300" w:lineRule="auto"/>
        <w:ind w:left="567"/>
        <w:jc w:val="both"/>
        <w:rPr>
          <w:rFonts w:ascii="Times New Roman" w:hAnsi="Times New Roman" w:cs="Times New Roman"/>
          <w:sz w:val="24"/>
          <w:szCs w:val="24"/>
        </w:rPr>
      </w:pPr>
    </w:p>
    <w:p w14:paraId="4425B85C" w14:textId="3DC325B3" w:rsidR="005F794E" w:rsidRPr="00DD57F1" w:rsidRDefault="00984BFA" w:rsidP="00613B04">
      <w:pPr>
        <w:pStyle w:val="ListParagraph"/>
        <w:spacing w:after="240" w:line="300" w:lineRule="auto"/>
        <w:ind w:left="567"/>
        <w:jc w:val="both"/>
        <w:rPr>
          <w:rFonts w:ascii="Times New Roman" w:hAnsi="Times New Roman" w:cs="Times New Roman"/>
          <w:sz w:val="24"/>
          <w:szCs w:val="24"/>
        </w:rPr>
      </w:pPr>
      <w:r>
        <w:rPr>
          <w:rFonts w:ascii="Times New Roman" w:hAnsi="Times New Roman" w:cs="Times New Roman"/>
          <w:sz w:val="24"/>
          <w:szCs w:val="24"/>
        </w:rPr>
        <w:t>There is, however, a</w:t>
      </w:r>
      <w:r w:rsidR="00415FB7" w:rsidRPr="00DD57F1">
        <w:rPr>
          <w:rFonts w:ascii="Times New Roman" w:hAnsi="Times New Roman" w:cs="Times New Roman"/>
          <w:sz w:val="24"/>
          <w:szCs w:val="24"/>
        </w:rPr>
        <w:t xml:space="preserve"> problem</w:t>
      </w:r>
      <w:r w:rsidR="00447380">
        <w:rPr>
          <w:rFonts w:ascii="Times New Roman" w:hAnsi="Times New Roman" w:cs="Times New Roman"/>
          <w:sz w:val="24"/>
          <w:szCs w:val="24"/>
        </w:rPr>
        <w:t xml:space="preserve"> with which the </w:t>
      </w:r>
      <w:r w:rsidR="00415FB7" w:rsidRPr="00DD57F1">
        <w:rPr>
          <w:rFonts w:ascii="Times New Roman" w:hAnsi="Times New Roman" w:cs="Times New Roman"/>
          <w:sz w:val="24"/>
          <w:szCs w:val="24"/>
        </w:rPr>
        <w:t>Court is presently grappling</w:t>
      </w:r>
      <w:r w:rsidR="00447380">
        <w:rPr>
          <w:rFonts w:ascii="Times New Roman" w:hAnsi="Times New Roman" w:cs="Times New Roman"/>
          <w:sz w:val="24"/>
          <w:szCs w:val="24"/>
        </w:rPr>
        <w:t xml:space="preserve">, in which settlements are reached where </w:t>
      </w:r>
      <w:r w:rsidR="00011D87" w:rsidRPr="00DD57F1">
        <w:rPr>
          <w:rFonts w:ascii="Times New Roman" w:hAnsi="Times New Roman" w:cs="Times New Roman"/>
          <w:sz w:val="24"/>
          <w:szCs w:val="24"/>
        </w:rPr>
        <w:t xml:space="preserve">the quantum of </w:t>
      </w:r>
      <w:r w:rsidR="00EF783C" w:rsidRPr="00DD57F1">
        <w:rPr>
          <w:rFonts w:ascii="Times New Roman" w:hAnsi="Times New Roman" w:cs="Times New Roman"/>
          <w:sz w:val="24"/>
          <w:szCs w:val="24"/>
        </w:rPr>
        <w:t xml:space="preserve">legal </w:t>
      </w:r>
      <w:r w:rsidR="00011D87" w:rsidRPr="00DD57F1">
        <w:rPr>
          <w:rFonts w:ascii="Times New Roman" w:hAnsi="Times New Roman" w:cs="Times New Roman"/>
          <w:sz w:val="24"/>
          <w:szCs w:val="24"/>
        </w:rPr>
        <w:t xml:space="preserve">costs </w:t>
      </w:r>
      <w:r w:rsidR="00EF783C" w:rsidRPr="00DD57F1">
        <w:rPr>
          <w:rFonts w:ascii="Times New Roman" w:hAnsi="Times New Roman" w:cs="Times New Roman"/>
          <w:sz w:val="24"/>
          <w:szCs w:val="24"/>
        </w:rPr>
        <w:t>and funding</w:t>
      </w:r>
      <w:r w:rsidR="00011D87" w:rsidRPr="00DD57F1">
        <w:rPr>
          <w:rFonts w:ascii="Times New Roman" w:hAnsi="Times New Roman" w:cs="Times New Roman"/>
          <w:sz w:val="24"/>
          <w:szCs w:val="24"/>
        </w:rPr>
        <w:t xml:space="preserve"> charges</w:t>
      </w:r>
      <w:r w:rsidR="00447380">
        <w:rPr>
          <w:rFonts w:ascii="Times New Roman" w:hAnsi="Times New Roman" w:cs="Times New Roman"/>
          <w:sz w:val="24"/>
          <w:szCs w:val="24"/>
        </w:rPr>
        <w:t xml:space="preserve"> is seriously </w:t>
      </w:r>
      <w:r w:rsidR="005F794E" w:rsidRPr="00DD57F1">
        <w:rPr>
          <w:rFonts w:ascii="Times New Roman" w:hAnsi="Times New Roman" w:cs="Times New Roman"/>
          <w:sz w:val="24"/>
          <w:szCs w:val="24"/>
        </w:rPr>
        <w:t xml:space="preserve">disproportionate to the recoveries by class members.  </w:t>
      </w:r>
      <w:r w:rsidR="007F32CB" w:rsidRPr="00DD57F1">
        <w:rPr>
          <w:rFonts w:ascii="Times New Roman" w:hAnsi="Times New Roman" w:cs="Times New Roman"/>
          <w:sz w:val="24"/>
          <w:szCs w:val="24"/>
        </w:rPr>
        <w:t>I</w:t>
      </w:r>
      <w:r w:rsidR="00011D87" w:rsidRPr="00DD57F1">
        <w:rPr>
          <w:rFonts w:ascii="Times New Roman" w:hAnsi="Times New Roman" w:cs="Times New Roman"/>
          <w:sz w:val="24"/>
          <w:szCs w:val="24"/>
        </w:rPr>
        <w:t xml:space="preserve"> agree with </w:t>
      </w:r>
      <w:r w:rsidR="007F32CB" w:rsidRPr="00DD57F1">
        <w:rPr>
          <w:rFonts w:ascii="Times New Roman" w:hAnsi="Times New Roman" w:cs="Times New Roman"/>
          <w:sz w:val="24"/>
          <w:szCs w:val="24"/>
        </w:rPr>
        <w:t>Justice Derrington</w:t>
      </w:r>
      <w:r w:rsidR="002A5482">
        <w:rPr>
          <w:rFonts w:ascii="Times New Roman" w:hAnsi="Times New Roman" w:cs="Times New Roman"/>
          <w:sz w:val="24"/>
          <w:szCs w:val="24"/>
        </w:rPr>
        <w:t xml:space="preserve">’s observation </w:t>
      </w:r>
      <w:r w:rsidR="001C2175" w:rsidRPr="00DD57F1">
        <w:rPr>
          <w:rFonts w:ascii="Times New Roman" w:hAnsi="Times New Roman" w:cs="Times New Roman"/>
          <w:sz w:val="24"/>
          <w:szCs w:val="24"/>
        </w:rPr>
        <w:t>that “the legitimate use of the court</w:t>
      </w:r>
      <w:r w:rsidR="00415FB7" w:rsidRPr="00DD57F1">
        <w:rPr>
          <w:rFonts w:ascii="Times New Roman" w:hAnsi="Times New Roman" w:cs="Times New Roman"/>
          <w:sz w:val="24"/>
          <w:szCs w:val="24"/>
        </w:rPr>
        <w:t>’</w:t>
      </w:r>
      <w:r w:rsidR="001C2175" w:rsidRPr="00DD57F1">
        <w:rPr>
          <w:rFonts w:ascii="Times New Roman" w:hAnsi="Times New Roman" w:cs="Times New Roman"/>
          <w:sz w:val="24"/>
          <w:szCs w:val="24"/>
        </w:rPr>
        <w:t>s processes…should not be undermined by proceedings that disproportionally benefit the funder and solicitor rather the litigants.”</w:t>
      </w:r>
      <w:r w:rsidR="001C2175" w:rsidRPr="00DD57F1">
        <w:rPr>
          <w:rStyle w:val="EndnoteReference"/>
          <w:rFonts w:ascii="Times New Roman" w:hAnsi="Times New Roman" w:cs="Times New Roman"/>
          <w:sz w:val="24"/>
          <w:szCs w:val="24"/>
        </w:rPr>
        <w:endnoteReference w:id="12"/>
      </w:r>
      <w:r w:rsidR="00011D87" w:rsidRPr="00DD57F1">
        <w:rPr>
          <w:rFonts w:ascii="Times New Roman" w:hAnsi="Times New Roman" w:cs="Times New Roman"/>
          <w:sz w:val="24"/>
          <w:szCs w:val="24"/>
        </w:rPr>
        <w:t xml:space="preserve"> The Court</w:t>
      </w:r>
      <w:r w:rsidR="00447380">
        <w:rPr>
          <w:rFonts w:ascii="Times New Roman" w:hAnsi="Times New Roman" w:cs="Times New Roman"/>
          <w:sz w:val="24"/>
          <w:szCs w:val="24"/>
        </w:rPr>
        <w:t xml:space="preserve"> is now scrutinising the proportionality of </w:t>
      </w:r>
      <w:r w:rsidR="002A5482">
        <w:rPr>
          <w:rFonts w:ascii="Times New Roman" w:hAnsi="Times New Roman" w:cs="Times New Roman"/>
          <w:sz w:val="24"/>
          <w:szCs w:val="24"/>
        </w:rPr>
        <w:t xml:space="preserve">costs </w:t>
      </w:r>
      <w:r w:rsidR="00447380">
        <w:rPr>
          <w:rFonts w:ascii="Times New Roman" w:hAnsi="Times New Roman" w:cs="Times New Roman"/>
          <w:sz w:val="24"/>
          <w:szCs w:val="24"/>
        </w:rPr>
        <w:t xml:space="preserve">and funding charges </w:t>
      </w:r>
      <w:r w:rsidR="002A5482">
        <w:rPr>
          <w:rFonts w:ascii="Times New Roman" w:hAnsi="Times New Roman" w:cs="Times New Roman"/>
          <w:sz w:val="24"/>
          <w:szCs w:val="24"/>
        </w:rPr>
        <w:t>more closely:</w:t>
      </w:r>
    </w:p>
    <w:p w14:paraId="761E8A52" w14:textId="77777777" w:rsidR="00C672C9" w:rsidRPr="00DD57F1" w:rsidRDefault="00C672C9" w:rsidP="00613B04">
      <w:pPr>
        <w:pStyle w:val="ListParagraph"/>
        <w:spacing w:after="240" w:line="300" w:lineRule="auto"/>
        <w:ind w:left="567"/>
        <w:jc w:val="both"/>
        <w:rPr>
          <w:rFonts w:ascii="Times New Roman" w:hAnsi="Times New Roman" w:cs="Times New Roman"/>
          <w:sz w:val="24"/>
          <w:szCs w:val="24"/>
        </w:rPr>
      </w:pPr>
    </w:p>
    <w:p w14:paraId="0CAD5105" w14:textId="06CE5342" w:rsidR="005F794E" w:rsidRPr="00DD57F1" w:rsidRDefault="002A5482" w:rsidP="00447380">
      <w:pPr>
        <w:pStyle w:val="ListParagraph"/>
        <w:numPr>
          <w:ilvl w:val="0"/>
          <w:numId w:val="28"/>
        </w:numPr>
        <w:spacing w:after="240" w:line="300" w:lineRule="auto"/>
        <w:ind w:left="1134" w:hanging="567"/>
        <w:jc w:val="both"/>
        <w:rPr>
          <w:rFonts w:ascii="Times New Roman" w:hAnsi="Times New Roman" w:cs="Times New Roman"/>
          <w:sz w:val="24"/>
          <w:szCs w:val="24"/>
        </w:rPr>
      </w:pPr>
      <w:r>
        <w:rPr>
          <w:rFonts w:ascii="Times New Roman" w:hAnsi="Times New Roman" w:cs="Times New Roman"/>
          <w:i/>
          <w:sz w:val="24"/>
          <w:szCs w:val="24"/>
        </w:rPr>
        <w:t>F</w:t>
      </w:r>
      <w:r w:rsidR="00613B04" w:rsidRPr="00DD57F1">
        <w:rPr>
          <w:rFonts w:ascii="Times New Roman" w:hAnsi="Times New Roman" w:cs="Times New Roman"/>
          <w:i/>
          <w:sz w:val="24"/>
          <w:szCs w:val="24"/>
        </w:rPr>
        <w:t>unding charges</w:t>
      </w:r>
      <w:r w:rsidR="00613B04" w:rsidRPr="00DD57F1">
        <w:rPr>
          <w:rFonts w:ascii="Times New Roman" w:hAnsi="Times New Roman" w:cs="Times New Roman"/>
          <w:sz w:val="24"/>
          <w:szCs w:val="24"/>
        </w:rPr>
        <w:t xml:space="preserve"> </w:t>
      </w:r>
    </w:p>
    <w:p w14:paraId="7009EF93" w14:textId="77777777" w:rsidR="00AE7C8D" w:rsidRPr="00DD57F1" w:rsidRDefault="00AE7C8D" w:rsidP="0062502F">
      <w:pPr>
        <w:pStyle w:val="ListParagraph"/>
        <w:spacing w:after="240" w:line="300" w:lineRule="auto"/>
        <w:ind w:left="567"/>
        <w:jc w:val="both"/>
        <w:rPr>
          <w:rFonts w:ascii="Times New Roman" w:hAnsi="Times New Roman" w:cs="Times New Roman"/>
          <w:i/>
          <w:sz w:val="24"/>
          <w:szCs w:val="24"/>
          <w:u w:val="single"/>
        </w:rPr>
      </w:pPr>
    </w:p>
    <w:p w14:paraId="4838D489" w14:textId="29D40604" w:rsidR="0008211E" w:rsidRPr="00DD57F1" w:rsidRDefault="002A5482" w:rsidP="00011D87">
      <w:pPr>
        <w:pStyle w:val="ListParagraph"/>
        <w:spacing w:after="240" w:line="300" w:lineRule="auto"/>
        <w:ind w:left="1134"/>
        <w:jc w:val="both"/>
        <w:rPr>
          <w:rFonts w:ascii="Times New Roman" w:hAnsi="Times New Roman" w:cs="Times New Roman"/>
          <w:sz w:val="24"/>
          <w:szCs w:val="24"/>
        </w:rPr>
      </w:pPr>
      <w:r>
        <w:rPr>
          <w:rFonts w:ascii="Times New Roman" w:hAnsi="Times New Roman" w:cs="Times New Roman"/>
          <w:sz w:val="24"/>
          <w:szCs w:val="24"/>
        </w:rPr>
        <w:t>A number of</w:t>
      </w:r>
      <w:r w:rsidR="00630B27" w:rsidRPr="00DD57F1">
        <w:rPr>
          <w:rFonts w:ascii="Times New Roman" w:hAnsi="Times New Roman" w:cs="Times New Roman"/>
          <w:sz w:val="24"/>
          <w:szCs w:val="24"/>
        </w:rPr>
        <w:t xml:space="preserve"> judges of</w:t>
      </w:r>
      <w:r w:rsidR="00011D87" w:rsidRPr="00DD57F1">
        <w:rPr>
          <w:rFonts w:ascii="Times New Roman" w:hAnsi="Times New Roman" w:cs="Times New Roman"/>
          <w:sz w:val="24"/>
          <w:szCs w:val="24"/>
        </w:rPr>
        <w:t xml:space="preserve"> the Federal Court </w:t>
      </w:r>
      <w:r w:rsidR="00630B27" w:rsidRPr="00DD57F1">
        <w:rPr>
          <w:rFonts w:ascii="Times New Roman" w:hAnsi="Times New Roman" w:cs="Times New Roman"/>
          <w:sz w:val="24"/>
          <w:szCs w:val="24"/>
        </w:rPr>
        <w:t>(including myself</w:t>
      </w:r>
      <w:r w:rsidR="00BF2674" w:rsidRPr="00DD57F1">
        <w:rPr>
          <w:rFonts w:ascii="Times New Roman" w:hAnsi="Times New Roman" w:cs="Times New Roman"/>
          <w:sz w:val="24"/>
          <w:szCs w:val="24"/>
        </w:rPr>
        <w:t>,</w:t>
      </w:r>
      <w:r w:rsidR="00DD57F1" w:rsidRPr="00DD57F1">
        <w:rPr>
          <w:rStyle w:val="EndnoteReference"/>
          <w:rFonts w:ascii="Times New Roman" w:hAnsi="Times New Roman" w:cs="Times New Roman"/>
          <w:sz w:val="24"/>
          <w:szCs w:val="24"/>
        </w:rPr>
        <w:endnoteReference w:id="13"/>
      </w:r>
      <w:r w:rsidR="00630B27" w:rsidRPr="00DD57F1">
        <w:rPr>
          <w:rFonts w:ascii="Times New Roman" w:hAnsi="Times New Roman" w:cs="Times New Roman"/>
          <w:sz w:val="24"/>
          <w:szCs w:val="24"/>
        </w:rPr>
        <w:t xml:space="preserve"> </w:t>
      </w:r>
      <w:r w:rsidR="00BA31BB" w:rsidRPr="00DD57F1">
        <w:rPr>
          <w:rFonts w:ascii="Times New Roman" w:hAnsi="Times New Roman" w:cs="Times New Roman"/>
          <w:sz w:val="24"/>
          <w:szCs w:val="24"/>
        </w:rPr>
        <w:t>Justice Beach</w:t>
      </w:r>
      <w:r w:rsidR="00BA31BB" w:rsidRPr="00DD57F1">
        <w:rPr>
          <w:rStyle w:val="EndnoteReference"/>
          <w:rFonts w:ascii="Times New Roman" w:hAnsi="Times New Roman" w:cs="Times New Roman"/>
          <w:sz w:val="24"/>
          <w:szCs w:val="24"/>
        </w:rPr>
        <w:endnoteReference w:id="14"/>
      </w:r>
      <w:r w:rsidR="00BA31BB" w:rsidRPr="00DD57F1">
        <w:rPr>
          <w:rFonts w:ascii="Times New Roman" w:hAnsi="Times New Roman" w:cs="Times New Roman"/>
          <w:sz w:val="24"/>
          <w:szCs w:val="24"/>
        </w:rPr>
        <w:t>)</w:t>
      </w:r>
      <w:r w:rsidR="00630B27" w:rsidRPr="00DD57F1">
        <w:rPr>
          <w:rFonts w:ascii="Times New Roman" w:hAnsi="Times New Roman" w:cs="Times New Roman"/>
          <w:sz w:val="24"/>
          <w:szCs w:val="24"/>
        </w:rPr>
        <w:t xml:space="preserve"> and </w:t>
      </w:r>
      <w:r w:rsidR="00BA31BB" w:rsidRPr="00DD57F1">
        <w:rPr>
          <w:rFonts w:ascii="Times New Roman" w:hAnsi="Times New Roman" w:cs="Times New Roman"/>
          <w:sz w:val="24"/>
          <w:szCs w:val="24"/>
        </w:rPr>
        <w:t>Justice Middleton</w:t>
      </w:r>
      <w:r w:rsidR="00BA31BB" w:rsidRPr="00DD57F1">
        <w:rPr>
          <w:rStyle w:val="EndnoteReference"/>
          <w:rFonts w:ascii="Times New Roman" w:hAnsi="Times New Roman" w:cs="Times New Roman"/>
          <w:sz w:val="24"/>
          <w:szCs w:val="24"/>
        </w:rPr>
        <w:endnoteReference w:id="15"/>
      </w:r>
      <w:r w:rsidR="00BA31BB" w:rsidRPr="00DD57F1">
        <w:rPr>
          <w:rFonts w:ascii="Times New Roman" w:hAnsi="Times New Roman" w:cs="Times New Roman"/>
          <w:sz w:val="24"/>
          <w:szCs w:val="24"/>
        </w:rPr>
        <w:t xml:space="preserve"> </w:t>
      </w:r>
      <w:r>
        <w:rPr>
          <w:rFonts w:ascii="Times New Roman" w:hAnsi="Times New Roman" w:cs="Times New Roman"/>
          <w:sz w:val="24"/>
          <w:szCs w:val="24"/>
        </w:rPr>
        <w:t>have</w:t>
      </w:r>
      <w:r w:rsidR="00630B27" w:rsidRPr="00DD57F1">
        <w:rPr>
          <w:rFonts w:ascii="Times New Roman" w:hAnsi="Times New Roman" w:cs="Times New Roman"/>
          <w:sz w:val="24"/>
          <w:szCs w:val="24"/>
        </w:rPr>
        <w:t xml:space="preserve"> held </w:t>
      </w:r>
      <w:r w:rsidR="00C672C9" w:rsidRPr="00DD57F1">
        <w:rPr>
          <w:rFonts w:ascii="Times New Roman" w:hAnsi="Times New Roman" w:cs="Times New Roman"/>
          <w:sz w:val="24"/>
          <w:szCs w:val="24"/>
        </w:rPr>
        <w:t>that</w:t>
      </w:r>
      <w:r w:rsidR="00AE7C8D" w:rsidRPr="00DD57F1">
        <w:rPr>
          <w:rFonts w:ascii="Times New Roman" w:hAnsi="Times New Roman" w:cs="Times New Roman"/>
          <w:sz w:val="24"/>
          <w:szCs w:val="24"/>
        </w:rPr>
        <w:t xml:space="preserve"> the Court </w:t>
      </w:r>
      <w:r w:rsidR="00C672C9" w:rsidRPr="00DD57F1">
        <w:rPr>
          <w:rFonts w:ascii="Times New Roman" w:hAnsi="Times New Roman" w:cs="Times New Roman"/>
          <w:sz w:val="24"/>
          <w:szCs w:val="24"/>
        </w:rPr>
        <w:t xml:space="preserve">has </w:t>
      </w:r>
      <w:r w:rsidR="0008211E" w:rsidRPr="00DD57F1">
        <w:rPr>
          <w:rFonts w:ascii="Times New Roman" w:hAnsi="Times New Roman" w:cs="Times New Roman"/>
          <w:sz w:val="24"/>
          <w:szCs w:val="24"/>
        </w:rPr>
        <w:t xml:space="preserve">power to vary the funding commission required to </w:t>
      </w:r>
      <w:r w:rsidR="00613B04" w:rsidRPr="00DD57F1">
        <w:rPr>
          <w:rFonts w:ascii="Times New Roman" w:hAnsi="Times New Roman" w:cs="Times New Roman"/>
          <w:sz w:val="24"/>
          <w:szCs w:val="24"/>
        </w:rPr>
        <w:t xml:space="preserve">be </w:t>
      </w:r>
      <w:r w:rsidR="0008211E" w:rsidRPr="00DD57F1">
        <w:rPr>
          <w:rFonts w:ascii="Times New Roman" w:hAnsi="Times New Roman" w:cs="Times New Roman"/>
          <w:sz w:val="24"/>
          <w:szCs w:val="24"/>
        </w:rPr>
        <w:t xml:space="preserve">paid </w:t>
      </w:r>
      <w:r w:rsidR="0062502F" w:rsidRPr="00DD57F1">
        <w:rPr>
          <w:rFonts w:ascii="Times New Roman" w:hAnsi="Times New Roman" w:cs="Times New Roman"/>
          <w:sz w:val="24"/>
          <w:szCs w:val="24"/>
        </w:rPr>
        <w:t xml:space="preserve">by class members pursuant to the </w:t>
      </w:r>
      <w:r w:rsidR="0008211E" w:rsidRPr="00DD57F1">
        <w:rPr>
          <w:rFonts w:ascii="Times New Roman" w:hAnsi="Times New Roman" w:cs="Times New Roman"/>
          <w:sz w:val="24"/>
          <w:szCs w:val="24"/>
        </w:rPr>
        <w:t>funding agreements</w:t>
      </w:r>
      <w:r w:rsidR="00613B04" w:rsidRPr="00DD57F1">
        <w:rPr>
          <w:rFonts w:ascii="Times New Roman" w:hAnsi="Times New Roman" w:cs="Times New Roman"/>
          <w:sz w:val="24"/>
          <w:szCs w:val="24"/>
        </w:rPr>
        <w:t xml:space="preserve">, and </w:t>
      </w:r>
      <w:r w:rsidR="006F0E88" w:rsidRPr="00DD57F1">
        <w:rPr>
          <w:rFonts w:ascii="Times New Roman" w:hAnsi="Times New Roman" w:cs="Times New Roman"/>
          <w:sz w:val="24"/>
          <w:szCs w:val="24"/>
        </w:rPr>
        <w:t xml:space="preserve">that it is appropriate </w:t>
      </w:r>
      <w:r w:rsidR="00630B27" w:rsidRPr="00DD57F1">
        <w:rPr>
          <w:rFonts w:ascii="Times New Roman" w:hAnsi="Times New Roman" w:cs="Times New Roman"/>
          <w:sz w:val="24"/>
          <w:szCs w:val="24"/>
        </w:rPr>
        <w:t xml:space="preserve">to review </w:t>
      </w:r>
      <w:r w:rsidR="0062502F" w:rsidRPr="00DD57F1">
        <w:rPr>
          <w:rFonts w:ascii="Times New Roman" w:hAnsi="Times New Roman" w:cs="Times New Roman"/>
          <w:sz w:val="24"/>
          <w:szCs w:val="24"/>
        </w:rPr>
        <w:t xml:space="preserve">the funding commission </w:t>
      </w:r>
      <w:r w:rsidR="006F0E88" w:rsidRPr="00DD57F1">
        <w:rPr>
          <w:rFonts w:ascii="Times New Roman" w:hAnsi="Times New Roman" w:cs="Times New Roman"/>
          <w:sz w:val="24"/>
          <w:szCs w:val="24"/>
        </w:rPr>
        <w:t xml:space="preserve">sought </w:t>
      </w:r>
      <w:r w:rsidR="0062502F" w:rsidRPr="00DD57F1">
        <w:rPr>
          <w:rFonts w:ascii="Times New Roman" w:hAnsi="Times New Roman" w:cs="Times New Roman"/>
          <w:sz w:val="24"/>
          <w:szCs w:val="24"/>
        </w:rPr>
        <w:t xml:space="preserve">by reference to criteria developed by the Full Court in </w:t>
      </w:r>
      <w:r w:rsidR="0063360A" w:rsidRPr="0063360A">
        <w:rPr>
          <w:rFonts w:ascii="Times New Roman" w:hAnsi="Times New Roman" w:cs="Times New Roman"/>
          <w:i/>
          <w:sz w:val="24"/>
          <w:szCs w:val="24"/>
        </w:rPr>
        <w:t xml:space="preserve">Money Max Int Pty Ltd </w:t>
      </w:r>
      <w:r w:rsidR="0063360A" w:rsidRPr="0063360A">
        <w:rPr>
          <w:rFonts w:ascii="Times New Roman" w:hAnsi="Times New Roman" w:cs="Times New Roman"/>
          <w:i/>
          <w:sz w:val="24"/>
          <w:szCs w:val="24"/>
        </w:rPr>
        <w:lastRenderedPageBreak/>
        <w:t>(Trustee) v QBE Insurance Group Limited</w:t>
      </w:r>
      <w:r w:rsidR="0062502F" w:rsidRPr="00DD57F1">
        <w:rPr>
          <w:rStyle w:val="EndnoteReference"/>
          <w:rFonts w:ascii="Times New Roman" w:hAnsi="Times New Roman" w:cs="Times New Roman"/>
          <w:sz w:val="24"/>
          <w:szCs w:val="24"/>
        </w:rPr>
        <w:endnoteReference w:id="16"/>
      </w:r>
      <w:r w:rsidR="007C0E56">
        <w:rPr>
          <w:rFonts w:ascii="Times New Roman" w:hAnsi="Times New Roman" w:cs="Times New Roman"/>
          <w:i/>
          <w:sz w:val="24"/>
          <w:szCs w:val="24"/>
        </w:rPr>
        <w:t xml:space="preserve"> </w:t>
      </w:r>
      <w:r w:rsidR="007C0E56">
        <w:rPr>
          <w:rFonts w:ascii="Times New Roman" w:hAnsi="Times New Roman" w:cs="Times New Roman"/>
          <w:sz w:val="24"/>
          <w:szCs w:val="24"/>
        </w:rPr>
        <w:t>(</w:t>
      </w:r>
      <w:r w:rsidR="007C0E56" w:rsidRPr="00447380">
        <w:rPr>
          <w:rFonts w:ascii="Times New Roman" w:hAnsi="Times New Roman" w:cs="Times New Roman"/>
          <w:b/>
          <w:i/>
          <w:sz w:val="24"/>
          <w:szCs w:val="24"/>
        </w:rPr>
        <w:t>Money Max</w:t>
      </w:r>
      <w:r w:rsidR="007C0E56">
        <w:rPr>
          <w:rFonts w:ascii="Times New Roman" w:hAnsi="Times New Roman" w:cs="Times New Roman"/>
          <w:sz w:val="24"/>
          <w:szCs w:val="24"/>
        </w:rPr>
        <w:t xml:space="preserve">). </w:t>
      </w:r>
      <w:r w:rsidR="0062502F" w:rsidRPr="00DD57F1">
        <w:rPr>
          <w:rFonts w:ascii="Times New Roman" w:hAnsi="Times New Roman" w:cs="Times New Roman"/>
          <w:sz w:val="24"/>
          <w:szCs w:val="24"/>
          <w:lang w:eastAsia="zh-CN"/>
        </w:rPr>
        <w:t xml:space="preserve"> </w:t>
      </w:r>
      <w:r w:rsidR="00447380">
        <w:rPr>
          <w:rFonts w:ascii="Times New Roman" w:hAnsi="Times New Roman" w:cs="Times New Roman"/>
          <w:sz w:val="24"/>
          <w:szCs w:val="24"/>
          <w:lang w:eastAsia="zh-CN"/>
        </w:rPr>
        <w:t>More recently Justice Lee</w:t>
      </w:r>
      <w:r w:rsidR="00447380">
        <w:rPr>
          <w:rFonts w:ascii="Times New Roman" w:hAnsi="Times New Roman" w:cs="Times New Roman"/>
          <w:sz w:val="24"/>
          <w:szCs w:val="24"/>
        </w:rPr>
        <w:t xml:space="preserve"> </w:t>
      </w:r>
      <w:r w:rsidR="00BA31BB">
        <w:rPr>
          <w:rFonts w:ascii="Times New Roman" w:hAnsi="Times New Roman" w:cs="Times New Roman"/>
          <w:sz w:val="24"/>
          <w:szCs w:val="24"/>
        </w:rPr>
        <w:t>has</w:t>
      </w:r>
      <w:r w:rsidR="00447380">
        <w:rPr>
          <w:rFonts w:ascii="Times New Roman" w:hAnsi="Times New Roman" w:cs="Times New Roman"/>
          <w:sz w:val="24"/>
          <w:szCs w:val="24"/>
        </w:rPr>
        <w:t xml:space="preserve"> doubted </w:t>
      </w:r>
      <w:r w:rsidR="00A44A38" w:rsidRPr="00DD57F1">
        <w:rPr>
          <w:rFonts w:ascii="Times New Roman" w:hAnsi="Times New Roman" w:cs="Times New Roman"/>
          <w:sz w:val="24"/>
          <w:szCs w:val="24"/>
        </w:rPr>
        <w:t>the Court’s power to effectively vary the contractual bargain between a funder and a class member</w:t>
      </w:r>
      <w:r w:rsidR="00447380">
        <w:rPr>
          <w:rFonts w:ascii="Times New Roman" w:hAnsi="Times New Roman" w:cs="Times New Roman"/>
          <w:sz w:val="24"/>
          <w:szCs w:val="24"/>
        </w:rPr>
        <w:t>.</w:t>
      </w:r>
      <w:r w:rsidR="006F0E88" w:rsidRPr="00DD57F1">
        <w:rPr>
          <w:rStyle w:val="EndnoteReference"/>
          <w:rFonts w:ascii="Times New Roman" w:hAnsi="Times New Roman" w:cs="Times New Roman"/>
          <w:sz w:val="24"/>
          <w:szCs w:val="24"/>
        </w:rPr>
        <w:endnoteReference w:id="17"/>
      </w:r>
      <w:r w:rsidR="00A44A38" w:rsidRPr="00DD57F1">
        <w:rPr>
          <w:rFonts w:ascii="Times New Roman" w:hAnsi="Times New Roman" w:cs="Times New Roman"/>
          <w:sz w:val="24"/>
          <w:szCs w:val="24"/>
        </w:rPr>
        <w:t>.</w:t>
      </w:r>
    </w:p>
    <w:p w14:paraId="473E689B" w14:textId="77777777" w:rsidR="00A00E61" w:rsidRPr="00DD57F1" w:rsidRDefault="00A00E61" w:rsidP="0062502F">
      <w:pPr>
        <w:pStyle w:val="ListParagraph"/>
        <w:spacing w:after="240" w:line="300" w:lineRule="auto"/>
        <w:ind w:left="567"/>
        <w:jc w:val="both"/>
        <w:rPr>
          <w:rFonts w:ascii="Times New Roman" w:hAnsi="Times New Roman" w:cs="Times New Roman"/>
          <w:sz w:val="24"/>
          <w:szCs w:val="24"/>
        </w:rPr>
      </w:pPr>
    </w:p>
    <w:p w14:paraId="4FCD2745" w14:textId="6B767B8D" w:rsidR="002564A8" w:rsidRPr="00DD57F1" w:rsidRDefault="00011D87" w:rsidP="00011D87">
      <w:pPr>
        <w:pStyle w:val="ListParagraph"/>
        <w:spacing w:after="240" w:line="300" w:lineRule="auto"/>
        <w:ind w:left="1134"/>
        <w:jc w:val="both"/>
        <w:rPr>
          <w:rFonts w:ascii="Times New Roman" w:hAnsi="Times New Roman" w:cs="Times New Roman"/>
          <w:sz w:val="24"/>
          <w:szCs w:val="24"/>
        </w:rPr>
      </w:pPr>
      <w:r w:rsidRPr="00DD57F1">
        <w:rPr>
          <w:rFonts w:ascii="Times New Roman" w:hAnsi="Times New Roman" w:cs="Times New Roman"/>
          <w:sz w:val="24"/>
          <w:szCs w:val="24"/>
        </w:rPr>
        <w:t>F</w:t>
      </w:r>
      <w:r w:rsidR="00C672C9" w:rsidRPr="00DD57F1">
        <w:rPr>
          <w:rFonts w:ascii="Times New Roman" w:hAnsi="Times New Roman" w:cs="Times New Roman"/>
          <w:sz w:val="24"/>
          <w:szCs w:val="24"/>
        </w:rPr>
        <w:t>unding charges</w:t>
      </w:r>
      <w:r w:rsidRPr="00DD57F1">
        <w:rPr>
          <w:rFonts w:ascii="Times New Roman" w:hAnsi="Times New Roman" w:cs="Times New Roman"/>
          <w:sz w:val="24"/>
          <w:szCs w:val="24"/>
        </w:rPr>
        <w:t xml:space="preserve"> may also be reduced </w:t>
      </w:r>
      <w:r w:rsidR="00C672C9" w:rsidRPr="00DD57F1">
        <w:rPr>
          <w:rFonts w:ascii="Times New Roman" w:hAnsi="Times New Roman" w:cs="Times New Roman"/>
          <w:sz w:val="24"/>
          <w:szCs w:val="24"/>
        </w:rPr>
        <w:t>through common fund</w:t>
      </w:r>
      <w:r w:rsidR="00AE7C8D" w:rsidRPr="00DD57F1">
        <w:rPr>
          <w:rFonts w:ascii="Times New Roman" w:hAnsi="Times New Roman" w:cs="Times New Roman"/>
          <w:sz w:val="24"/>
          <w:szCs w:val="24"/>
        </w:rPr>
        <w:t xml:space="preserve"> orders</w:t>
      </w:r>
      <w:r w:rsidRPr="00DD57F1">
        <w:rPr>
          <w:rFonts w:ascii="Times New Roman" w:hAnsi="Times New Roman" w:cs="Times New Roman"/>
          <w:sz w:val="24"/>
          <w:szCs w:val="24"/>
        </w:rPr>
        <w:t xml:space="preserve"> which require court approval of the funding rate.</w:t>
      </w:r>
      <w:r w:rsidR="00992D00" w:rsidRPr="00DD57F1">
        <w:rPr>
          <w:rFonts w:ascii="Times New Roman" w:hAnsi="Times New Roman" w:cs="Times New Roman"/>
          <w:sz w:val="24"/>
          <w:szCs w:val="24"/>
        </w:rPr>
        <w:t xml:space="preserve"> </w:t>
      </w:r>
      <w:r w:rsidR="00AC1A48" w:rsidRPr="00DD57F1">
        <w:rPr>
          <w:rFonts w:ascii="Times New Roman" w:hAnsi="Times New Roman" w:cs="Times New Roman"/>
          <w:sz w:val="24"/>
          <w:szCs w:val="24"/>
        </w:rPr>
        <w:t xml:space="preserve"> </w:t>
      </w:r>
      <w:r w:rsidRPr="00DD57F1">
        <w:rPr>
          <w:rFonts w:ascii="Times New Roman" w:hAnsi="Times New Roman" w:cs="Times New Roman"/>
          <w:sz w:val="24"/>
          <w:szCs w:val="24"/>
        </w:rPr>
        <w:t xml:space="preserve">In </w:t>
      </w:r>
      <w:r w:rsidRPr="00DD57F1">
        <w:rPr>
          <w:rFonts w:ascii="Times New Roman" w:hAnsi="Times New Roman" w:cs="Times New Roman"/>
          <w:i/>
          <w:sz w:val="24"/>
          <w:szCs w:val="24"/>
        </w:rPr>
        <w:t>Money Max</w:t>
      </w:r>
      <w:r w:rsidRPr="00DD57F1">
        <w:rPr>
          <w:rFonts w:ascii="Times New Roman" w:hAnsi="Times New Roman" w:cs="Times New Roman"/>
          <w:sz w:val="24"/>
          <w:szCs w:val="24"/>
        </w:rPr>
        <w:t xml:space="preserve"> this led to a reduction in the funding rate from 32.5% </w:t>
      </w:r>
      <w:r w:rsidR="00447380">
        <w:rPr>
          <w:rFonts w:ascii="Times New Roman" w:hAnsi="Times New Roman" w:cs="Times New Roman"/>
          <w:sz w:val="24"/>
          <w:szCs w:val="24"/>
        </w:rPr>
        <w:t>-</w:t>
      </w:r>
      <w:r w:rsidRPr="00DD57F1">
        <w:rPr>
          <w:rFonts w:ascii="Times New Roman" w:hAnsi="Times New Roman" w:cs="Times New Roman"/>
          <w:sz w:val="24"/>
          <w:szCs w:val="24"/>
        </w:rPr>
        <w:t xml:space="preserve"> 35% </w:t>
      </w:r>
      <w:r w:rsidR="00447380">
        <w:rPr>
          <w:rFonts w:ascii="Times New Roman" w:hAnsi="Times New Roman" w:cs="Times New Roman"/>
          <w:sz w:val="24"/>
          <w:szCs w:val="24"/>
        </w:rPr>
        <w:t xml:space="preserve">down </w:t>
      </w:r>
      <w:r w:rsidRPr="00DD57F1">
        <w:rPr>
          <w:rFonts w:ascii="Times New Roman" w:hAnsi="Times New Roman" w:cs="Times New Roman"/>
          <w:sz w:val="24"/>
          <w:szCs w:val="24"/>
        </w:rPr>
        <w:t>to 23.2%,</w:t>
      </w:r>
      <w:r w:rsidR="00447380">
        <w:rPr>
          <w:rFonts w:ascii="Times New Roman" w:hAnsi="Times New Roman" w:cs="Times New Roman"/>
          <w:sz w:val="24"/>
          <w:szCs w:val="24"/>
        </w:rPr>
        <w:t xml:space="preserve"> such </w:t>
      </w:r>
      <w:r w:rsidRPr="00DD57F1">
        <w:rPr>
          <w:rFonts w:ascii="Times New Roman" w:hAnsi="Times New Roman" w:cs="Times New Roman"/>
          <w:sz w:val="24"/>
          <w:szCs w:val="24"/>
        </w:rPr>
        <w:t>that upon settlement class members were between $12.3 and $15.6 million better off.</w:t>
      </w:r>
      <w:r w:rsidRPr="00DD57F1">
        <w:rPr>
          <w:rStyle w:val="EndnoteReference"/>
          <w:rFonts w:ascii="Times New Roman" w:hAnsi="Times New Roman" w:cs="Times New Roman"/>
          <w:sz w:val="24"/>
          <w:szCs w:val="24"/>
        </w:rPr>
        <w:endnoteReference w:id="18"/>
      </w:r>
      <w:r w:rsidRPr="00DD57F1">
        <w:rPr>
          <w:rFonts w:ascii="Times New Roman" w:hAnsi="Times New Roman" w:cs="Times New Roman"/>
          <w:sz w:val="24"/>
          <w:szCs w:val="24"/>
        </w:rPr>
        <w:t xml:space="preserve">  T</w:t>
      </w:r>
      <w:r w:rsidR="00AC1A48" w:rsidRPr="00DD57F1">
        <w:rPr>
          <w:rFonts w:ascii="Times New Roman" w:hAnsi="Times New Roman" w:cs="Times New Roman"/>
          <w:sz w:val="24"/>
          <w:szCs w:val="24"/>
        </w:rPr>
        <w:t xml:space="preserve">he tender process </w:t>
      </w:r>
      <w:r w:rsidR="006F0E88" w:rsidRPr="00DD57F1">
        <w:rPr>
          <w:rFonts w:ascii="Times New Roman" w:hAnsi="Times New Roman" w:cs="Times New Roman"/>
          <w:sz w:val="24"/>
          <w:szCs w:val="24"/>
        </w:rPr>
        <w:t xml:space="preserve">in </w:t>
      </w:r>
      <w:r w:rsidR="002564A8" w:rsidRPr="00DD57F1">
        <w:rPr>
          <w:rFonts w:ascii="Times New Roman" w:hAnsi="Times New Roman" w:cs="Times New Roman"/>
          <w:i/>
          <w:sz w:val="24"/>
          <w:szCs w:val="24"/>
        </w:rPr>
        <w:t>GetSwift</w:t>
      </w:r>
      <w:r w:rsidRPr="00DD57F1">
        <w:rPr>
          <w:rFonts w:ascii="Times New Roman" w:hAnsi="Times New Roman" w:cs="Times New Roman"/>
          <w:sz w:val="24"/>
          <w:szCs w:val="24"/>
        </w:rPr>
        <w:t xml:space="preserve"> also </w:t>
      </w:r>
      <w:r w:rsidR="002564A8" w:rsidRPr="00DD57F1">
        <w:rPr>
          <w:rFonts w:ascii="Times New Roman" w:hAnsi="Times New Roman" w:cs="Times New Roman"/>
          <w:sz w:val="24"/>
          <w:szCs w:val="24"/>
        </w:rPr>
        <w:t>resulted in a</w:t>
      </w:r>
      <w:r w:rsidR="006F0E88" w:rsidRPr="00DD57F1">
        <w:rPr>
          <w:rFonts w:ascii="Times New Roman" w:hAnsi="Times New Roman" w:cs="Times New Roman"/>
          <w:sz w:val="24"/>
          <w:szCs w:val="24"/>
        </w:rPr>
        <w:t xml:space="preserve"> significant </w:t>
      </w:r>
      <w:r w:rsidR="002564A8" w:rsidRPr="00DD57F1">
        <w:rPr>
          <w:rFonts w:ascii="Times New Roman" w:hAnsi="Times New Roman" w:cs="Times New Roman"/>
          <w:sz w:val="24"/>
          <w:szCs w:val="24"/>
        </w:rPr>
        <w:t>reduction in the funding rates offered to class members.</w:t>
      </w:r>
    </w:p>
    <w:p w14:paraId="28C3BAA9" w14:textId="77777777" w:rsidR="00C672C9" w:rsidRPr="00DD57F1" w:rsidRDefault="00C672C9" w:rsidP="00C672C9">
      <w:pPr>
        <w:pStyle w:val="ListParagraph"/>
        <w:spacing w:after="240" w:line="300" w:lineRule="auto"/>
        <w:ind w:left="567"/>
        <w:jc w:val="both"/>
        <w:rPr>
          <w:rFonts w:ascii="Times New Roman" w:hAnsi="Times New Roman" w:cs="Times New Roman"/>
          <w:sz w:val="24"/>
          <w:szCs w:val="24"/>
        </w:rPr>
      </w:pPr>
    </w:p>
    <w:p w14:paraId="6CF684F0" w14:textId="3A36009F" w:rsidR="00221D9E" w:rsidRPr="00DD57F1" w:rsidRDefault="002A5482" w:rsidP="00447380">
      <w:pPr>
        <w:pStyle w:val="ListParagraph"/>
        <w:numPr>
          <w:ilvl w:val="0"/>
          <w:numId w:val="28"/>
        </w:numPr>
        <w:spacing w:after="240" w:line="300" w:lineRule="auto"/>
        <w:ind w:left="1134" w:hanging="567"/>
        <w:jc w:val="both"/>
        <w:rPr>
          <w:rFonts w:ascii="Times New Roman" w:hAnsi="Times New Roman" w:cs="Times New Roman"/>
          <w:sz w:val="24"/>
          <w:szCs w:val="24"/>
        </w:rPr>
      </w:pPr>
      <w:r>
        <w:rPr>
          <w:rFonts w:ascii="Times New Roman" w:hAnsi="Times New Roman" w:cs="Times New Roman"/>
          <w:i/>
          <w:sz w:val="24"/>
          <w:szCs w:val="24"/>
        </w:rPr>
        <w:t>L</w:t>
      </w:r>
      <w:r w:rsidR="00221D9E" w:rsidRPr="00DD57F1">
        <w:rPr>
          <w:rFonts w:ascii="Times New Roman" w:hAnsi="Times New Roman" w:cs="Times New Roman"/>
          <w:i/>
          <w:sz w:val="24"/>
          <w:szCs w:val="24"/>
        </w:rPr>
        <w:t>egal costs</w:t>
      </w:r>
    </w:p>
    <w:p w14:paraId="4856D3F0" w14:textId="77777777" w:rsidR="00221D9E" w:rsidRPr="00DD57F1" w:rsidRDefault="00221D9E" w:rsidP="00221D9E">
      <w:pPr>
        <w:pStyle w:val="ListParagraph"/>
        <w:spacing w:after="240" w:line="300" w:lineRule="auto"/>
        <w:ind w:left="567"/>
        <w:jc w:val="both"/>
        <w:rPr>
          <w:rFonts w:ascii="Times New Roman" w:hAnsi="Times New Roman" w:cs="Times New Roman"/>
          <w:sz w:val="24"/>
          <w:szCs w:val="24"/>
          <w:u w:val="single"/>
        </w:rPr>
      </w:pPr>
    </w:p>
    <w:p w14:paraId="460D75A1" w14:textId="61082C52" w:rsidR="00221D9E" w:rsidRPr="00DD57F1" w:rsidRDefault="00221D9E" w:rsidP="00011D87">
      <w:pPr>
        <w:pStyle w:val="ListParagraph"/>
        <w:spacing w:after="240" w:line="300" w:lineRule="auto"/>
        <w:ind w:left="1134"/>
        <w:jc w:val="both"/>
        <w:rPr>
          <w:rFonts w:ascii="Times New Roman" w:hAnsi="Times New Roman" w:cs="Times New Roman"/>
          <w:sz w:val="24"/>
          <w:szCs w:val="24"/>
        </w:rPr>
      </w:pPr>
      <w:r w:rsidRPr="00DD57F1">
        <w:rPr>
          <w:rFonts w:ascii="Times New Roman" w:hAnsi="Times New Roman" w:cs="Times New Roman"/>
          <w:sz w:val="24"/>
          <w:szCs w:val="24"/>
        </w:rPr>
        <w:t xml:space="preserve">The </w:t>
      </w:r>
      <w:r w:rsidR="006F0E88" w:rsidRPr="00DD57F1">
        <w:rPr>
          <w:rFonts w:ascii="Times New Roman" w:hAnsi="Times New Roman" w:cs="Times New Roman"/>
          <w:sz w:val="24"/>
          <w:szCs w:val="24"/>
        </w:rPr>
        <w:t>c</w:t>
      </w:r>
      <w:r w:rsidR="00EB7897" w:rsidRPr="00DD57F1">
        <w:rPr>
          <w:rFonts w:ascii="Times New Roman" w:hAnsi="Times New Roman" w:cs="Times New Roman"/>
          <w:sz w:val="24"/>
          <w:szCs w:val="24"/>
        </w:rPr>
        <w:t xml:space="preserve">ourt </w:t>
      </w:r>
      <w:r w:rsidRPr="00DD57F1">
        <w:rPr>
          <w:rFonts w:ascii="Times New Roman" w:hAnsi="Times New Roman" w:cs="Times New Roman"/>
          <w:sz w:val="24"/>
          <w:szCs w:val="24"/>
        </w:rPr>
        <w:t>scrutiny of the legal costs charged or proposed to be charged to class members has increased significantly over the last</w:t>
      </w:r>
      <w:r w:rsidR="00FA7558" w:rsidRPr="00DD57F1">
        <w:rPr>
          <w:rFonts w:ascii="Times New Roman" w:hAnsi="Times New Roman" w:cs="Times New Roman"/>
          <w:sz w:val="24"/>
          <w:szCs w:val="24"/>
        </w:rPr>
        <w:t xml:space="preserve"> five years</w:t>
      </w:r>
      <w:r w:rsidR="00011D87" w:rsidRPr="00DD57F1">
        <w:rPr>
          <w:rFonts w:ascii="Times New Roman" w:hAnsi="Times New Roman" w:cs="Times New Roman"/>
          <w:sz w:val="24"/>
          <w:szCs w:val="24"/>
        </w:rPr>
        <w:t xml:space="preserve">.  The </w:t>
      </w:r>
      <w:r w:rsidR="00FA7558" w:rsidRPr="00DD57F1">
        <w:rPr>
          <w:rFonts w:ascii="Times New Roman" w:hAnsi="Times New Roman" w:cs="Times New Roman"/>
          <w:sz w:val="24"/>
          <w:szCs w:val="24"/>
        </w:rPr>
        <w:t>methods</w:t>
      </w:r>
      <w:r w:rsidR="00011D87" w:rsidRPr="00DD57F1">
        <w:rPr>
          <w:rFonts w:ascii="Times New Roman" w:hAnsi="Times New Roman" w:cs="Times New Roman"/>
          <w:sz w:val="24"/>
          <w:szCs w:val="24"/>
        </w:rPr>
        <w:t xml:space="preserve"> of scrutiny </w:t>
      </w:r>
      <w:r w:rsidR="00FA7558" w:rsidRPr="00DD57F1">
        <w:rPr>
          <w:rFonts w:ascii="Times New Roman" w:hAnsi="Times New Roman" w:cs="Times New Roman"/>
          <w:sz w:val="24"/>
          <w:szCs w:val="24"/>
        </w:rPr>
        <w:t>include</w:t>
      </w:r>
      <w:r w:rsidRPr="00DD57F1">
        <w:rPr>
          <w:rFonts w:ascii="Times New Roman" w:hAnsi="Times New Roman" w:cs="Times New Roman"/>
          <w:sz w:val="24"/>
          <w:szCs w:val="24"/>
        </w:rPr>
        <w:t xml:space="preserve">: </w:t>
      </w:r>
    </w:p>
    <w:p w14:paraId="0D667A5B" w14:textId="77777777" w:rsidR="00FA7558" w:rsidRPr="00DD57F1" w:rsidRDefault="00FA7558" w:rsidP="00011D87">
      <w:pPr>
        <w:pStyle w:val="ListParagraph"/>
        <w:spacing w:after="240" w:line="300" w:lineRule="auto"/>
        <w:ind w:left="1701" w:hanging="567"/>
        <w:jc w:val="both"/>
        <w:rPr>
          <w:rFonts w:ascii="Times New Roman" w:hAnsi="Times New Roman" w:cs="Times New Roman"/>
          <w:sz w:val="24"/>
          <w:szCs w:val="24"/>
        </w:rPr>
      </w:pPr>
    </w:p>
    <w:p w14:paraId="14E3319C" w14:textId="07AB4B23" w:rsidR="00221D9E" w:rsidRPr="00DD57F1" w:rsidRDefault="00EB7897" w:rsidP="00011D87">
      <w:pPr>
        <w:pStyle w:val="ListParagraph"/>
        <w:numPr>
          <w:ilvl w:val="0"/>
          <w:numId w:val="25"/>
        </w:numPr>
        <w:spacing w:after="240" w:line="300" w:lineRule="auto"/>
        <w:ind w:left="1701" w:hanging="567"/>
        <w:jc w:val="both"/>
        <w:rPr>
          <w:rFonts w:ascii="Times New Roman" w:hAnsi="Times New Roman" w:cs="Times New Roman"/>
          <w:sz w:val="24"/>
          <w:szCs w:val="24"/>
        </w:rPr>
      </w:pPr>
      <w:r w:rsidRPr="00DD57F1">
        <w:rPr>
          <w:rFonts w:ascii="Times New Roman" w:hAnsi="Times New Roman" w:cs="Times New Roman"/>
          <w:sz w:val="24"/>
          <w:szCs w:val="24"/>
        </w:rPr>
        <w:t>appointing</w:t>
      </w:r>
      <w:r w:rsidR="00221D9E" w:rsidRPr="00DD57F1">
        <w:rPr>
          <w:rFonts w:ascii="Times New Roman" w:hAnsi="Times New Roman" w:cs="Times New Roman"/>
          <w:sz w:val="24"/>
          <w:szCs w:val="24"/>
        </w:rPr>
        <w:t xml:space="preserve"> </w:t>
      </w:r>
      <w:r w:rsidR="00FA7558" w:rsidRPr="00DD57F1">
        <w:rPr>
          <w:rFonts w:ascii="Times New Roman" w:hAnsi="Times New Roman" w:cs="Times New Roman"/>
          <w:sz w:val="24"/>
          <w:szCs w:val="24"/>
        </w:rPr>
        <w:t xml:space="preserve">a </w:t>
      </w:r>
      <w:r w:rsidR="00221D9E" w:rsidRPr="00DD57F1">
        <w:rPr>
          <w:rFonts w:ascii="Times New Roman" w:hAnsi="Times New Roman" w:cs="Times New Roman"/>
          <w:sz w:val="24"/>
          <w:szCs w:val="24"/>
        </w:rPr>
        <w:t>contradictor to represent class members</w:t>
      </w:r>
      <w:r w:rsidR="004E434A" w:rsidRPr="00DD57F1">
        <w:rPr>
          <w:rFonts w:ascii="Times New Roman" w:hAnsi="Times New Roman" w:cs="Times New Roman"/>
          <w:sz w:val="24"/>
          <w:szCs w:val="24"/>
        </w:rPr>
        <w:t>’</w:t>
      </w:r>
      <w:r w:rsidR="00FA7558" w:rsidRPr="00DD57F1">
        <w:rPr>
          <w:rFonts w:ascii="Times New Roman" w:hAnsi="Times New Roman" w:cs="Times New Roman"/>
          <w:sz w:val="24"/>
          <w:szCs w:val="24"/>
        </w:rPr>
        <w:t xml:space="preserve"> interests in relation to costs</w:t>
      </w:r>
      <w:r w:rsidR="00221D9E" w:rsidRPr="00DD57F1">
        <w:rPr>
          <w:rFonts w:ascii="Times New Roman" w:hAnsi="Times New Roman" w:cs="Times New Roman"/>
          <w:sz w:val="24"/>
          <w:szCs w:val="24"/>
        </w:rPr>
        <w:t>;</w:t>
      </w:r>
      <w:r w:rsidR="00221D9E" w:rsidRPr="00DD57F1">
        <w:rPr>
          <w:rStyle w:val="EndnoteReference"/>
          <w:rFonts w:ascii="Times New Roman" w:hAnsi="Times New Roman" w:cs="Times New Roman"/>
          <w:sz w:val="24"/>
          <w:szCs w:val="24"/>
        </w:rPr>
        <w:endnoteReference w:id="19"/>
      </w:r>
    </w:p>
    <w:p w14:paraId="6AF2DA7A" w14:textId="77777777" w:rsidR="00FA7558" w:rsidRPr="00DD57F1" w:rsidRDefault="00FA7558" w:rsidP="00011D87">
      <w:pPr>
        <w:pStyle w:val="ListParagraph"/>
        <w:ind w:left="1701" w:hanging="567"/>
        <w:rPr>
          <w:rFonts w:ascii="Times New Roman" w:hAnsi="Times New Roman" w:cs="Times New Roman"/>
          <w:sz w:val="24"/>
          <w:szCs w:val="24"/>
        </w:rPr>
      </w:pPr>
    </w:p>
    <w:p w14:paraId="01B46BFE" w14:textId="1BB06897" w:rsidR="00221D9E" w:rsidRPr="00DD57F1" w:rsidRDefault="00EB7897" w:rsidP="00011D87">
      <w:pPr>
        <w:pStyle w:val="ListParagraph"/>
        <w:numPr>
          <w:ilvl w:val="0"/>
          <w:numId w:val="25"/>
        </w:numPr>
        <w:spacing w:after="240" w:line="300" w:lineRule="auto"/>
        <w:ind w:left="1701" w:hanging="567"/>
        <w:jc w:val="both"/>
        <w:rPr>
          <w:rFonts w:ascii="Times New Roman" w:hAnsi="Times New Roman" w:cs="Times New Roman"/>
          <w:sz w:val="24"/>
          <w:szCs w:val="24"/>
        </w:rPr>
      </w:pPr>
      <w:r w:rsidRPr="00DD57F1">
        <w:rPr>
          <w:rFonts w:ascii="Times New Roman" w:hAnsi="Times New Roman" w:cs="Times New Roman"/>
          <w:sz w:val="24"/>
          <w:szCs w:val="24"/>
        </w:rPr>
        <w:t xml:space="preserve">referring costs to a Registrar, </w:t>
      </w:r>
      <w:r w:rsidR="00221D9E" w:rsidRPr="00DD57F1">
        <w:rPr>
          <w:rFonts w:ascii="Times New Roman" w:hAnsi="Times New Roman" w:cs="Times New Roman"/>
          <w:sz w:val="24"/>
          <w:szCs w:val="24"/>
        </w:rPr>
        <w:t>costs</w:t>
      </w:r>
      <w:r w:rsidR="00FA7558" w:rsidRPr="00DD57F1">
        <w:rPr>
          <w:rFonts w:ascii="Times New Roman" w:hAnsi="Times New Roman" w:cs="Times New Roman"/>
          <w:sz w:val="24"/>
          <w:szCs w:val="24"/>
        </w:rPr>
        <w:t xml:space="preserve"> referee </w:t>
      </w:r>
      <w:r w:rsidR="00090824" w:rsidRPr="00DD57F1">
        <w:rPr>
          <w:rFonts w:ascii="Times New Roman" w:hAnsi="Times New Roman" w:cs="Times New Roman"/>
          <w:sz w:val="24"/>
          <w:szCs w:val="24"/>
        </w:rPr>
        <w:t xml:space="preserve">or a court-appointed expert </w:t>
      </w:r>
      <w:r w:rsidR="00FA7558" w:rsidRPr="00DD57F1">
        <w:rPr>
          <w:rFonts w:ascii="Times New Roman" w:hAnsi="Times New Roman" w:cs="Times New Roman"/>
          <w:sz w:val="24"/>
          <w:szCs w:val="24"/>
        </w:rPr>
        <w:t xml:space="preserve">rather than rely on the report of </w:t>
      </w:r>
      <w:r w:rsidR="00BA31BB">
        <w:rPr>
          <w:rFonts w:ascii="Times New Roman" w:hAnsi="Times New Roman" w:cs="Times New Roman"/>
          <w:sz w:val="24"/>
          <w:szCs w:val="24"/>
        </w:rPr>
        <w:t xml:space="preserve">the </w:t>
      </w:r>
      <w:r w:rsidRPr="00DD57F1">
        <w:rPr>
          <w:rFonts w:ascii="Times New Roman" w:hAnsi="Times New Roman" w:cs="Times New Roman"/>
          <w:sz w:val="24"/>
          <w:szCs w:val="24"/>
        </w:rPr>
        <w:t xml:space="preserve">applicant’s </w:t>
      </w:r>
      <w:r w:rsidR="00FA7558" w:rsidRPr="00DD57F1">
        <w:rPr>
          <w:rFonts w:ascii="Times New Roman" w:hAnsi="Times New Roman" w:cs="Times New Roman"/>
          <w:sz w:val="24"/>
          <w:szCs w:val="24"/>
        </w:rPr>
        <w:t>costs expert</w:t>
      </w:r>
      <w:r w:rsidR="00992D00" w:rsidRPr="00DD57F1">
        <w:rPr>
          <w:rFonts w:ascii="Times New Roman" w:hAnsi="Times New Roman" w:cs="Times New Roman"/>
          <w:sz w:val="24"/>
          <w:szCs w:val="24"/>
        </w:rPr>
        <w:t>;</w:t>
      </w:r>
      <w:r w:rsidR="00090824" w:rsidRPr="00DD57F1">
        <w:rPr>
          <w:rStyle w:val="EndnoteReference"/>
          <w:rFonts w:ascii="Times New Roman" w:hAnsi="Times New Roman" w:cs="Times New Roman"/>
          <w:sz w:val="24"/>
          <w:szCs w:val="24"/>
        </w:rPr>
        <w:endnoteReference w:id="20"/>
      </w:r>
    </w:p>
    <w:p w14:paraId="019F9185" w14:textId="77777777" w:rsidR="00090824" w:rsidRPr="00DD57F1" w:rsidRDefault="00090824" w:rsidP="00011D87">
      <w:pPr>
        <w:pStyle w:val="ListParagraph"/>
        <w:ind w:left="1701" w:hanging="567"/>
        <w:rPr>
          <w:rFonts w:ascii="Times New Roman" w:hAnsi="Times New Roman" w:cs="Times New Roman"/>
          <w:sz w:val="24"/>
          <w:szCs w:val="24"/>
        </w:rPr>
      </w:pPr>
    </w:p>
    <w:p w14:paraId="619E4F2B" w14:textId="566C9873" w:rsidR="00221D9E" w:rsidRPr="00DD57F1" w:rsidRDefault="00EB7897" w:rsidP="00011D87">
      <w:pPr>
        <w:pStyle w:val="ListParagraph"/>
        <w:numPr>
          <w:ilvl w:val="0"/>
          <w:numId w:val="25"/>
        </w:numPr>
        <w:spacing w:after="240" w:line="300" w:lineRule="auto"/>
        <w:ind w:left="1701" w:hanging="567"/>
        <w:jc w:val="both"/>
        <w:rPr>
          <w:rFonts w:ascii="Times New Roman" w:hAnsi="Times New Roman" w:cs="Times New Roman"/>
          <w:sz w:val="24"/>
          <w:szCs w:val="24"/>
        </w:rPr>
      </w:pPr>
      <w:r w:rsidRPr="00DD57F1">
        <w:rPr>
          <w:rFonts w:ascii="Times New Roman" w:hAnsi="Times New Roman" w:cs="Times New Roman"/>
          <w:sz w:val="24"/>
          <w:szCs w:val="24"/>
        </w:rPr>
        <w:t>auditing</w:t>
      </w:r>
      <w:r w:rsidR="00221D9E" w:rsidRPr="00DD57F1">
        <w:rPr>
          <w:rFonts w:ascii="Times New Roman" w:hAnsi="Times New Roman" w:cs="Times New Roman"/>
          <w:sz w:val="24"/>
          <w:szCs w:val="24"/>
        </w:rPr>
        <w:t xml:space="preserve"> the report of the</w:t>
      </w:r>
      <w:r w:rsidRPr="00DD57F1">
        <w:rPr>
          <w:rFonts w:ascii="Times New Roman" w:hAnsi="Times New Roman" w:cs="Times New Roman"/>
          <w:sz w:val="24"/>
          <w:szCs w:val="24"/>
        </w:rPr>
        <w:t xml:space="preserve"> applicant’s</w:t>
      </w:r>
      <w:r w:rsidR="00221D9E" w:rsidRPr="00DD57F1">
        <w:rPr>
          <w:rFonts w:ascii="Times New Roman" w:hAnsi="Times New Roman" w:cs="Times New Roman"/>
          <w:sz w:val="24"/>
          <w:szCs w:val="24"/>
        </w:rPr>
        <w:t xml:space="preserve"> </w:t>
      </w:r>
      <w:r w:rsidR="00090824" w:rsidRPr="00DD57F1">
        <w:rPr>
          <w:rFonts w:ascii="Times New Roman" w:hAnsi="Times New Roman" w:cs="Times New Roman"/>
          <w:sz w:val="24"/>
          <w:szCs w:val="24"/>
        </w:rPr>
        <w:t>costs expert</w:t>
      </w:r>
      <w:r w:rsidR="00992D00" w:rsidRPr="00DD57F1">
        <w:rPr>
          <w:rFonts w:ascii="Times New Roman" w:hAnsi="Times New Roman" w:cs="Times New Roman"/>
          <w:sz w:val="24"/>
          <w:szCs w:val="24"/>
        </w:rPr>
        <w:t>;</w:t>
      </w:r>
      <w:r w:rsidR="00090824" w:rsidRPr="00DD57F1">
        <w:rPr>
          <w:rStyle w:val="EndnoteReference"/>
          <w:rFonts w:ascii="Times New Roman" w:hAnsi="Times New Roman" w:cs="Times New Roman"/>
          <w:sz w:val="24"/>
          <w:szCs w:val="24"/>
        </w:rPr>
        <w:endnoteReference w:id="21"/>
      </w:r>
    </w:p>
    <w:p w14:paraId="115009C6" w14:textId="77777777" w:rsidR="00090824" w:rsidRPr="00DD57F1" w:rsidRDefault="00090824" w:rsidP="00011D87">
      <w:pPr>
        <w:pStyle w:val="ListParagraph"/>
        <w:ind w:left="1701" w:hanging="567"/>
        <w:rPr>
          <w:rFonts w:ascii="Times New Roman" w:hAnsi="Times New Roman" w:cs="Times New Roman"/>
          <w:sz w:val="24"/>
          <w:szCs w:val="24"/>
        </w:rPr>
      </w:pPr>
    </w:p>
    <w:p w14:paraId="4693998A" w14:textId="04722517" w:rsidR="00090824" w:rsidRPr="00DD57F1" w:rsidRDefault="00090824" w:rsidP="00011D87">
      <w:pPr>
        <w:pStyle w:val="ListParagraph"/>
        <w:numPr>
          <w:ilvl w:val="0"/>
          <w:numId w:val="25"/>
        </w:numPr>
        <w:spacing w:after="240" w:line="300" w:lineRule="auto"/>
        <w:ind w:left="1701" w:hanging="567"/>
        <w:jc w:val="both"/>
        <w:rPr>
          <w:rFonts w:ascii="Times New Roman" w:hAnsi="Times New Roman" w:cs="Times New Roman"/>
          <w:sz w:val="24"/>
          <w:szCs w:val="24"/>
        </w:rPr>
      </w:pPr>
      <w:r w:rsidRPr="00DD57F1">
        <w:rPr>
          <w:rFonts w:ascii="Times New Roman" w:hAnsi="Times New Roman" w:cs="Times New Roman"/>
          <w:sz w:val="24"/>
          <w:szCs w:val="24"/>
        </w:rPr>
        <w:t xml:space="preserve">expressly considering </w:t>
      </w:r>
      <w:r w:rsidR="00447380">
        <w:rPr>
          <w:rFonts w:ascii="Times New Roman" w:hAnsi="Times New Roman" w:cs="Times New Roman"/>
          <w:sz w:val="24"/>
          <w:szCs w:val="24"/>
        </w:rPr>
        <w:t xml:space="preserve">the </w:t>
      </w:r>
      <w:r w:rsidR="002564A8" w:rsidRPr="00DD57F1">
        <w:rPr>
          <w:rFonts w:ascii="Times New Roman" w:hAnsi="Times New Roman" w:cs="Times New Roman"/>
          <w:sz w:val="24"/>
          <w:szCs w:val="24"/>
        </w:rPr>
        <w:t>proportionality of costs</w:t>
      </w:r>
      <w:r w:rsidR="00992D00" w:rsidRPr="00DD57F1">
        <w:rPr>
          <w:rFonts w:ascii="Times New Roman" w:hAnsi="Times New Roman" w:cs="Times New Roman"/>
          <w:sz w:val="24"/>
          <w:szCs w:val="24"/>
        </w:rPr>
        <w:t>;</w:t>
      </w:r>
      <w:r w:rsidRPr="00DD57F1">
        <w:rPr>
          <w:rStyle w:val="EndnoteReference"/>
          <w:rFonts w:ascii="Times New Roman" w:hAnsi="Times New Roman" w:cs="Times New Roman"/>
          <w:sz w:val="24"/>
          <w:szCs w:val="24"/>
        </w:rPr>
        <w:endnoteReference w:id="22"/>
      </w:r>
    </w:p>
    <w:p w14:paraId="27762E35" w14:textId="77777777" w:rsidR="00090824" w:rsidRPr="00DD57F1" w:rsidRDefault="00090824" w:rsidP="00011D87">
      <w:pPr>
        <w:pStyle w:val="ListParagraph"/>
        <w:ind w:left="1701" w:hanging="567"/>
        <w:rPr>
          <w:rFonts w:ascii="Times New Roman" w:hAnsi="Times New Roman" w:cs="Times New Roman"/>
          <w:sz w:val="24"/>
          <w:szCs w:val="24"/>
        </w:rPr>
      </w:pPr>
    </w:p>
    <w:p w14:paraId="7BD77061" w14:textId="626E0AA4" w:rsidR="00110E4C" w:rsidRPr="00DD57F1" w:rsidRDefault="002564A8" w:rsidP="00011D87">
      <w:pPr>
        <w:pStyle w:val="ListParagraph"/>
        <w:numPr>
          <w:ilvl w:val="0"/>
          <w:numId w:val="25"/>
        </w:numPr>
        <w:spacing w:after="240" w:line="300" w:lineRule="auto"/>
        <w:ind w:left="1701" w:hanging="567"/>
        <w:jc w:val="both"/>
        <w:rPr>
          <w:rFonts w:ascii="Times New Roman" w:hAnsi="Times New Roman" w:cs="Times New Roman"/>
          <w:sz w:val="24"/>
          <w:szCs w:val="24"/>
        </w:rPr>
      </w:pPr>
      <w:r w:rsidRPr="00DD57F1">
        <w:rPr>
          <w:rFonts w:ascii="Times New Roman" w:hAnsi="Times New Roman" w:cs="Times New Roman"/>
          <w:sz w:val="24"/>
          <w:szCs w:val="24"/>
        </w:rPr>
        <w:t xml:space="preserve">appointing persons other than </w:t>
      </w:r>
      <w:r w:rsidR="00110E4C" w:rsidRPr="00DD57F1">
        <w:rPr>
          <w:rFonts w:ascii="Times New Roman" w:hAnsi="Times New Roman" w:cs="Times New Roman"/>
          <w:sz w:val="24"/>
          <w:szCs w:val="24"/>
        </w:rPr>
        <w:t xml:space="preserve">the applicant’s solicitors to undertake the settlement administration work </w:t>
      </w:r>
      <w:r w:rsidR="00992D00" w:rsidRPr="00DD57F1">
        <w:rPr>
          <w:rFonts w:ascii="Times New Roman" w:hAnsi="Times New Roman" w:cs="Times New Roman"/>
          <w:sz w:val="24"/>
          <w:szCs w:val="24"/>
        </w:rPr>
        <w:t xml:space="preserve">after </w:t>
      </w:r>
      <w:r w:rsidR="00110E4C" w:rsidRPr="00DD57F1">
        <w:rPr>
          <w:rFonts w:ascii="Times New Roman" w:hAnsi="Times New Roman" w:cs="Times New Roman"/>
          <w:sz w:val="24"/>
          <w:szCs w:val="24"/>
        </w:rPr>
        <w:t>requiring quotations or a tender process</w:t>
      </w:r>
      <w:r w:rsidR="00992D00" w:rsidRPr="00DD57F1">
        <w:rPr>
          <w:rFonts w:ascii="Times New Roman" w:hAnsi="Times New Roman" w:cs="Times New Roman"/>
          <w:sz w:val="24"/>
          <w:szCs w:val="24"/>
        </w:rPr>
        <w:t>;</w:t>
      </w:r>
      <w:r w:rsidR="00221D9E" w:rsidRPr="00DD57F1">
        <w:rPr>
          <w:rStyle w:val="EndnoteReference"/>
          <w:rFonts w:ascii="Times New Roman" w:hAnsi="Times New Roman" w:cs="Times New Roman"/>
          <w:sz w:val="24"/>
          <w:szCs w:val="24"/>
        </w:rPr>
        <w:endnoteReference w:id="23"/>
      </w:r>
      <w:r w:rsidR="00221D9E" w:rsidRPr="00DD57F1">
        <w:rPr>
          <w:rFonts w:ascii="Times New Roman" w:hAnsi="Times New Roman" w:cs="Times New Roman"/>
          <w:sz w:val="24"/>
          <w:szCs w:val="24"/>
        </w:rPr>
        <w:t xml:space="preserve"> </w:t>
      </w:r>
    </w:p>
    <w:p w14:paraId="12FF443C" w14:textId="77777777" w:rsidR="00110E4C" w:rsidRPr="00DD57F1" w:rsidRDefault="00110E4C" w:rsidP="00011D87">
      <w:pPr>
        <w:pStyle w:val="ListParagraph"/>
        <w:ind w:left="1701" w:hanging="567"/>
        <w:rPr>
          <w:rFonts w:ascii="Times New Roman" w:hAnsi="Times New Roman" w:cs="Times New Roman"/>
          <w:sz w:val="24"/>
          <w:szCs w:val="24"/>
        </w:rPr>
      </w:pPr>
    </w:p>
    <w:p w14:paraId="65E9632C" w14:textId="31623804" w:rsidR="00110E4C" w:rsidRPr="00DD57F1" w:rsidRDefault="002564A8" w:rsidP="00011D87">
      <w:pPr>
        <w:pStyle w:val="ListParagraph"/>
        <w:numPr>
          <w:ilvl w:val="0"/>
          <w:numId w:val="25"/>
        </w:numPr>
        <w:spacing w:after="240" w:line="300" w:lineRule="auto"/>
        <w:ind w:left="1701" w:hanging="567"/>
        <w:jc w:val="both"/>
        <w:rPr>
          <w:rFonts w:ascii="Times New Roman" w:hAnsi="Times New Roman" w:cs="Times New Roman"/>
          <w:sz w:val="24"/>
          <w:szCs w:val="24"/>
        </w:rPr>
      </w:pPr>
      <w:r w:rsidRPr="00DD57F1">
        <w:rPr>
          <w:rFonts w:ascii="Times New Roman" w:hAnsi="Times New Roman" w:cs="Times New Roman"/>
          <w:sz w:val="24"/>
          <w:szCs w:val="24"/>
        </w:rPr>
        <w:t>in</w:t>
      </w:r>
      <w:r w:rsidR="006F0E88" w:rsidRPr="00DD57F1">
        <w:rPr>
          <w:rFonts w:ascii="Times New Roman" w:hAnsi="Times New Roman" w:cs="Times New Roman"/>
          <w:sz w:val="24"/>
          <w:szCs w:val="24"/>
        </w:rPr>
        <w:t xml:space="preserve"> competing </w:t>
      </w:r>
      <w:r w:rsidRPr="00DD57F1">
        <w:rPr>
          <w:rFonts w:ascii="Times New Roman" w:hAnsi="Times New Roman" w:cs="Times New Roman"/>
          <w:sz w:val="24"/>
          <w:szCs w:val="24"/>
        </w:rPr>
        <w:t xml:space="preserve">class actions, conducting </w:t>
      </w:r>
      <w:r w:rsidR="006F0E88" w:rsidRPr="00DD57F1">
        <w:rPr>
          <w:rFonts w:ascii="Times New Roman" w:hAnsi="Times New Roman" w:cs="Times New Roman"/>
          <w:sz w:val="24"/>
          <w:szCs w:val="24"/>
        </w:rPr>
        <w:t xml:space="preserve">a </w:t>
      </w:r>
      <w:r w:rsidR="00110E4C" w:rsidRPr="00DD57F1">
        <w:rPr>
          <w:rFonts w:ascii="Times New Roman" w:hAnsi="Times New Roman" w:cs="Times New Roman"/>
          <w:sz w:val="24"/>
          <w:szCs w:val="24"/>
        </w:rPr>
        <w:t>tender process</w:t>
      </w:r>
      <w:r w:rsidR="00EB7897" w:rsidRPr="00DD57F1">
        <w:rPr>
          <w:rFonts w:ascii="Times New Roman" w:hAnsi="Times New Roman" w:cs="Times New Roman"/>
          <w:sz w:val="24"/>
          <w:szCs w:val="24"/>
        </w:rPr>
        <w:t xml:space="preserve">es </w:t>
      </w:r>
      <w:r w:rsidR="00110E4C" w:rsidRPr="00DD57F1">
        <w:rPr>
          <w:rFonts w:ascii="Times New Roman" w:hAnsi="Times New Roman" w:cs="Times New Roman"/>
          <w:sz w:val="24"/>
          <w:szCs w:val="24"/>
        </w:rPr>
        <w:t>that require</w:t>
      </w:r>
      <w:r w:rsidR="00992D00" w:rsidRPr="00DD57F1">
        <w:rPr>
          <w:rFonts w:ascii="Times New Roman" w:hAnsi="Times New Roman" w:cs="Times New Roman"/>
          <w:sz w:val="24"/>
          <w:szCs w:val="24"/>
        </w:rPr>
        <w:t>s</w:t>
      </w:r>
      <w:r w:rsidR="00EB7897" w:rsidRPr="00DD57F1">
        <w:rPr>
          <w:rFonts w:ascii="Times New Roman" w:hAnsi="Times New Roman" w:cs="Times New Roman"/>
          <w:sz w:val="24"/>
          <w:szCs w:val="24"/>
        </w:rPr>
        <w:t xml:space="preserve"> </w:t>
      </w:r>
      <w:r w:rsidR="00110E4C" w:rsidRPr="00DD57F1">
        <w:rPr>
          <w:rFonts w:ascii="Times New Roman" w:hAnsi="Times New Roman" w:cs="Times New Roman"/>
          <w:sz w:val="24"/>
          <w:szCs w:val="24"/>
        </w:rPr>
        <w:t xml:space="preserve">costs budgets be </w:t>
      </w:r>
      <w:r w:rsidR="00992D00" w:rsidRPr="00DD57F1">
        <w:rPr>
          <w:rFonts w:ascii="Times New Roman" w:hAnsi="Times New Roman" w:cs="Times New Roman"/>
          <w:sz w:val="24"/>
          <w:szCs w:val="24"/>
        </w:rPr>
        <w:t>provided</w:t>
      </w:r>
      <w:r w:rsidR="00110E4C" w:rsidRPr="00DD57F1">
        <w:rPr>
          <w:rFonts w:ascii="Times New Roman" w:hAnsi="Times New Roman" w:cs="Times New Roman"/>
          <w:sz w:val="24"/>
          <w:szCs w:val="24"/>
        </w:rPr>
        <w:t xml:space="preserve">.  </w:t>
      </w:r>
    </w:p>
    <w:p w14:paraId="458E83B9" w14:textId="77777777" w:rsidR="00110E4C" w:rsidRPr="00DD57F1" w:rsidRDefault="00110E4C" w:rsidP="00011D87">
      <w:pPr>
        <w:pStyle w:val="ListParagraph"/>
        <w:ind w:left="1701" w:hanging="567"/>
        <w:rPr>
          <w:rFonts w:ascii="Times New Roman" w:hAnsi="Times New Roman" w:cs="Times New Roman"/>
          <w:sz w:val="24"/>
          <w:szCs w:val="24"/>
        </w:rPr>
      </w:pPr>
    </w:p>
    <w:p w14:paraId="076029E6" w14:textId="2B8DD19A" w:rsidR="00110E4C" w:rsidRPr="00DD57F1" w:rsidRDefault="00895E2E" w:rsidP="00011D87">
      <w:pPr>
        <w:pStyle w:val="ListParagraph"/>
        <w:spacing w:after="240" w:line="300" w:lineRule="auto"/>
        <w:ind w:left="1134"/>
        <w:jc w:val="both"/>
        <w:rPr>
          <w:rFonts w:ascii="Times New Roman" w:hAnsi="Times New Roman" w:cs="Times New Roman"/>
          <w:sz w:val="24"/>
          <w:szCs w:val="24"/>
        </w:rPr>
      </w:pPr>
      <w:r w:rsidRPr="00DD57F1">
        <w:rPr>
          <w:rFonts w:ascii="Times New Roman" w:hAnsi="Times New Roman" w:cs="Times New Roman"/>
          <w:sz w:val="24"/>
          <w:szCs w:val="24"/>
        </w:rPr>
        <w:t xml:space="preserve">Some judges of the Court are also considering piloting a cost budgeting approach, modelled on </w:t>
      </w:r>
      <w:r w:rsidR="00110E4C" w:rsidRPr="00DD57F1">
        <w:rPr>
          <w:rFonts w:ascii="Times New Roman" w:hAnsi="Times New Roman" w:cs="Times New Roman"/>
          <w:sz w:val="24"/>
          <w:szCs w:val="24"/>
        </w:rPr>
        <w:t>the</w:t>
      </w:r>
      <w:r w:rsidR="00110E4C" w:rsidRPr="00DD57F1">
        <w:rPr>
          <w:rFonts w:ascii="Times New Roman" w:hAnsi="Times New Roman" w:cs="Times New Roman"/>
          <w:i/>
          <w:sz w:val="24"/>
          <w:szCs w:val="24"/>
        </w:rPr>
        <w:t xml:space="preserve"> English Civil Procedure Rules</w:t>
      </w:r>
      <w:r w:rsidR="00110E4C" w:rsidRPr="00DD57F1">
        <w:rPr>
          <w:rFonts w:ascii="Times New Roman" w:hAnsi="Times New Roman" w:cs="Times New Roman"/>
          <w:sz w:val="24"/>
          <w:szCs w:val="24"/>
        </w:rPr>
        <w:t xml:space="preserve"> Part 3 Section II Practice Direction 3E.  This would require both sides to prepare costs budgets for the different stages of the litigation</w:t>
      </w:r>
      <w:r w:rsidRPr="00DD57F1">
        <w:rPr>
          <w:rFonts w:ascii="Times New Roman" w:hAnsi="Times New Roman" w:cs="Times New Roman"/>
          <w:sz w:val="24"/>
          <w:szCs w:val="24"/>
        </w:rPr>
        <w:t xml:space="preserve">, with only </w:t>
      </w:r>
      <w:r w:rsidR="00110E4C" w:rsidRPr="00DD57F1">
        <w:rPr>
          <w:rFonts w:ascii="Times New Roman" w:hAnsi="Times New Roman" w:cs="Times New Roman"/>
          <w:sz w:val="24"/>
          <w:szCs w:val="24"/>
        </w:rPr>
        <w:t xml:space="preserve">approved budgeted costs </w:t>
      </w:r>
      <w:r w:rsidRPr="00DD57F1">
        <w:rPr>
          <w:rFonts w:ascii="Times New Roman" w:hAnsi="Times New Roman" w:cs="Times New Roman"/>
          <w:sz w:val="24"/>
          <w:szCs w:val="24"/>
        </w:rPr>
        <w:t>recoverable</w:t>
      </w:r>
      <w:r w:rsidR="00110E4C" w:rsidRPr="00DD57F1">
        <w:rPr>
          <w:rFonts w:ascii="Times New Roman" w:hAnsi="Times New Roman" w:cs="Times New Roman"/>
          <w:sz w:val="24"/>
          <w:szCs w:val="24"/>
        </w:rPr>
        <w:t xml:space="preserve"> from the other side. </w:t>
      </w:r>
      <w:r w:rsidRPr="00DD57F1">
        <w:rPr>
          <w:rFonts w:ascii="Times New Roman" w:hAnsi="Times New Roman" w:cs="Times New Roman"/>
          <w:sz w:val="24"/>
          <w:szCs w:val="24"/>
        </w:rPr>
        <w:t xml:space="preserve"> </w:t>
      </w:r>
      <w:r w:rsidR="00110E4C" w:rsidRPr="00DD57F1">
        <w:rPr>
          <w:rFonts w:ascii="Times New Roman" w:hAnsi="Times New Roman" w:cs="Times New Roman"/>
          <w:sz w:val="24"/>
          <w:szCs w:val="24"/>
        </w:rPr>
        <w:t>This would give the court greater control over expenditure of unnecessary costs</w:t>
      </w:r>
      <w:r w:rsidRPr="00DD57F1">
        <w:rPr>
          <w:rFonts w:ascii="Times New Roman" w:hAnsi="Times New Roman" w:cs="Times New Roman"/>
          <w:sz w:val="24"/>
          <w:szCs w:val="24"/>
        </w:rPr>
        <w:t xml:space="preserve">, </w:t>
      </w:r>
      <w:r w:rsidR="00110E4C" w:rsidRPr="00DD57F1">
        <w:rPr>
          <w:rFonts w:ascii="Times New Roman" w:hAnsi="Times New Roman" w:cs="Times New Roman"/>
          <w:sz w:val="24"/>
          <w:szCs w:val="24"/>
        </w:rPr>
        <w:t>should allow funders and insurers to more accurately estimate costs</w:t>
      </w:r>
      <w:r w:rsidRPr="00DD57F1">
        <w:rPr>
          <w:rFonts w:ascii="Times New Roman" w:hAnsi="Times New Roman" w:cs="Times New Roman"/>
          <w:sz w:val="24"/>
          <w:szCs w:val="24"/>
        </w:rPr>
        <w:t xml:space="preserve">, and </w:t>
      </w:r>
      <w:r w:rsidR="00110E4C" w:rsidRPr="00DD57F1">
        <w:rPr>
          <w:rFonts w:ascii="Times New Roman" w:hAnsi="Times New Roman" w:cs="Times New Roman"/>
          <w:sz w:val="24"/>
          <w:szCs w:val="24"/>
        </w:rPr>
        <w:t>would put downward pressure on both parties’ legal costs</w:t>
      </w:r>
      <w:r w:rsidR="00EB7897" w:rsidRPr="00DD57F1">
        <w:rPr>
          <w:rFonts w:ascii="Times New Roman" w:hAnsi="Times New Roman" w:cs="Times New Roman"/>
          <w:sz w:val="24"/>
          <w:szCs w:val="24"/>
        </w:rPr>
        <w:t>.</w:t>
      </w:r>
    </w:p>
    <w:p w14:paraId="0F34204B" w14:textId="77777777" w:rsidR="00110E4C" w:rsidRPr="00DD57F1" w:rsidRDefault="00110E4C" w:rsidP="00110E4C">
      <w:pPr>
        <w:pStyle w:val="ListParagraph"/>
        <w:spacing w:after="240" w:line="300" w:lineRule="auto"/>
        <w:ind w:left="567"/>
        <w:jc w:val="both"/>
        <w:rPr>
          <w:rFonts w:ascii="Times New Roman" w:hAnsi="Times New Roman" w:cs="Times New Roman"/>
          <w:sz w:val="24"/>
          <w:szCs w:val="24"/>
        </w:rPr>
      </w:pPr>
    </w:p>
    <w:p w14:paraId="28C2EEFC" w14:textId="4A4DE354" w:rsidR="009650DB" w:rsidRDefault="00D70583" w:rsidP="009650DB">
      <w:pPr>
        <w:pStyle w:val="ListParagraph"/>
        <w:numPr>
          <w:ilvl w:val="0"/>
          <w:numId w:val="39"/>
        </w:numPr>
        <w:spacing w:after="240" w:line="300" w:lineRule="auto"/>
        <w:ind w:left="567" w:hanging="567"/>
        <w:jc w:val="both"/>
        <w:rPr>
          <w:rFonts w:ascii="Times New Roman" w:hAnsi="Times New Roman" w:cs="Times New Roman"/>
          <w:b/>
          <w:sz w:val="24"/>
          <w:szCs w:val="24"/>
        </w:rPr>
      </w:pPr>
      <w:r w:rsidRPr="00447380">
        <w:rPr>
          <w:rFonts w:ascii="Times New Roman" w:hAnsi="Times New Roman" w:cs="Times New Roman"/>
          <w:b/>
          <w:sz w:val="24"/>
          <w:szCs w:val="24"/>
        </w:rPr>
        <w:t xml:space="preserve">Measures </w:t>
      </w:r>
      <w:r w:rsidR="008E2AE0" w:rsidRPr="00447380">
        <w:rPr>
          <w:rFonts w:ascii="Times New Roman" w:hAnsi="Times New Roman" w:cs="Times New Roman"/>
          <w:b/>
          <w:sz w:val="24"/>
          <w:szCs w:val="24"/>
        </w:rPr>
        <w:t xml:space="preserve">to </w:t>
      </w:r>
      <w:r w:rsidR="00011D87" w:rsidRPr="00447380">
        <w:rPr>
          <w:rFonts w:ascii="Times New Roman" w:hAnsi="Times New Roman" w:cs="Times New Roman"/>
          <w:b/>
          <w:sz w:val="24"/>
          <w:szCs w:val="24"/>
        </w:rPr>
        <w:t>ensure the operation of the regime reflects legislative intent</w:t>
      </w:r>
    </w:p>
    <w:p w14:paraId="1CDC2367" w14:textId="26775023" w:rsidR="00D70583" w:rsidRPr="009650DB" w:rsidRDefault="00FE03BF" w:rsidP="009650DB">
      <w:pPr>
        <w:rPr>
          <w:rFonts w:ascii="Times New Roman" w:hAnsi="Times New Roman" w:cs="Times New Roman"/>
          <w:sz w:val="24"/>
        </w:rPr>
      </w:pPr>
      <w:r w:rsidRPr="009650DB">
        <w:rPr>
          <w:rFonts w:ascii="Times New Roman" w:hAnsi="Times New Roman" w:cs="Times New Roman"/>
          <w:sz w:val="24"/>
        </w:rPr>
        <w:t>These measures have taken several forms:</w:t>
      </w:r>
    </w:p>
    <w:p w14:paraId="4A4A2375" w14:textId="77777777" w:rsidR="00FE03BF" w:rsidRPr="00DD57F1" w:rsidRDefault="00FE03BF" w:rsidP="00D70583">
      <w:pPr>
        <w:pStyle w:val="ListParagraph"/>
        <w:spacing w:after="240" w:line="300" w:lineRule="auto"/>
        <w:ind w:left="0"/>
        <w:jc w:val="both"/>
        <w:rPr>
          <w:rFonts w:ascii="Times New Roman" w:hAnsi="Times New Roman" w:cs="Times New Roman"/>
          <w:sz w:val="24"/>
          <w:szCs w:val="24"/>
        </w:rPr>
      </w:pPr>
    </w:p>
    <w:p w14:paraId="4446EF66" w14:textId="5547E354" w:rsidR="00D70583" w:rsidRPr="00DD57F1" w:rsidRDefault="0077127A" w:rsidP="00D70583">
      <w:pPr>
        <w:pStyle w:val="ListParagraph"/>
        <w:numPr>
          <w:ilvl w:val="0"/>
          <w:numId w:val="24"/>
        </w:numPr>
        <w:spacing w:after="240" w:line="300" w:lineRule="auto"/>
        <w:ind w:left="567" w:hanging="567"/>
        <w:jc w:val="both"/>
        <w:rPr>
          <w:rFonts w:ascii="Times New Roman" w:hAnsi="Times New Roman" w:cs="Times New Roman"/>
          <w:i/>
          <w:sz w:val="24"/>
          <w:szCs w:val="24"/>
        </w:rPr>
      </w:pPr>
      <w:r w:rsidRPr="00DD57F1">
        <w:rPr>
          <w:rFonts w:ascii="Times New Roman" w:hAnsi="Times New Roman" w:cs="Times New Roman"/>
          <w:sz w:val="24"/>
          <w:szCs w:val="24"/>
        </w:rPr>
        <w:t>First,</w:t>
      </w:r>
      <w:r w:rsidR="00895E2E" w:rsidRPr="00DD57F1">
        <w:rPr>
          <w:rFonts w:ascii="Times New Roman" w:hAnsi="Times New Roman" w:cs="Times New Roman"/>
          <w:sz w:val="24"/>
          <w:szCs w:val="24"/>
        </w:rPr>
        <w:t xml:space="preserve"> </w:t>
      </w:r>
      <w:r w:rsidR="00895E2E" w:rsidRPr="00DD57F1">
        <w:rPr>
          <w:rFonts w:ascii="Times New Roman" w:hAnsi="Times New Roman" w:cs="Times New Roman"/>
          <w:i/>
          <w:sz w:val="24"/>
          <w:szCs w:val="24"/>
        </w:rPr>
        <w:t>increasing use of</w:t>
      </w:r>
      <w:r w:rsidRPr="00DD57F1">
        <w:rPr>
          <w:rFonts w:ascii="Times New Roman" w:hAnsi="Times New Roman" w:cs="Times New Roman"/>
          <w:sz w:val="24"/>
          <w:szCs w:val="24"/>
        </w:rPr>
        <w:t xml:space="preserve"> </w:t>
      </w:r>
      <w:r w:rsidRPr="00DD57F1">
        <w:rPr>
          <w:rFonts w:ascii="Times New Roman" w:hAnsi="Times New Roman" w:cs="Times New Roman"/>
          <w:i/>
          <w:sz w:val="24"/>
          <w:szCs w:val="24"/>
        </w:rPr>
        <w:t>c</w:t>
      </w:r>
      <w:r w:rsidR="00D70583" w:rsidRPr="00DD57F1">
        <w:rPr>
          <w:rFonts w:ascii="Times New Roman" w:hAnsi="Times New Roman" w:cs="Times New Roman"/>
          <w:i/>
          <w:sz w:val="24"/>
          <w:szCs w:val="24"/>
        </w:rPr>
        <w:t>ommon fund orders</w:t>
      </w:r>
      <w:r w:rsidR="00895E2E" w:rsidRPr="00DD57F1">
        <w:rPr>
          <w:rFonts w:ascii="Times New Roman" w:hAnsi="Times New Roman" w:cs="Times New Roman"/>
          <w:i/>
          <w:sz w:val="24"/>
          <w:szCs w:val="24"/>
        </w:rPr>
        <w:t>.</w:t>
      </w:r>
    </w:p>
    <w:p w14:paraId="705AF2BE" w14:textId="77777777" w:rsidR="00D70583" w:rsidRPr="00DD57F1" w:rsidRDefault="00D70583" w:rsidP="00D70583">
      <w:pPr>
        <w:pStyle w:val="ListParagraph"/>
        <w:spacing w:after="240" w:line="300" w:lineRule="auto"/>
        <w:ind w:left="0"/>
        <w:jc w:val="both"/>
        <w:rPr>
          <w:rFonts w:ascii="Times New Roman" w:hAnsi="Times New Roman" w:cs="Times New Roman"/>
          <w:sz w:val="24"/>
          <w:szCs w:val="24"/>
        </w:rPr>
      </w:pPr>
    </w:p>
    <w:p w14:paraId="7548C8A1" w14:textId="5821915E" w:rsidR="00DC6931" w:rsidRPr="00DD57F1" w:rsidRDefault="009E0DED" w:rsidP="00DF4027">
      <w:pPr>
        <w:pStyle w:val="ListParagraph"/>
        <w:spacing w:before="240" w:after="240" w:line="300" w:lineRule="auto"/>
        <w:ind w:left="567"/>
        <w:jc w:val="both"/>
        <w:rPr>
          <w:rFonts w:ascii="Times New Roman" w:hAnsi="Times New Roman" w:cs="Times New Roman"/>
          <w:sz w:val="24"/>
          <w:szCs w:val="24"/>
        </w:rPr>
      </w:pPr>
      <w:r w:rsidRPr="00DD57F1">
        <w:rPr>
          <w:rFonts w:ascii="Times New Roman" w:hAnsi="Times New Roman" w:cs="Times New Roman"/>
          <w:sz w:val="24"/>
          <w:szCs w:val="24"/>
        </w:rPr>
        <w:t>The most fundamental of</w:t>
      </w:r>
      <w:r w:rsidR="00D70583" w:rsidRPr="00DD57F1">
        <w:rPr>
          <w:rFonts w:ascii="Times New Roman" w:hAnsi="Times New Roman" w:cs="Times New Roman"/>
          <w:sz w:val="24"/>
          <w:szCs w:val="24"/>
        </w:rPr>
        <w:t xml:space="preserve"> these measures</w:t>
      </w:r>
      <w:r w:rsidR="006B47A2" w:rsidRPr="00DD57F1">
        <w:rPr>
          <w:rFonts w:ascii="Times New Roman" w:hAnsi="Times New Roman" w:cs="Times New Roman"/>
          <w:sz w:val="24"/>
          <w:szCs w:val="24"/>
        </w:rPr>
        <w:t xml:space="preserve"> </w:t>
      </w:r>
      <w:r w:rsidR="00CA2F20" w:rsidRPr="00DD57F1">
        <w:rPr>
          <w:rFonts w:ascii="Times New Roman" w:hAnsi="Times New Roman" w:cs="Times New Roman"/>
          <w:sz w:val="24"/>
          <w:szCs w:val="24"/>
        </w:rPr>
        <w:t xml:space="preserve">has been </w:t>
      </w:r>
      <w:r w:rsidR="006B47A2" w:rsidRPr="00DD57F1">
        <w:rPr>
          <w:rFonts w:ascii="Times New Roman" w:hAnsi="Times New Roman" w:cs="Times New Roman"/>
          <w:sz w:val="24"/>
          <w:szCs w:val="24"/>
        </w:rPr>
        <w:t xml:space="preserve">the Full Court decision in </w:t>
      </w:r>
      <w:r w:rsidR="006B47A2" w:rsidRPr="00DD57F1">
        <w:rPr>
          <w:rFonts w:ascii="Times New Roman" w:hAnsi="Times New Roman" w:cs="Times New Roman"/>
          <w:i/>
          <w:sz w:val="24"/>
          <w:szCs w:val="24"/>
        </w:rPr>
        <w:t xml:space="preserve">Money Max </w:t>
      </w:r>
      <w:r w:rsidR="006B47A2" w:rsidRPr="00DD57F1">
        <w:rPr>
          <w:rFonts w:ascii="Times New Roman" w:hAnsi="Times New Roman" w:cs="Times New Roman"/>
          <w:sz w:val="24"/>
          <w:szCs w:val="24"/>
        </w:rPr>
        <w:t xml:space="preserve">to allow </w:t>
      </w:r>
      <w:r w:rsidRPr="00DD57F1">
        <w:rPr>
          <w:rFonts w:ascii="Times New Roman" w:hAnsi="Times New Roman" w:cs="Times New Roman"/>
          <w:sz w:val="24"/>
          <w:szCs w:val="24"/>
        </w:rPr>
        <w:t>common fund orders</w:t>
      </w:r>
      <w:r w:rsidR="00D70583" w:rsidRPr="00DD57F1">
        <w:rPr>
          <w:rFonts w:ascii="Times New Roman" w:hAnsi="Times New Roman" w:cs="Times New Roman"/>
          <w:sz w:val="24"/>
          <w:szCs w:val="24"/>
        </w:rPr>
        <w:t xml:space="preserve">.  </w:t>
      </w:r>
      <w:r w:rsidR="00DF4027" w:rsidRPr="00DD57F1">
        <w:rPr>
          <w:rFonts w:ascii="Times New Roman" w:hAnsi="Times New Roman" w:cs="Times New Roman"/>
          <w:sz w:val="24"/>
          <w:szCs w:val="24"/>
        </w:rPr>
        <w:t xml:space="preserve">As we know, the advent of litigation funding has </w:t>
      </w:r>
      <w:r w:rsidR="00895E2E" w:rsidRPr="00DD57F1">
        <w:rPr>
          <w:rFonts w:ascii="Times New Roman" w:hAnsi="Times New Roman" w:cs="Times New Roman"/>
          <w:sz w:val="24"/>
          <w:szCs w:val="24"/>
        </w:rPr>
        <w:t>produced</w:t>
      </w:r>
      <w:r w:rsidR="00DF4027" w:rsidRPr="00DD57F1">
        <w:rPr>
          <w:rFonts w:ascii="Times New Roman" w:hAnsi="Times New Roman" w:cs="Times New Roman"/>
          <w:sz w:val="24"/>
          <w:szCs w:val="24"/>
        </w:rPr>
        <w:t xml:space="preserve"> a fundamentally different class action landscape today than that </w:t>
      </w:r>
      <w:r w:rsidR="00D70583" w:rsidRPr="00DD57F1">
        <w:rPr>
          <w:rFonts w:ascii="Times New Roman" w:hAnsi="Times New Roman" w:cs="Times New Roman"/>
          <w:sz w:val="24"/>
          <w:szCs w:val="24"/>
        </w:rPr>
        <w:t>envisaged by the ALRC and the drafters of Part IVA.</w:t>
      </w:r>
      <w:r w:rsidR="00895E2E" w:rsidRPr="00DD57F1">
        <w:rPr>
          <w:rFonts w:ascii="Times New Roman" w:hAnsi="Times New Roman" w:cs="Times New Roman"/>
          <w:sz w:val="24"/>
          <w:szCs w:val="24"/>
        </w:rPr>
        <w:t xml:space="preserve"> </w:t>
      </w:r>
      <w:r w:rsidR="00D70583" w:rsidRPr="00DD57F1">
        <w:rPr>
          <w:rFonts w:ascii="Times New Roman" w:hAnsi="Times New Roman" w:cs="Times New Roman"/>
          <w:sz w:val="24"/>
          <w:szCs w:val="24"/>
        </w:rPr>
        <w:t xml:space="preserve"> The ALRC </w:t>
      </w:r>
      <w:r w:rsidR="006B47A2" w:rsidRPr="00DD57F1">
        <w:rPr>
          <w:rFonts w:ascii="Times New Roman" w:hAnsi="Times New Roman" w:cs="Times New Roman"/>
          <w:sz w:val="24"/>
          <w:szCs w:val="24"/>
        </w:rPr>
        <w:t xml:space="preserve">in 1988 </w:t>
      </w:r>
      <w:r w:rsidR="00D70583" w:rsidRPr="00DD57F1">
        <w:rPr>
          <w:rFonts w:ascii="Times New Roman" w:hAnsi="Times New Roman" w:cs="Times New Roman"/>
          <w:sz w:val="24"/>
          <w:szCs w:val="24"/>
        </w:rPr>
        <w:t>expressly cautioned against allowing third parties who fund class action</w:t>
      </w:r>
      <w:r w:rsidR="00895E2E" w:rsidRPr="00DD57F1">
        <w:rPr>
          <w:rFonts w:ascii="Times New Roman" w:hAnsi="Times New Roman" w:cs="Times New Roman"/>
          <w:sz w:val="24"/>
          <w:szCs w:val="24"/>
        </w:rPr>
        <w:t>s</w:t>
      </w:r>
      <w:r w:rsidR="00D70583" w:rsidRPr="00DD57F1">
        <w:rPr>
          <w:rFonts w:ascii="Times New Roman" w:hAnsi="Times New Roman" w:cs="Times New Roman"/>
          <w:sz w:val="24"/>
          <w:szCs w:val="24"/>
        </w:rPr>
        <w:t xml:space="preserve"> to receive a share in the proceeds o</w:t>
      </w:r>
      <w:r w:rsidR="00895E2E" w:rsidRPr="00DD57F1">
        <w:rPr>
          <w:rFonts w:ascii="Times New Roman" w:hAnsi="Times New Roman" w:cs="Times New Roman"/>
          <w:sz w:val="24"/>
          <w:szCs w:val="24"/>
        </w:rPr>
        <w:t>r</w:t>
      </w:r>
      <w:r w:rsidR="00D70583" w:rsidRPr="00DD57F1">
        <w:rPr>
          <w:rFonts w:ascii="Times New Roman" w:hAnsi="Times New Roman" w:cs="Times New Roman"/>
          <w:sz w:val="24"/>
          <w:szCs w:val="24"/>
        </w:rPr>
        <w:t xml:space="preserve"> subject matter of the action.</w:t>
      </w:r>
      <w:r w:rsidR="00D70583" w:rsidRPr="00DD57F1">
        <w:rPr>
          <w:rStyle w:val="EndnoteReference"/>
          <w:rFonts w:ascii="Times New Roman" w:hAnsi="Times New Roman" w:cs="Times New Roman"/>
          <w:sz w:val="24"/>
          <w:szCs w:val="24"/>
        </w:rPr>
        <w:endnoteReference w:id="24"/>
      </w:r>
      <w:r w:rsidR="00D70583" w:rsidRPr="00DD57F1">
        <w:rPr>
          <w:rFonts w:ascii="Times New Roman" w:hAnsi="Times New Roman" w:cs="Times New Roman"/>
          <w:sz w:val="24"/>
          <w:szCs w:val="24"/>
        </w:rPr>
        <w:t xml:space="preserve"> </w:t>
      </w:r>
      <w:r w:rsidR="00DF4027" w:rsidRPr="00DD57F1">
        <w:rPr>
          <w:rFonts w:ascii="Times New Roman" w:hAnsi="Times New Roman" w:cs="Times New Roman"/>
          <w:sz w:val="24"/>
          <w:szCs w:val="24"/>
        </w:rPr>
        <w:t xml:space="preserve"> Li</w:t>
      </w:r>
      <w:r w:rsidR="00DC6931" w:rsidRPr="00DD57F1">
        <w:rPr>
          <w:rFonts w:ascii="Times New Roman" w:hAnsi="Times New Roman" w:cs="Times New Roman"/>
          <w:sz w:val="24"/>
          <w:szCs w:val="24"/>
        </w:rPr>
        <w:t xml:space="preserve">miting </w:t>
      </w:r>
      <w:r w:rsidR="004E434A" w:rsidRPr="00DD57F1">
        <w:rPr>
          <w:rFonts w:ascii="Times New Roman" w:hAnsi="Times New Roman" w:cs="Times New Roman"/>
          <w:sz w:val="24"/>
          <w:szCs w:val="24"/>
        </w:rPr>
        <w:t>classes</w:t>
      </w:r>
      <w:r w:rsidR="00DF4027" w:rsidRPr="00DD57F1">
        <w:rPr>
          <w:rFonts w:ascii="Times New Roman" w:hAnsi="Times New Roman" w:cs="Times New Roman"/>
          <w:sz w:val="24"/>
          <w:szCs w:val="24"/>
        </w:rPr>
        <w:t xml:space="preserve"> to funded members clearly</w:t>
      </w:r>
      <w:r w:rsidR="00DC6931" w:rsidRPr="00DD57F1">
        <w:rPr>
          <w:rFonts w:ascii="Times New Roman" w:hAnsi="Times New Roman" w:cs="Times New Roman"/>
          <w:sz w:val="24"/>
          <w:szCs w:val="24"/>
        </w:rPr>
        <w:t xml:space="preserve"> undermines one of the key rationales for an opt</w:t>
      </w:r>
      <w:r w:rsidR="00A11975" w:rsidRPr="00DD57F1">
        <w:rPr>
          <w:rFonts w:ascii="Times New Roman" w:hAnsi="Times New Roman" w:cs="Times New Roman"/>
          <w:sz w:val="24"/>
          <w:szCs w:val="24"/>
        </w:rPr>
        <w:t>-</w:t>
      </w:r>
      <w:r w:rsidR="00DC6931" w:rsidRPr="00DD57F1">
        <w:rPr>
          <w:rFonts w:ascii="Times New Roman" w:hAnsi="Times New Roman" w:cs="Times New Roman"/>
          <w:sz w:val="24"/>
          <w:szCs w:val="24"/>
        </w:rPr>
        <w:t xml:space="preserve">out </w:t>
      </w:r>
      <w:r w:rsidR="00DF4027" w:rsidRPr="00DD57F1">
        <w:rPr>
          <w:rFonts w:ascii="Times New Roman" w:hAnsi="Times New Roman" w:cs="Times New Roman"/>
          <w:sz w:val="24"/>
          <w:szCs w:val="24"/>
        </w:rPr>
        <w:t>regime</w:t>
      </w:r>
      <w:r w:rsidR="00DC6931" w:rsidRPr="00DD57F1">
        <w:rPr>
          <w:rFonts w:ascii="Times New Roman" w:hAnsi="Times New Roman" w:cs="Times New Roman"/>
          <w:sz w:val="24"/>
          <w:szCs w:val="24"/>
        </w:rPr>
        <w:t>.</w:t>
      </w:r>
      <w:r w:rsidR="00DC6931" w:rsidRPr="00DD57F1">
        <w:rPr>
          <w:rStyle w:val="EndnoteReference"/>
          <w:rFonts w:ascii="Times New Roman" w:hAnsi="Times New Roman" w:cs="Times New Roman"/>
          <w:sz w:val="24"/>
          <w:szCs w:val="24"/>
        </w:rPr>
        <w:endnoteReference w:id="25"/>
      </w:r>
    </w:p>
    <w:p w14:paraId="0445BC08" w14:textId="77777777" w:rsidR="00DC6931" w:rsidRPr="00DD57F1" w:rsidRDefault="00DC6931" w:rsidP="00D70583">
      <w:pPr>
        <w:pStyle w:val="ListParagraph"/>
        <w:spacing w:before="240" w:after="240" w:line="300" w:lineRule="auto"/>
        <w:ind w:left="567"/>
        <w:jc w:val="both"/>
        <w:rPr>
          <w:rFonts w:ascii="Times New Roman" w:hAnsi="Times New Roman" w:cs="Times New Roman"/>
          <w:sz w:val="24"/>
          <w:szCs w:val="24"/>
        </w:rPr>
      </w:pPr>
    </w:p>
    <w:p w14:paraId="024B35FC" w14:textId="33076600" w:rsidR="009C6AF9" w:rsidRPr="00DD57F1" w:rsidRDefault="00C127FE" w:rsidP="00C127FE">
      <w:pPr>
        <w:pStyle w:val="ListParagraph"/>
        <w:spacing w:before="240" w:after="240" w:line="300" w:lineRule="auto"/>
        <w:ind w:left="567"/>
        <w:jc w:val="both"/>
        <w:rPr>
          <w:rFonts w:ascii="Times New Roman" w:hAnsi="Times New Roman" w:cs="Times New Roman"/>
          <w:sz w:val="24"/>
          <w:szCs w:val="24"/>
        </w:rPr>
      </w:pPr>
      <w:r w:rsidRPr="00DD57F1">
        <w:rPr>
          <w:rFonts w:ascii="Times New Roman" w:hAnsi="Times New Roman" w:cs="Times New Roman"/>
          <w:sz w:val="24"/>
          <w:szCs w:val="24"/>
        </w:rPr>
        <w:t xml:space="preserve">The rationale for the decision in </w:t>
      </w:r>
      <w:r w:rsidRPr="00DD57F1">
        <w:rPr>
          <w:rFonts w:ascii="Times New Roman" w:hAnsi="Times New Roman" w:cs="Times New Roman"/>
          <w:i/>
          <w:sz w:val="24"/>
          <w:szCs w:val="24"/>
        </w:rPr>
        <w:t>Money Max</w:t>
      </w:r>
      <w:r w:rsidRPr="00DD57F1">
        <w:rPr>
          <w:rFonts w:ascii="Times New Roman" w:hAnsi="Times New Roman" w:cs="Times New Roman"/>
          <w:sz w:val="24"/>
          <w:szCs w:val="24"/>
        </w:rPr>
        <w:t xml:space="preserve"> was </w:t>
      </w:r>
      <w:r w:rsidR="00D70583" w:rsidRPr="00DD57F1">
        <w:rPr>
          <w:rFonts w:ascii="Times New Roman" w:hAnsi="Times New Roman" w:cs="Times New Roman"/>
          <w:sz w:val="24"/>
          <w:szCs w:val="24"/>
        </w:rPr>
        <w:t>the interests of justice in the proceeding</w:t>
      </w:r>
      <w:r w:rsidRPr="00DD57F1">
        <w:rPr>
          <w:rFonts w:ascii="Times New Roman" w:hAnsi="Times New Roman" w:cs="Times New Roman"/>
          <w:sz w:val="24"/>
          <w:szCs w:val="24"/>
        </w:rPr>
        <w:t>,</w:t>
      </w:r>
      <w:r w:rsidR="00D70583" w:rsidRPr="00DD57F1">
        <w:rPr>
          <w:rFonts w:ascii="Times New Roman" w:hAnsi="Times New Roman" w:cs="Times New Roman"/>
          <w:sz w:val="24"/>
          <w:szCs w:val="24"/>
        </w:rPr>
        <w:t xml:space="preserve"> </w:t>
      </w:r>
      <w:r w:rsidR="00DC6931" w:rsidRPr="00DD57F1">
        <w:rPr>
          <w:rFonts w:ascii="Times New Roman" w:hAnsi="Times New Roman" w:cs="Times New Roman"/>
          <w:sz w:val="24"/>
          <w:szCs w:val="24"/>
        </w:rPr>
        <w:t xml:space="preserve">including </w:t>
      </w:r>
      <w:r w:rsidR="004E434A" w:rsidRPr="00DD57F1">
        <w:rPr>
          <w:rFonts w:ascii="Times New Roman" w:hAnsi="Times New Roman" w:cs="Times New Roman"/>
          <w:sz w:val="24"/>
          <w:szCs w:val="24"/>
        </w:rPr>
        <w:t xml:space="preserve">that </w:t>
      </w:r>
      <w:r w:rsidR="00FE03BF" w:rsidRPr="00DD57F1">
        <w:rPr>
          <w:rFonts w:ascii="Times New Roman" w:hAnsi="Times New Roman" w:cs="Times New Roman"/>
          <w:sz w:val="24"/>
          <w:szCs w:val="24"/>
        </w:rPr>
        <w:t>class members would have the benefit of Court supervision of the funding rate, and would pay a lower funding rate</w:t>
      </w:r>
      <w:r w:rsidRPr="00DD57F1">
        <w:rPr>
          <w:rFonts w:ascii="Times New Roman" w:hAnsi="Times New Roman" w:cs="Times New Roman"/>
          <w:sz w:val="24"/>
          <w:szCs w:val="24"/>
        </w:rPr>
        <w:t xml:space="preserve">.  </w:t>
      </w:r>
      <w:r w:rsidR="009C6AF9" w:rsidRPr="00DD57F1">
        <w:rPr>
          <w:rFonts w:ascii="Times New Roman" w:hAnsi="Times New Roman" w:cs="Times New Roman"/>
          <w:sz w:val="24"/>
          <w:szCs w:val="24"/>
        </w:rPr>
        <w:t xml:space="preserve">As I have said, the orders </w:t>
      </w:r>
      <w:r w:rsidR="007511A6" w:rsidRPr="00DD57F1">
        <w:rPr>
          <w:rFonts w:ascii="Times New Roman" w:hAnsi="Times New Roman" w:cs="Times New Roman"/>
          <w:sz w:val="24"/>
          <w:szCs w:val="24"/>
        </w:rPr>
        <w:t xml:space="preserve">ultimately </w:t>
      </w:r>
      <w:r w:rsidR="009C6AF9" w:rsidRPr="00DD57F1">
        <w:rPr>
          <w:rFonts w:ascii="Times New Roman" w:hAnsi="Times New Roman" w:cs="Times New Roman"/>
          <w:sz w:val="24"/>
          <w:szCs w:val="24"/>
        </w:rPr>
        <w:t>resulted in class members being better off by between $12.3 and $15.6 million.</w:t>
      </w:r>
    </w:p>
    <w:p w14:paraId="1A62A512" w14:textId="77777777" w:rsidR="009C6AF9" w:rsidRPr="00DD57F1" w:rsidRDefault="009C6AF9" w:rsidP="00DC6931">
      <w:pPr>
        <w:pStyle w:val="ListParagraph"/>
        <w:spacing w:before="240" w:after="240" w:line="300" w:lineRule="auto"/>
        <w:ind w:left="567"/>
        <w:jc w:val="both"/>
        <w:rPr>
          <w:rFonts w:ascii="Times New Roman" w:hAnsi="Times New Roman" w:cs="Times New Roman"/>
          <w:iCs/>
        </w:rPr>
      </w:pPr>
    </w:p>
    <w:p w14:paraId="2FD8B8B7" w14:textId="2CD83B45" w:rsidR="00915E56" w:rsidRPr="00DD57F1" w:rsidRDefault="009C6AF9" w:rsidP="007E1865">
      <w:pPr>
        <w:pStyle w:val="ListParagraph"/>
        <w:spacing w:before="240" w:after="240" w:line="300" w:lineRule="auto"/>
        <w:ind w:left="567"/>
        <w:jc w:val="both"/>
        <w:rPr>
          <w:rFonts w:ascii="Times New Roman" w:hAnsi="Times New Roman" w:cs="Times New Roman"/>
          <w:sz w:val="24"/>
          <w:szCs w:val="24"/>
        </w:rPr>
      </w:pPr>
      <w:r w:rsidRPr="00DD57F1">
        <w:rPr>
          <w:rFonts w:ascii="Times New Roman" w:hAnsi="Times New Roman" w:cs="Times New Roman"/>
          <w:sz w:val="24"/>
          <w:szCs w:val="24"/>
        </w:rPr>
        <w:t xml:space="preserve">The </w:t>
      </w:r>
      <w:r w:rsidR="00FE03BF" w:rsidRPr="00DD57F1">
        <w:rPr>
          <w:rFonts w:ascii="Times New Roman" w:hAnsi="Times New Roman" w:cs="Times New Roman"/>
          <w:sz w:val="24"/>
          <w:szCs w:val="24"/>
        </w:rPr>
        <w:t xml:space="preserve">Full </w:t>
      </w:r>
      <w:r w:rsidRPr="00DD57F1">
        <w:rPr>
          <w:rFonts w:ascii="Times New Roman" w:hAnsi="Times New Roman" w:cs="Times New Roman"/>
          <w:sz w:val="24"/>
          <w:szCs w:val="24"/>
        </w:rPr>
        <w:t xml:space="preserve">Court also said that </w:t>
      </w:r>
      <w:r w:rsidR="00FE03BF" w:rsidRPr="00DD57F1">
        <w:rPr>
          <w:rFonts w:ascii="Times New Roman" w:hAnsi="Times New Roman" w:cs="Times New Roman"/>
          <w:sz w:val="24"/>
          <w:szCs w:val="24"/>
        </w:rPr>
        <w:t xml:space="preserve">taking </w:t>
      </w:r>
      <w:r w:rsidR="007511A6" w:rsidRPr="00DD57F1">
        <w:rPr>
          <w:rFonts w:ascii="Times New Roman" w:hAnsi="Times New Roman" w:cs="Times New Roman"/>
          <w:sz w:val="24"/>
          <w:szCs w:val="24"/>
        </w:rPr>
        <w:t>a</w:t>
      </w:r>
      <w:r w:rsidRPr="00DD57F1">
        <w:rPr>
          <w:rFonts w:ascii="Times New Roman" w:hAnsi="Times New Roman" w:cs="Times New Roman"/>
          <w:sz w:val="24"/>
          <w:szCs w:val="24"/>
        </w:rPr>
        <w:t xml:space="preserve"> common fund approach</w:t>
      </w:r>
      <w:r w:rsidR="00FE03BF" w:rsidRPr="00DD57F1">
        <w:rPr>
          <w:rFonts w:ascii="Times New Roman" w:hAnsi="Times New Roman" w:cs="Times New Roman"/>
          <w:sz w:val="24"/>
          <w:szCs w:val="24"/>
        </w:rPr>
        <w:t xml:space="preserve"> was likely to enhance </w:t>
      </w:r>
      <w:r w:rsidRPr="00DD57F1">
        <w:rPr>
          <w:rFonts w:ascii="Times New Roman" w:hAnsi="Times New Roman" w:cs="Times New Roman"/>
          <w:sz w:val="24"/>
          <w:szCs w:val="24"/>
        </w:rPr>
        <w:t>access to justice by encouraging ‘open class’ representative proceedings</w:t>
      </w:r>
      <w:r w:rsidR="00FE03BF" w:rsidRPr="00DD57F1">
        <w:rPr>
          <w:rFonts w:ascii="Times New Roman" w:hAnsi="Times New Roman" w:cs="Times New Roman"/>
          <w:sz w:val="24"/>
          <w:szCs w:val="24"/>
        </w:rPr>
        <w:t xml:space="preserve">.  There can be no question that </w:t>
      </w:r>
      <w:r w:rsidR="007511A6" w:rsidRPr="00DD57F1">
        <w:rPr>
          <w:rFonts w:ascii="Times New Roman" w:hAnsi="Times New Roman" w:cs="Times New Roman"/>
          <w:sz w:val="24"/>
          <w:szCs w:val="24"/>
        </w:rPr>
        <w:t>o</w:t>
      </w:r>
      <w:r w:rsidRPr="00DD57F1">
        <w:rPr>
          <w:rFonts w:ascii="Times New Roman" w:hAnsi="Times New Roman" w:cs="Times New Roman"/>
          <w:sz w:val="24"/>
          <w:szCs w:val="24"/>
        </w:rPr>
        <w:t xml:space="preserve">pen class </w:t>
      </w:r>
      <w:r w:rsidR="00FE03BF" w:rsidRPr="00DD57F1">
        <w:rPr>
          <w:rFonts w:ascii="Times New Roman" w:hAnsi="Times New Roman" w:cs="Times New Roman"/>
          <w:sz w:val="24"/>
          <w:szCs w:val="24"/>
        </w:rPr>
        <w:t>actions</w:t>
      </w:r>
      <w:r w:rsidRPr="00DD57F1">
        <w:rPr>
          <w:rFonts w:ascii="Times New Roman" w:hAnsi="Times New Roman" w:cs="Times New Roman"/>
          <w:sz w:val="24"/>
          <w:szCs w:val="24"/>
        </w:rPr>
        <w:t xml:space="preserve"> are more consistent with the opt</w:t>
      </w:r>
      <w:r w:rsidR="00A11975" w:rsidRPr="00DD57F1">
        <w:rPr>
          <w:rFonts w:ascii="Times New Roman" w:hAnsi="Times New Roman" w:cs="Times New Roman"/>
          <w:sz w:val="24"/>
          <w:szCs w:val="24"/>
        </w:rPr>
        <w:t>-</w:t>
      </w:r>
      <w:r w:rsidRPr="00DD57F1">
        <w:rPr>
          <w:rFonts w:ascii="Times New Roman" w:hAnsi="Times New Roman" w:cs="Times New Roman"/>
          <w:sz w:val="24"/>
          <w:szCs w:val="24"/>
        </w:rPr>
        <w:t>out representative procedure envisaged by the legislature in enacting Part IVA</w:t>
      </w:r>
      <w:r w:rsidR="004B7EF3" w:rsidRPr="00DD57F1">
        <w:rPr>
          <w:rFonts w:ascii="Times New Roman" w:hAnsi="Times New Roman" w:cs="Times New Roman"/>
          <w:sz w:val="24"/>
          <w:szCs w:val="24"/>
        </w:rPr>
        <w:t>.</w:t>
      </w:r>
      <w:r w:rsidR="004B7EF3" w:rsidRPr="00DD57F1">
        <w:rPr>
          <w:rStyle w:val="EndnoteReference"/>
          <w:rFonts w:ascii="Times New Roman" w:hAnsi="Times New Roman" w:cs="Times New Roman"/>
          <w:sz w:val="24"/>
          <w:szCs w:val="24"/>
        </w:rPr>
        <w:endnoteReference w:id="26"/>
      </w:r>
      <w:r w:rsidR="00FE03BF" w:rsidRPr="00DD57F1">
        <w:rPr>
          <w:rFonts w:ascii="Times New Roman" w:hAnsi="Times New Roman" w:cs="Times New Roman"/>
          <w:sz w:val="24"/>
          <w:szCs w:val="24"/>
        </w:rPr>
        <w:t xml:space="preserve"> </w:t>
      </w:r>
      <w:r w:rsidR="00447380" w:rsidRPr="00DD57F1">
        <w:rPr>
          <w:rFonts w:ascii="Times New Roman" w:hAnsi="Times New Roman" w:cs="Times New Roman"/>
          <w:sz w:val="24"/>
          <w:szCs w:val="24"/>
        </w:rPr>
        <w:t>Professor Morabito</w:t>
      </w:r>
      <w:r w:rsidR="00447380">
        <w:rPr>
          <w:rFonts w:ascii="Times New Roman" w:hAnsi="Times New Roman" w:cs="Times New Roman"/>
          <w:sz w:val="24"/>
          <w:szCs w:val="24"/>
        </w:rPr>
        <w:t>’s recent</w:t>
      </w:r>
      <w:r w:rsidR="00447380" w:rsidRPr="00DD57F1">
        <w:rPr>
          <w:rFonts w:ascii="Times New Roman" w:hAnsi="Times New Roman" w:cs="Times New Roman"/>
          <w:sz w:val="24"/>
          <w:szCs w:val="24"/>
        </w:rPr>
        <w:t xml:space="preserve"> </w:t>
      </w:r>
      <w:r w:rsidR="004C5699" w:rsidRPr="00DD57F1">
        <w:rPr>
          <w:rFonts w:ascii="Times New Roman" w:hAnsi="Times New Roman" w:cs="Times New Roman"/>
          <w:sz w:val="24"/>
          <w:szCs w:val="24"/>
        </w:rPr>
        <w:t>S</w:t>
      </w:r>
      <w:r w:rsidR="004B7EF3" w:rsidRPr="00DD57F1">
        <w:rPr>
          <w:rFonts w:ascii="Times New Roman" w:hAnsi="Times New Roman" w:cs="Times New Roman"/>
          <w:sz w:val="24"/>
          <w:szCs w:val="24"/>
        </w:rPr>
        <w:t xml:space="preserve">eventh </w:t>
      </w:r>
      <w:r w:rsidR="004C5699" w:rsidRPr="00DD57F1">
        <w:rPr>
          <w:rFonts w:ascii="Times New Roman" w:hAnsi="Times New Roman" w:cs="Times New Roman"/>
          <w:sz w:val="24"/>
          <w:szCs w:val="24"/>
        </w:rPr>
        <w:t>E</w:t>
      </w:r>
      <w:r w:rsidR="004B7EF3" w:rsidRPr="00DD57F1">
        <w:rPr>
          <w:rFonts w:ascii="Times New Roman" w:hAnsi="Times New Roman" w:cs="Times New Roman"/>
          <w:sz w:val="24"/>
          <w:szCs w:val="24"/>
        </w:rPr>
        <w:t xml:space="preserve">mpirical </w:t>
      </w:r>
      <w:r w:rsidR="004C5699" w:rsidRPr="00DD57F1">
        <w:rPr>
          <w:rFonts w:ascii="Times New Roman" w:hAnsi="Times New Roman" w:cs="Times New Roman"/>
          <w:sz w:val="24"/>
          <w:szCs w:val="24"/>
        </w:rPr>
        <w:t>R</w:t>
      </w:r>
      <w:r w:rsidR="004B7EF3" w:rsidRPr="00DD57F1">
        <w:rPr>
          <w:rFonts w:ascii="Times New Roman" w:hAnsi="Times New Roman" w:cs="Times New Roman"/>
          <w:sz w:val="24"/>
          <w:szCs w:val="24"/>
        </w:rPr>
        <w:t>eport</w:t>
      </w:r>
      <w:r w:rsidR="00232116" w:rsidRPr="00DD57F1">
        <w:rPr>
          <w:rFonts w:ascii="Times New Roman" w:hAnsi="Times New Roman" w:cs="Times New Roman"/>
          <w:sz w:val="24"/>
          <w:szCs w:val="24"/>
        </w:rPr>
        <w:t xml:space="preserve"> </w:t>
      </w:r>
      <w:r w:rsidR="00FE03BF" w:rsidRPr="00DD57F1">
        <w:rPr>
          <w:rFonts w:ascii="Times New Roman" w:hAnsi="Times New Roman" w:cs="Times New Roman"/>
          <w:sz w:val="24"/>
          <w:szCs w:val="24"/>
        </w:rPr>
        <w:t xml:space="preserve">shows that, in the period following the </w:t>
      </w:r>
      <w:r w:rsidR="00ED2707">
        <w:rPr>
          <w:rFonts w:ascii="Times New Roman" w:hAnsi="Times New Roman" w:cs="Times New Roman"/>
          <w:i/>
          <w:sz w:val="24"/>
          <w:szCs w:val="24"/>
        </w:rPr>
        <w:t xml:space="preserve">Money Max </w:t>
      </w:r>
      <w:r w:rsidR="00FE03BF" w:rsidRPr="00DD57F1">
        <w:rPr>
          <w:rFonts w:ascii="Times New Roman" w:hAnsi="Times New Roman" w:cs="Times New Roman"/>
          <w:sz w:val="24"/>
          <w:szCs w:val="24"/>
        </w:rPr>
        <w:t xml:space="preserve">decision in October 2016 up to September 2018, </w:t>
      </w:r>
      <w:r w:rsidR="004B7EF3" w:rsidRPr="00DD57F1">
        <w:rPr>
          <w:rFonts w:ascii="Times New Roman" w:hAnsi="Times New Roman" w:cs="Times New Roman"/>
          <w:sz w:val="24"/>
          <w:szCs w:val="24"/>
        </w:rPr>
        <w:t>only</w:t>
      </w:r>
      <w:r w:rsidR="00D70583" w:rsidRPr="00DD57F1">
        <w:rPr>
          <w:rFonts w:ascii="Times New Roman" w:hAnsi="Times New Roman" w:cs="Times New Roman"/>
          <w:sz w:val="24"/>
          <w:szCs w:val="24"/>
        </w:rPr>
        <w:t xml:space="preserve"> </w:t>
      </w:r>
      <w:r w:rsidR="004B7EF3" w:rsidRPr="00DD57F1">
        <w:rPr>
          <w:rFonts w:ascii="Times New Roman" w:hAnsi="Times New Roman" w:cs="Times New Roman"/>
          <w:sz w:val="24"/>
          <w:szCs w:val="24"/>
        </w:rPr>
        <w:t>seven (or 13.2%) of funded federal class actions were commenced as closed classes, whereas in the period before the decision 36%</w:t>
      </w:r>
      <w:r w:rsidR="004C5699" w:rsidRPr="00DD57F1">
        <w:rPr>
          <w:rFonts w:ascii="Times New Roman" w:hAnsi="Times New Roman" w:cs="Times New Roman"/>
          <w:sz w:val="24"/>
          <w:szCs w:val="24"/>
        </w:rPr>
        <w:t xml:space="preserve"> of </w:t>
      </w:r>
      <w:r w:rsidR="004B7EF3" w:rsidRPr="00DD57F1">
        <w:rPr>
          <w:rFonts w:ascii="Times New Roman" w:hAnsi="Times New Roman" w:cs="Times New Roman"/>
          <w:sz w:val="24"/>
          <w:szCs w:val="24"/>
        </w:rPr>
        <w:t xml:space="preserve">funded federal class actions were commenced </w:t>
      </w:r>
      <w:r w:rsidR="0085542F" w:rsidRPr="00DD57F1">
        <w:rPr>
          <w:rFonts w:ascii="Times New Roman" w:hAnsi="Times New Roman" w:cs="Times New Roman"/>
          <w:sz w:val="24"/>
          <w:szCs w:val="24"/>
        </w:rPr>
        <w:t>on that basis</w:t>
      </w:r>
      <w:r w:rsidR="00A11975" w:rsidRPr="00DD57F1">
        <w:rPr>
          <w:rFonts w:ascii="Times New Roman" w:hAnsi="Times New Roman" w:cs="Times New Roman"/>
          <w:sz w:val="24"/>
          <w:szCs w:val="24"/>
        </w:rPr>
        <w:t>.</w:t>
      </w:r>
      <w:r w:rsidR="004C5699" w:rsidRPr="00DD57F1">
        <w:rPr>
          <w:rStyle w:val="EndnoteReference"/>
          <w:rFonts w:ascii="Times New Roman" w:hAnsi="Times New Roman" w:cs="Times New Roman"/>
          <w:sz w:val="24"/>
          <w:szCs w:val="24"/>
        </w:rPr>
        <w:endnoteReference w:id="27"/>
      </w:r>
      <w:r w:rsidR="00FE03BF" w:rsidRPr="00DD57F1">
        <w:rPr>
          <w:rFonts w:ascii="Times New Roman" w:hAnsi="Times New Roman" w:cs="Times New Roman"/>
          <w:sz w:val="24"/>
          <w:szCs w:val="24"/>
        </w:rPr>
        <w:t xml:space="preserve">  </w:t>
      </w:r>
      <w:r w:rsidR="00E46D2E" w:rsidRPr="00DD57F1">
        <w:rPr>
          <w:rFonts w:ascii="Times New Roman" w:hAnsi="Times New Roman" w:cs="Times New Roman"/>
          <w:sz w:val="24"/>
          <w:szCs w:val="24"/>
        </w:rPr>
        <w:t xml:space="preserve"> In the case of shareholder class actions, the </w:t>
      </w:r>
      <w:r w:rsidR="00FE03BF" w:rsidRPr="00DD57F1">
        <w:rPr>
          <w:rFonts w:ascii="Times New Roman" w:hAnsi="Times New Roman" w:cs="Times New Roman"/>
          <w:sz w:val="24"/>
          <w:szCs w:val="24"/>
        </w:rPr>
        <w:t xml:space="preserve">change </w:t>
      </w:r>
      <w:r w:rsidR="004C5699" w:rsidRPr="00DD57F1">
        <w:rPr>
          <w:rFonts w:ascii="Times New Roman" w:hAnsi="Times New Roman" w:cs="Times New Roman"/>
          <w:sz w:val="24"/>
          <w:szCs w:val="24"/>
        </w:rPr>
        <w:t xml:space="preserve">is </w:t>
      </w:r>
      <w:r w:rsidR="00E46D2E" w:rsidRPr="00DD57F1">
        <w:rPr>
          <w:rFonts w:ascii="Times New Roman" w:hAnsi="Times New Roman" w:cs="Times New Roman"/>
          <w:sz w:val="24"/>
          <w:szCs w:val="24"/>
        </w:rPr>
        <w:t xml:space="preserve">even </w:t>
      </w:r>
      <w:r w:rsidR="00FE03BF" w:rsidRPr="00DD57F1">
        <w:rPr>
          <w:rFonts w:ascii="Times New Roman" w:hAnsi="Times New Roman" w:cs="Times New Roman"/>
          <w:sz w:val="24"/>
          <w:szCs w:val="24"/>
        </w:rPr>
        <w:t xml:space="preserve">more pronounced.  </w:t>
      </w:r>
      <w:r w:rsidR="00E46D2E" w:rsidRPr="00DD57F1">
        <w:rPr>
          <w:rFonts w:ascii="Times New Roman" w:hAnsi="Times New Roman" w:cs="Times New Roman"/>
          <w:sz w:val="24"/>
          <w:szCs w:val="24"/>
        </w:rPr>
        <w:t>I</w:t>
      </w:r>
      <w:r w:rsidR="00FE03BF" w:rsidRPr="00DD57F1">
        <w:rPr>
          <w:rFonts w:ascii="Times New Roman" w:hAnsi="Times New Roman" w:cs="Times New Roman"/>
          <w:sz w:val="24"/>
          <w:szCs w:val="24"/>
        </w:rPr>
        <w:t xml:space="preserve">n </w:t>
      </w:r>
      <w:r w:rsidR="004C5699" w:rsidRPr="00DD57F1">
        <w:rPr>
          <w:rFonts w:ascii="Times New Roman" w:hAnsi="Times New Roman" w:cs="Times New Roman"/>
          <w:sz w:val="24"/>
          <w:szCs w:val="24"/>
        </w:rPr>
        <w:t>t</w:t>
      </w:r>
      <w:r w:rsidR="004B7EF3" w:rsidRPr="00DD57F1">
        <w:rPr>
          <w:rFonts w:ascii="Times New Roman" w:hAnsi="Times New Roman" w:cs="Times New Roman"/>
          <w:sz w:val="24"/>
          <w:szCs w:val="24"/>
        </w:rPr>
        <w:t xml:space="preserve">he </w:t>
      </w:r>
      <w:r w:rsidR="00ED2707">
        <w:rPr>
          <w:rFonts w:ascii="Times New Roman" w:hAnsi="Times New Roman" w:cs="Times New Roman"/>
          <w:sz w:val="24"/>
          <w:szCs w:val="24"/>
        </w:rPr>
        <w:t xml:space="preserve">few </w:t>
      </w:r>
      <w:r w:rsidR="004B7EF3" w:rsidRPr="00DD57F1">
        <w:rPr>
          <w:rFonts w:ascii="Times New Roman" w:hAnsi="Times New Roman" w:cs="Times New Roman"/>
          <w:sz w:val="24"/>
          <w:szCs w:val="24"/>
        </w:rPr>
        <w:t xml:space="preserve">years immediately preceding </w:t>
      </w:r>
      <w:r w:rsidR="004C5699" w:rsidRPr="00DD57F1">
        <w:rPr>
          <w:rFonts w:ascii="Times New Roman" w:hAnsi="Times New Roman" w:cs="Times New Roman"/>
          <w:i/>
          <w:sz w:val="24"/>
          <w:szCs w:val="24"/>
        </w:rPr>
        <w:t>Money Max</w:t>
      </w:r>
      <w:r w:rsidR="00FE03BF" w:rsidRPr="00DD57F1">
        <w:rPr>
          <w:rFonts w:ascii="Times New Roman" w:hAnsi="Times New Roman" w:cs="Times New Roman"/>
          <w:sz w:val="24"/>
          <w:szCs w:val="24"/>
        </w:rPr>
        <w:t xml:space="preserve"> almost all </w:t>
      </w:r>
      <w:r w:rsidR="004B7EF3" w:rsidRPr="00DD57F1">
        <w:rPr>
          <w:rFonts w:ascii="Times New Roman" w:hAnsi="Times New Roman" w:cs="Times New Roman"/>
          <w:sz w:val="24"/>
          <w:szCs w:val="24"/>
        </w:rPr>
        <w:t>shareholder class actions were commenced</w:t>
      </w:r>
      <w:r w:rsidR="004C5699" w:rsidRPr="00DD57F1">
        <w:rPr>
          <w:rFonts w:ascii="Times New Roman" w:hAnsi="Times New Roman" w:cs="Times New Roman"/>
          <w:sz w:val="24"/>
          <w:szCs w:val="24"/>
        </w:rPr>
        <w:t xml:space="preserve"> as closed classes</w:t>
      </w:r>
      <w:r w:rsidR="00FE03BF" w:rsidRPr="00DD57F1">
        <w:rPr>
          <w:rFonts w:ascii="Times New Roman" w:hAnsi="Times New Roman" w:cs="Times New Roman"/>
          <w:sz w:val="24"/>
          <w:szCs w:val="24"/>
        </w:rPr>
        <w:t xml:space="preserve">, and now very few </w:t>
      </w:r>
      <w:r w:rsidR="00ED2707">
        <w:rPr>
          <w:rFonts w:ascii="Times New Roman" w:hAnsi="Times New Roman" w:cs="Times New Roman"/>
          <w:sz w:val="24"/>
          <w:szCs w:val="24"/>
        </w:rPr>
        <w:t xml:space="preserve">or none </w:t>
      </w:r>
      <w:r w:rsidR="00FE03BF" w:rsidRPr="00DD57F1">
        <w:rPr>
          <w:rFonts w:ascii="Times New Roman" w:hAnsi="Times New Roman" w:cs="Times New Roman"/>
          <w:sz w:val="24"/>
          <w:szCs w:val="24"/>
        </w:rPr>
        <w:t>are</w:t>
      </w:r>
      <w:r w:rsidR="004B7EF3" w:rsidRPr="00DD57F1">
        <w:rPr>
          <w:rFonts w:ascii="Times New Roman" w:hAnsi="Times New Roman" w:cs="Times New Roman"/>
          <w:sz w:val="24"/>
          <w:szCs w:val="24"/>
        </w:rPr>
        <w:t>.</w:t>
      </w:r>
      <w:r w:rsidR="00FE03BF" w:rsidRPr="00DD57F1">
        <w:rPr>
          <w:rFonts w:ascii="Times New Roman" w:hAnsi="Times New Roman" w:cs="Times New Roman"/>
          <w:sz w:val="24"/>
          <w:szCs w:val="24"/>
        </w:rPr>
        <w:t xml:space="preserve">  Commencing cases on an open class basis is consistent with legislative intent and enhances access to justice.  </w:t>
      </w:r>
    </w:p>
    <w:p w14:paraId="283319AD" w14:textId="2A051D67" w:rsidR="00915E56" w:rsidRPr="00DD57F1" w:rsidRDefault="00915E56" w:rsidP="00DC6931">
      <w:pPr>
        <w:pStyle w:val="ListParagraph"/>
        <w:spacing w:before="240" w:after="240" w:line="300" w:lineRule="auto"/>
        <w:ind w:left="567"/>
        <w:jc w:val="both"/>
        <w:rPr>
          <w:rFonts w:ascii="Times New Roman" w:hAnsi="Times New Roman" w:cs="Times New Roman"/>
          <w:sz w:val="24"/>
          <w:szCs w:val="24"/>
        </w:rPr>
      </w:pPr>
    </w:p>
    <w:p w14:paraId="17F776A2" w14:textId="29938870" w:rsidR="004C5699" w:rsidRPr="00DD57F1" w:rsidRDefault="0077127A" w:rsidP="004C5699">
      <w:pPr>
        <w:pStyle w:val="ListParagraph"/>
        <w:numPr>
          <w:ilvl w:val="0"/>
          <w:numId w:val="24"/>
        </w:numPr>
        <w:spacing w:after="240" w:line="300" w:lineRule="auto"/>
        <w:ind w:left="567" w:hanging="567"/>
        <w:jc w:val="both"/>
        <w:rPr>
          <w:rFonts w:ascii="Times New Roman" w:hAnsi="Times New Roman" w:cs="Times New Roman"/>
          <w:sz w:val="24"/>
          <w:szCs w:val="24"/>
        </w:rPr>
      </w:pPr>
      <w:r w:rsidRPr="00DD57F1">
        <w:rPr>
          <w:rFonts w:ascii="Times New Roman" w:hAnsi="Times New Roman" w:cs="Times New Roman"/>
          <w:sz w:val="24"/>
          <w:szCs w:val="24"/>
        </w:rPr>
        <w:t xml:space="preserve">Second, </w:t>
      </w:r>
      <w:r w:rsidR="00E46D2E" w:rsidRPr="00DD57F1">
        <w:rPr>
          <w:rFonts w:ascii="Times New Roman" w:hAnsi="Times New Roman" w:cs="Times New Roman"/>
          <w:i/>
          <w:sz w:val="24"/>
          <w:szCs w:val="24"/>
        </w:rPr>
        <w:t xml:space="preserve">a changing approach to </w:t>
      </w:r>
      <w:r w:rsidRPr="00DD57F1">
        <w:rPr>
          <w:rFonts w:ascii="Times New Roman" w:hAnsi="Times New Roman" w:cs="Times New Roman"/>
          <w:i/>
          <w:sz w:val="24"/>
          <w:szCs w:val="24"/>
        </w:rPr>
        <w:t>c</w:t>
      </w:r>
      <w:r w:rsidR="004C5699" w:rsidRPr="00DD57F1">
        <w:rPr>
          <w:rFonts w:ascii="Times New Roman" w:hAnsi="Times New Roman" w:cs="Times New Roman"/>
          <w:i/>
          <w:sz w:val="24"/>
          <w:szCs w:val="24"/>
        </w:rPr>
        <w:t>lass closure orders</w:t>
      </w:r>
      <w:r w:rsidR="00550D4F" w:rsidRPr="00DD57F1">
        <w:rPr>
          <w:rFonts w:ascii="Times New Roman" w:hAnsi="Times New Roman" w:cs="Times New Roman"/>
          <w:i/>
          <w:sz w:val="24"/>
          <w:szCs w:val="24"/>
        </w:rPr>
        <w:t>.</w:t>
      </w:r>
    </w:p>
    <w:p w14:paraId="0B8EE4C5" w14:textId="77777777" w:rsidR="004C5699" w:rsidRPr="00DD57F1" w:rsidRDefault="004C5699" w:rsidP="004C5699">
      <w:pPr>
        <w:pStyle w:val="ListParagraph"/>
        <w:spacing w:before="240" w:after="240" w:line="300" w:lineRule="auto"/>
        <w:ind w:left="567"/>
        <w:jc w:val="both"/>
        <w:rPr>
          <w:rFonts w:ascii="Times New Roman" w:hAnsi="Times New Roman" w:cs="Times New Roman"/>
          <w:sz w:val="24"/>
          <w:szCs w:val="24"/>
        </w:rPr>
      </w:pPr>
    </w:p>
    <w:p w14:paraId="47178582" w14:textId="2177EC6A" w:rsidR="00906206" w:rsidRPr="00DD57F1" w:rsidRDefault="00906206" w:rsidP="004C5699">
      <w:pPr>
        <w:pStyle w:val="ListParagraph"/>
        <w:spacing w:before="240" w:after="240" w:line="300" w:lineRule="auto"/>
        <w:ind w:left="567"/>
        <w:jc w:val="both"/>
        <w:rPr>
          <w:rFonts w:ascii="Times New Roman" w:hAnsi="Times New Roman" w:cs="Times New Roman"/>
          <w:sz w:val="24"/>
          <w:szCs w:val="24"/>
        </w:rPr>
      </w:pPr>
      <w:r w:rsidRPr="00DD57F1">
        <w:rPr>
          <w:rFonts w:ascii="Times New Roman" w:hAnsi="Times New Roman" w:cs="Times New Roman"/>
          <w:sz w:val="24"/>
          <w:szCs w:val="24"/>
        </w:rPr>
        <w:t xml:space="preserve">The Court has also addressed the practice of seeking </w:t>
      </w:r>
      <w:r w:rsidR="00FE03BF" w:rsidRPr="00DD57F1">
        <w:rPr>
          <w:rFonts w:ascii="Times New Roman" w:hAnsi="Times New Roman" w:cs="Times New Roman"/>
          <w:sz w:val="24"/>
          <w:szCs w:val="24"/>
        </w:rPr>
        <w:t xml:space="preserve">consent class member registration orders </w:t>
      </w:r>
      <w:r w:rsidR="00232116" w:rsidRPr="00DD57F1">
        <w:rPr>
          <w:rFonts w:ascii="Times New Roman" w:hAnsi="Times New Roman" w:cs="Times New Roman"/>
          <w:sz w:val="24"/>
          <w:szCs w:val="24"/>
        </w:rPr>
        <w:t xml:space="preserve">which </w:t>
      </w:r>
      <w:r w:rsidR="00FE03BF" w:rsidRPr="00DD57F1">
        <w:rPr>
          <w:rFonts w:ascii="Times New Roman" w:hAnsi="Times New Roman" w:cs="Times New Roman"/>
          <w:sz w:val="24"/>
          <w:szCs w:val="24"/>
        </w:rPr>
        <w:t xml:space="preserve">operate so that class members who neither registered nor </w:t>
      </w:r>
      <w:r w:rsidR="00A11975" w:rsidRPr="00DD57F1">
        <w:rPr>
          <w:rFonts w:ascii="Times New Roman" w:hAnsi="Times New Roman" w:cs="Times New Roman"/>
          <w:sz w:val="24"/>
          <w:szCs w:val="24"/>
        </w:rPr>
        <w:t>opted out</w:t>
      </w:r>
      <w:r w:rsidR="00FE03BF" w:rsidRPr="00DD57F1">
        <w:rPr>
          <w:rFonts w:ascii="Times New Roman" w:hAnsi="Times New Roman" w:cs="Times New Roman"/>
          <w:sz w:val="24"/>
          <w:szCs w:val="24"/>
        </w:rPr>
        <w:t xml:space="preserve"> were bound </w:t>
      </w:r>
      <w:r w:rsidR="00673CA1" w:rsidRPr="00DD57F1">
        <w:rPr>
          <w:rFonts w:ascii="Times New Roman" w:hAnsi="Times New Roman" w:cs="Times New Roman"/>
          <w:sz w:val="24"/>
          <w:szCs w:val="24"/>
        </w:rPr>
        <w:t>into any settlement</w:t>
      </w:r>
      <w:r w:rsidR="00FE03BF" w:rsidRPr="00DD57F1">
        <w:rPr>
          <w:rFonts w:ascii="Times New Roman" w:hAnsi="Times New Roman" w:cs="Times New Roman"/>
          <w:sz w:val="24"/>
          <w:szCs w:val="24"/>
        </w:rPr>
        <w:t xml:space="preserve">, </w:t>
      </w:r>
      <w:r w:rsidR="00232116" w:rsidRPr="00DD57F1">
        <w:rPr>
          <w:rFonts w:ascii="Times New Roman" w:hAnsi="Times New Roman" w:cs="Times New Roman"/>
          <w:sz w:val="24"/>
          <w:szCs w:val="24"/>
        </w:rPr>
        <w:t>but preclude</w:t>
      </w:r>
      <w:r w:rsidR="00FE03BF" w:rsidRPr="00DD57F1">
        <w:rPr>
          <w:rFonts w:ascii="Times New Roman" w:hAnsi="Times New Roman" w:cs="Times New Roman"/>
          <w:sz w:val="24"/>
          <w:szCs w:val="24"/>
        </w:rPr>
        <w:t>d</w:t>
      </w:r>
      <w:r w:rsidR="00232116" w:rsidRPr="00DD57F1">
        <w:rPr>
          <w:rFonts w:ascii="Times New Roman" w:hAnsi="Times New Roman" w:cs="Times New Roman"/>
          <w:sz w:val="24"/>
          <w:szCs w:val="24"/>
        </w:rPr>
        <w:t xml:space="preserve"> from sharing in any </w:t>
      </w:r>
      <w:r w:rsidR="004C5699" w:rsidRPr="00DD57F1">
        <w:rPr>
          <w:rFonts w:ascii="Times New Roman" w:hAnsi="Times New Roman" w:cs="Times New Roman"/>
          <w:sz w:val="24"/>
          <w:szCs w:val="24"/>
        </w:rPr>
        <w:t xml:space="preserve">settlement </w:t>
      </w:r>
      <w:r w:rsidR="004C5699" w:rsidRPr="00DD57F1">
        <w:rPr>
          <w:rFonts w:ascii="Times New Roman" w:hAnsi="Times New Roman" w:cs="Times New Roman"/>
          <w:i/>
          <w:sz w:val="24"/>
          <w:szCs w:val="24"/>
        </w:rPr>
        <w:t>or judgment</w:t>
      </w:r>
      <w:r w:rsidR="004C5699" w:rsidRPr="00DD57F1">
        <w:rPr>
          <w:rFonts w:ascii="Times New Roman" w:hAnsi="Times New Roman" w:cs="Times New Roman"/>
          <w:sz w:val="24"/>
          <w:szCs w:val="24"/>
        </w:rPr>
        <w:t xml:space="preserve">. </w:t>
      </w:r>
      <w:r w:rsidR="006251FE" w:rsidRPr="00DD57F1">
        <w:rPr>
          <w:rFonts w:ascii="Times New Roman" w:hAnsi="Times New Roman" w:cs="Times New Roman"/>
          <w:sz w:val="24"/>
          <w:szCs w:val="24"/>
        </w:rPr>
        <w:t xml:space="preserve"> </w:t>
      </w:r>
      <w:r w:rsidR="00232116" w:rsidRPr="00DD57F1">
        <w:rPr>
          <w:rFonts w:ascii="Times New Roman" w:hAnsi="Times New Roman" w:cs="Times New Roman"/>
          <w:sz w:val="24"/>
          <w:szCs w:val="24"/>
        </w:rPr>
        <w:t xml:space="preserve">Such orders </w:t>
      </w:r>
      <w:r w:rsidR="00673CA1" w:rsidRPr="00DD57F1">
        <w:rPr>
          <w:rFonts w:ascii="Times New Roman" w:hAnsi="Times New Roman" w:cs="Times New Roman"/>
          <w:sz w:val="24"/>
          <w:szCs w:val="24"/>
        </w:rPr>
        <w:t>were</w:t>
      </w:r>
      <w:r w:rsidR="00232116" w:rsidRPr="00DD57F1">
        <w:rPr>
          <w:rFonts w:ascii="Times New Roman" w:hAnsi="Times New Roman" w:cs="Times New Roman"/>
          <w:sz w:val="24"/>
          <w:szCs w:val="24"/>
        </w:rPr>
        <w:t xml:space="preserve"> said</w:t>
      </w:r>
      <w:r w:rsidR="004D4371" w:rsidRPr="00DD57F1">
        <w:rPr>
          <w:rFonts w:ascii="Times New Roman" w:hAnsi="Times New Roman" w:cs="Times New Roman"/>
          <w:sz w:val="24"/>
          <w:szCs w:val="24"/>
        </w:rPr>
        <w:t xml:space="preserve"> </w:t>
      </w:r>
      <w:r w:rsidR="00232116" w:rsidRPr="00DD57F1">
        <w:rPr>
          <w:rFonts w:ascii="Times New Roman" w:hAnsi="Times New Roman" w:cs="Times New Roman"/>
          <w:sz w:val="24"/>
          <w:szCs w:val="24"/>
        </w:rPr>
        <w:t xml:space="preserve">to be </w:t>
      </w:r>
      <w:r w:rsidR="004C5699" w:rsidRPr="00DD57F1">
        <w:rPr>
          <w:rFonts w:ascii="Times New Roman" w:hAnsi="Times New Roman" w:cs="Times New Roman"/>
          <w:sz w:val="24"/>
          <w:szCs w:val="24"/>
        </w:rPr>
        <w:t>necessary to facilitate settlement</w:t>
      </w:r>
      <w:r w:rsidR="007E1865" w:rsidRPr="00DD57F1">
        <w:rPr>
          <w:rFonts w:ascii="Times New Roman" w:hAnsi="Times New Roman" w:cs="Times New Roman"/>
          <w:sz w:val="24"/>
          <w:szCs w:val="24"/>
        </w:rPr>
        <w:t xml:space="preserve">. </w:t>
      </w:r>
    </w:p>
    <w:p w14:paraId="653B28FC" w14:textId="77777777" w:rsidR="00ED2707" w:rsidRDefault="00ED2707" w:rsidP="004C5699">
      <w:pPr>
        <w:pStyle w:val="ListParagraph"/>
        <w:spacing w:before="240" w:after="240" w:line="300" w:lineRule="auto"/>
        <w:ind w:left="567"/>
        <w:jc w:val="both"/>
        <w:rPr>
          <w:rFonts w:ascii="Times New Roman" w:hAnsi="Times New Roman" w:cs="Times New Roman"/>
          <w:sz w:val="24"/>
          <w:szCs w:val="24"/>
        </w:rPr>
      </w:pPr>
    </w:p>
    <w:p w14:paraId="355CE0BA" w14:textId="551A13E5" w:rsidR="00232116" w:rsidRPr="00DD57F1" w:rsidRDefault="00FE03BF" w:rsidP="004C5699">
      <w:pPr>
        <w:pStyle w:val="ListParagraph"/>
        <w:spacing w:before="240" w:after="240" w:line="300" w:lineRule="auto"/>
        <w:ind w:left="567"/>
        <w:jc w:val="both"/>
        <w:rPr>
          <w:rFonts w:ascii="Times New Roman" w:hAnsi="Times New Roman" w:cs="Times New Roman"/>
          <w:sz w:val="24"/>
          <w:szCs w:val="24"/>
        </w:rPr>
      </w:pPr>
      <w:r w:rsidRPr="00DD57F1">
        <w:rPr>
          <w:rFonts w:ascii="Times New Roman" w:hAnsi="Times New Roman" w:cs="Times New Roman"/>
          <w:sz w:val="24"/>
          <w:szCs w:val="24"/>
        </w:rPr>
        <w:lastRenderedPageBreak/>
        <w:t>I</w:t>
      </w:r>
      <w:r w:rsidR="00232116" w:rsidRPr="00DD57F1">
        <w:rPr>
          <w:rFonts w:ascii="Times New Roman" w:hAnsi="Times New Roman" w:cs="Times New Roman"/>
          <w:sz w:val="24"/>
          <w:szCs w:val="24"/>
        </w:rPr>
        <w:t xml:space="preserve">n </w:t>
      </w:r>
      <w:r w:rsidR="00232116" w:rsidRPr="00DD57F1">
        <w:rPr>
          <w:rFonts w:ascii="Times New Roman" w:hAnsi="Times New Roman" w:cs="Times New Roman"/>
          <w:i/>
          <w:sz w:val="24"/>
          <w:szCs w:val="24"/>
        </w:rPr>
        <w:t>Melbourne City Investments Pty Ltd v Treasury Wine Estates Limited</w:t>
      </w:r>
      <w:r w:rsidR="00232116" w:rsidRPr="00DD57F1">
        <w:rPr>
          <w:rStyle w:val="EndnoteReference"/>
          <w:rFonts w:ascii="Times New Roman" w:hAnsi="Times New Roman" w:cs="Times New Roman"/>
        </w:rPr>
        <w:endnoteReference w:id="28"/>
      </w:r>
      <w:r w:rsidRPr="00DD57F1">
        <w:rPr>
          <w:rFonts w:ascii="Times New Roman" w:hAnsi="Times New Roman" w:cs="Times New Roman"/>
          <w:sz w:val="24"/>
          <w:szCs w:val="24"/>
        </w:rPr>
        <w:t xml:space="preserve"> the Full Court </w:t>
      </w:r>
      <w:r w:rsidR="00906206" w:rsidRPr="00DD57F1">
        <w:rPr>
          <w:rFonts w:ascii="Times New Roman" w:hAnsi="Times New Roman" w:cs="Times New Roman"/>
          <w:sz w:val="24"/>
          <w:szCs w:val="24"/>
        </w:rPr>
        <w:t xml:space="preserve">accepted that </w:t>
      </w:r>
      <w:r w:rsidR="00ED2707">
        <w:rPr>
          <w:rFonts w:ascii="Times New Roman" w:hAnsi="Times New Roman" w:cs="Times New Roman"/>
          <w:sz w:val="24"/>
          <w:szCs w:val="24"/>
        </w:rPr>
        <w:t xml:space="preserve">a </w:t>
      </w:r>
      <w:r w:rsidR="00906206" w:rsidRPr="00DD57F1">
        <w:rPr>
          <w:rFonts w:ascii="Times New Roman" w:hAnsi="Times New Roman" w:cs="Times New Roman"/>
          <w:sz w:val="24"/>
          <w:szCs w:val="24"/>
        </w:rPr>
        <w:t>preclusion from sharing in the settlement might be appropriate because the requirement to register claims would allow both sides to have a better understanding of total quantum of claims, and therefore</w:t>
      </w:r>
      <w:r w:rsidR="00866532" w:rsidRPr="00DD57F1">
        <w:rPr>
          <w:rFonts w:ascii="Times New Roman" w:hAnsi="Times New Roman" w:cs="Times New Roman"/>
          <w:sz w:val="24"/>
          <w:szCs w:val="24"/>
        </w:rPr>
        <w:t xml:space="preserve"> facilitate settlement.  However it said </w:t>
      </w:r>
      <w:r w:rsidRPr="00DD57F1">
        <w:rPr>
          <w:rFonts w:ascii="Times New Roman" w:hAnsi="Times New Roman" w:cs="Times New Roman"/>
          <w:sz w:val="24"/>
          <w:szCs w:val="24"/>
        </w:rPr>
        <w:t xml:space="preserve">that </w:t>
      </w:r>
      <w:r w:rsidR="004D725F" w:rsidRPr="00DD57F1">
        <w:rPr>
          <w:rFonts w:ascii="Times New Roman" w:hAnsi="Times New Roman" w:cs="Times New Roman"/>
          <w:sz w:val="24"/>
          <w:szCs w:val="24"/>
        </w:rPr>
        <w:t xml:space="preserve">it was not appropriate for class closure orders to be made that, in the event a settlement was not achieved, operated </w:t>
      </w:r>
      <w:r w:rsidR="00232116" w:rsidRPr="00DD57F1">
        <w:rPr>
          <w:rFonts w:ascii="Times New Roman" w:hAnsi="Times New Roman" w:cs="Times New Roman"/>
          <w:sz w:val="24"/>
          <w:szCs w:val="24"/>
        </w:rPr>
        <w:t xml:space="preserve">to lock class members out of </w:t>
      </w:r>
      <w:r w:rsidR="004D725F" w:rsidRPr="00DD57F1">
        <w:rPr>
          <w:rFonts w:ascii="Times New Roman" w:hAnsi="Times New Roman" w:cs="Times New Roman"/>
          <w:sz w:val="24"/>
          <w:szCs w:val="24"/>
        </w:rPr>
        <w:t>any</w:t>
      </w:r>
      <w:r w:rsidR="00232116" w:rsidRPr="00DD57F1">
        <w:rPr>
          <w:rFonts w:ascii="Times New Roman" w:hAnsi="Times New Roman" w:cs="Times New Roman"/>
          <w:sz w:val="24"/>
          <w:szCs w:val="24"/>
        </w:rPr>
        <w:t xml:space="preserve"> entitlement to share in a judgement.</w:t>
      </w:r>
      <w:r w:rsidR="00866532" w:rsidRPr="00DD57F1">
        <w:rPr>
          <w:rFonts w:ascii="Times New Roman" w:hAnsi="Times New Roman" w:cs="Times New Roman"/>
          <w:sz w:val="24"/>
          <w:szCs w:val="24"/>
        </w:rPr>
        <w:t xml:space="preserve">  That is, facilitation of settlement is a good reason for a class closure order but, if settlement is not achieved, an order to shut out class members who do not respond to the chosen deadline is not.</w:t>
      </w:r>
      <w:r w:rsidR="00232116" w:rsidRPr="00DD57F1">
        <w:rPr>
          <w:rFonts w:ascii="Times New Roman" w:hAnsi="Times New Roman" w:cs="Times New Roman"/>
          <w:sz w:val="24"/>
          <w:szCs w:val="24"/>
        </w:rPr>
        <w:t xml:space="preserve">  </w:t>
      </w:r>
    </w:p>
    <w:p w14:paraId="69C85EAD" w14:textId="77777777" w:rsidR="00760C37" w:rsidRPr="00DD57F1" w:rsidRDefault="00760C37" w:rsidP="004D4371">
      <w:pPr>
        <w:pStyle w:val="ListParagraph"/>
        <w:spacing w:after="240" w:line="300" w:lineRule="auto"/>
        <w:ind w:left="567"/>
        <w:jc w:val="both"/>
        <w:rPr>
          <w:rFonts w:ascii="Times New Roman" w:hAnsi="Times New Roman" w:cs="Times New Roman"/>
          <w:sz w:val="24"/>
          <w:szCs w:val="24"/>
        </w:rPr>
      </w:pPr>
    </w:p>
    <w:p w14:paraId="46E50CFB" w14:textId="74E63B5A" w:rsidR="00760C37" w:rsidRPr="00DD57F1" w:rsidRDefault="00760C37" w:rsidP="004D4371">
      <w:pPr>
        <w:pStyle w:val="ListParagraph"/>
        <w:spacing w:after="240" w:line="300" w:lineRule="auto"/>
        <w:ind w:left="567"/>
        <w:jc w:val="both"/>
        <w:rPr>
          <w:rFonts w:ascii="Times New Roman" w:hAnsi="Times New Roman" w:cs="Times New Roman"/>
          <w:sz w:val="24"/>
          <w:szCs w:val="24"/>
        </w:rPr>
      </w:pPr>
      <w:r w:rsidRPr="00DD57F1">
        <w:rPr>
          <w:rFonts w:ascii="Times New Roman" w:hAnsi="Times New Roman" w:cs="Times New Roman"/>
          <w:sz w:val="24"/>
          <w:szCs w:val="24"/>
        </w:rPr>
        <w:t xml:space="preserve">More recently, in </w:t>
      </w:r>
      <w:r w:rsidRPr="00DD57F1">
        <w:rPr>
          <w:rFonts w:ascii="Times New Roman" w:hAnsi="Times New Roman" w:cs="Times New Roman"/>
          <w:i/>
          <w:sz w:val="24"/>
          <w:szCs w:val="24"/>
        </w:rPr>
        <w:t>Kuterba v Sirtex Medical Limited</w:t>
      </w:r>
      <w:r w:rsidRPr="00DD57F1">
        <w:rPr>
          <w:rStyle w:val="EndnoteReference"/>
          <w:rFonts w:ascii="Times New Roman" w:hAnsi="Times New Roman" w:cs="Times New Roman"/>
          <w:sz w:val="24"/>
          <w:szCs w:val="24"/>
        </w:rPr>
        <w:endnoteReference w:id="29"/>
      </w:r>
      <w:r w:rsidR="004D725F" w:rsidRPr="00DD57F1">
        <w:rPr>
          <w:rFonts w:ascii="Times New Roman" w:hAnsi="Times New Roman" w:cs="Times New Roman"/>
          <w:sz w:val="24"/>
          <w:szCs w:val="24"/>
        </w:rPr>
        <w:t xml:space="preserve"> </w:t>
      </w:r>
      <w:r w:rsidR="00866532" w:rsidRPr="00DD57F1">
        <w:rPr>
          <w:rFonts w:ascii="Times New Roman" w:hAnsi="Times New Roman" w:cs="Times New Roman"/>
          <w:sz w:val="24"/>
          <w:szCs w:val="24"/>
        </w:rPr>
        <w:t>I</w:t>
      </w:r>
      <w:r w:rsidR="004D725F" w:rsidRPr="00DD57F1">
        <w:rPr>
          <w:rFonts w:ascii="Times New Roman" w:hAnsi="Times New Roman" w:cs="Times New Roman"/>
          <w:sz w:val="24"/>
          <w:szCs w:val="24"/>
        </w:rPr>
        <w:t xml:space="preserve"> </w:t>
      </w:r>
      <w:r w:rsidR="00257424" w:rsidRPr="00DD57F1">
        <w:rPr>
          <w:rFonts w:ascii="Times New Roman" w:hAnsi="Times New Roman" w:cs="Times New Roman"/>
          <w:sz w:val="24"/>
          <w:szCs w:val="24"/>
        </w:rPr>
        <w:t>declined</w:t>
      </w:r>
      <w:r w:rsidR="003406B7" w:rsidRPr="00DD57F1">
        <w:rPr>
          <w:rFonts w:ascii="Times New Roman" w:hAnsi="Times New Roman" w:cs="Times New Roman"/>
          <w:sz w:val="24"/>
          <w:szCs w:val="24"/>
        </w:rPr>
        <w:t xml:space="preserve"> the respondent’s application for </w:t>
      </w:r>
      <w:r w:rsidR="00257424" w:rsidRPr="00DD57F1">
        <w:rPr>
          <w:rFonts w:ascii="Times New Roman" w:hAnsi="Times New Roman" w:cs="Times New Roman"/>
          <w:sz w:val="24"/>
          <w:szCs w:val="24"/>
        </w:rPr>
        <w:t>class closure</w:t>
      </w:r>
      <w:r w:rsidR="004D725F" w:rsidRPr="00DD57F1">
        <w:rPr>
          <w:rFonts w:ascii="Times New Roman" w:hAnsi="Times New Roman" w:cs="Times New Roman"/>
          <w:sz w:val="24"/>
          <w:szCs w:val="24"/>
        </w:rPr>
        <w:t xml:space="preserve"> because </w:t>
      </w:r>
      <w:r w:rsidR="00866532" w:rsidRPr="00DD57F1">
        <w:rPr>
          <w:rFonts w:ascii="Times New Roman" w:hAnsi="Times New Roman" w:cs="Times New Roman"/>
          <w:sz w:val="24"/>
          <w:szCs w:val="24"/>
        </w:rPr>
        <w:t>I</w:t>
      </w:r>
      <w:r w:rsidR="004D725F" w:rsidRPr="00DD57F1">
        <w:rPr>
          <w:rFonts w:ascii="Times New Roman" w:hAnsi="Times New Roman" w:cs="Times New Roman"/>
          <w:sz w:val="24"/>
          <w:szCs w:val="24"/>
        </w:rPr>
        <w:t xml:space="preserve"> considered settlement would be sufficiently facilitated by a class member registration process </w:t>
      </w:r>
      <w:r w:rsidR="00866532" w:rsidRPr="00DD57F1">
        <w:rPr>
          <w:rFonts w:ascii="Times New Roman" w:hAnsi="Times New Roman" w:cs="Times New Roman"/>
          <w:sz w:val="24"/>
          <w:szCs w:val="24"/>
        </w:rPr>
        <w:t>conducted using</w:t>
      </w:r>
      <w:r w:rsidR="004D725F" w:rsidRPr="00DD57F1">
        <w:rPr>
          <w:rFonts w:ascii="Times New Roman" w:hAnsi="Times New Roman" w:cs="Times New Roman"/>
          <w:sz w:val="24"/>
          <w:szCs w:val="24"/>
        </w:rPr>
        <w:t xml:space="preserve"> </w:t>
      </w:r>
      <w:r w:rsidR="0077127A" w:rsidRPr="00DD57F1">
        <w:rPr>
          <w:rFonts w:ascii="Times New Roman" w:hAnsi="Times New Roman" w:cs="Times New Roman"/>
          <w:sz w:val="24"/>
          <w:szCs w:val="24"/>
        </w:rPr>
        <w:t>the share register</w:t>
      </w:r>
      <w:r w:rsidR="004D725F" w:rsidRPr="00DD57F1">
        <w:rPr>
          <w:rFonts w:ascii="Times New Roman" w:hAnsi="Times New Roman" w:cs="Times New Roman"/>
          <w:sz w:val="24"/>
          <w:szCs w:val="24"/>
        </w:rPr>
        <w:t xml:space="preserve">.  </w:t>
      </w:r>
      <w:r w:rsidR="00866532" w:rsidRPr="00DD57F1">
        <w:rPr>
          <w:rFonts w:ascii="Times New Roman" w:hAnsi="Times New Roman" w:cs="Times New Roman"/>
          <w:sz w:val="24"/>
          <w:szCs w:val="24"/>
        </w:rPr>
        <w:t>I</w:t>
      </w:r>
      <w:r w:rsidR="00ED2707">
        <w:rPr>
          <w:rFonts w:ascii="Times New Roman" w:hAnsi="Times New Roman" w:cs="Times New Roman"/>
          <w:sz w:val="24"/>
          <w:szCs w:val="24"/>
        </w:rPr>
        <w:t xml:space="preserve"> concluded </w:t>
      </w:r>
      <w:r w:rsidR="004D725F" w:rsidRPr="00DD57F1">
        <w:rPr>
          <w:rFonts w:ascii="Times New Roman" w:hAnsi="Times New Roman" w:cs="Times New Roman"/>
          <w:sz w:val="24"/>
          <w:szCs w:val="24"/>
        </w:rPr>
        <w:t xml:space="preserve">that informing class members that they should register </w:t>
      </w:r>
      <w:r w:rsidR="008407C3" w:rsidRPr="00DD57F1">
        <w:rPr>
          <w:rFonts w:ascii="Times New Roman" w:hAnsi="Times New Roman" w:cs="Times New Roman"/>
          <w:sz w:val="24"/>
          <w:szCs w:val="24"/>
        </w:rPr>
        <w:t>– but not</w:t>
      </w:r>
      <w:r w:rsidR="004D725F" w:rsidRPr="00DD57F1">
        <w:rPr>
          <w:rFonts w:ascii="Times New Roman" w:hAnsi="Times New Roman" w:cs="Times New Roman"/>
          <w:sz w:val="24"/>
          <w:szCs w:val="24"/>
        </w:rPr>
        <w:t xml:space="preserve"> requiring them to do so on threat of </w:t>
      </w:r>
      <w:r w:rsidR="00866532" w:rsidRPr="00DD57F1">
        <w:rPr>
          <w:rFonts w:ascii="Times New Roman" w:hAnsi="Times New Roman" w:cs="Times New Roman"/>
          <w:sz w:val="24"/>
          <w:szCs w:val="24"/>
        </w:rPr>
        <w:t>being excluded from participating in</w:t>
      </w:r>
      <w:r w:rsidR="004D725F" w:rsidRPr="00DD57F1">
        <w:rPr>
          <w:rFonts w:ascii="Times New Roman" w:hAnsi="Times New Roman" w:cs="Times New Roman"/>
          <w:sz w:val="24"/>
          <w:szCs w:val="24"/>
        </w:rPr>
        <w:t xml:space="preserve"> the case </w:t>
      </w:r>
      <w:r w:rsidR="008407C3" w:rsidRPr="00DD57F1">
        <w:rPr>
          <w:rFonts w:ascii="Times New Roman" w:hAnsi="Times New Roman" w:cs="Times New Roman"/>
          <w:sz w:val="24"/>
          <w:szCs w:val="24"/>
        </w:rPr>
        <w:t>–</w:t>
      </w:r>
      <w:r w:rsidR="004D725F" w:rsidRPr="00DD57F1">
        <w:rPr>
          <w:rFonts w:ascii="Times New Roman" w:hAnsi="Times New Roman" w:cs="Times New Roman"/>
          <w:sz w:val="24"/>
          <w:szCs w:val="24"/>
        </w:rPr>
        <w:t xml:space="preserve"> was unlikely to</w:t>
      </w:r>
      <w:r w:rsidR="003406B7" w:rsidRPr="00DD57F1">
        <w:rPr>
          <w:rFonts w:ascii="Times New Roman" w:hAnsi="Times New Roman" w:cs="Times New Roman"/>
          <w:sz w:val="24"/>
          <w:szCs w:val="24"/>
        </w:rPr>
        <w:t xml:space="preserve"> make a significant difference to the level of registration.  </w:t>
      </w:r>
    </w:p>
    <w:p w14:paraId="5C2FD5DE" w14:textId="78DA2F85" w:rsidR="004D4371" w:rsidRPr="00DD57F1" w:rsidRDefault="004D4371" w:rsidP="004D4371">
      <w:pPr>
        <w:pStyle w:val="ListParagraph"/>
        <w:spacing w:after="240" w:line="300" w:lineRule="auto"/>
        <w:ind w:left="567"/>
        <w:jc w:val="both"/>
        <w:rPr>
          <w:rFonts w:ascii="Times New Roman" w:hAnsi="Times New Roman" w:cs="Times New Roman"/>
        </w:rPr>
      </w:pPr>
    </w:p>
    <w:p w14:paraId="425AB720" w14:textId="6D7FE188" w:rsidR="004D725F" w:rsidRPr="00DD57F1" w:rsidRDefault="004D725F" w:rsidP="004D725F">
      <w:pPr>
        <w:pStyle w:val="ListParagraph"/>
        <w:numPr>
          <w:ilvl w:val="0"/>
          <w:numId w:val="37"/>
        </w:numPr>
        <w:spacing w:after="240" w:line="300" w:lineRule="auto"/>
        <w:ind w:left="567" w:hanging="567"/>
        <w:jc w:val="both"/>
        <w:rPr>
          <w:rFonts w:ascii="Times New Roman" w:hAnsi="Times New Roman" w:cs="Times New Roman"/>
          <w:sz w:val="24"/>
          <w:szCs w:val="24"/>
        </w:rPr>
      </w:pPr>
      <w:r w:rsidRPr="00DD57F1">
        <w:rPr>
          <w:rFonts w:ascii="Times New Roman" w:hAnsi="Times New Roman" w:cs="Times New Roman"/>
          <w:sz w:val="24"/>
          <w:szCs w:val="24"/>
        </w:rPr>
        <w:t xml:space="preserve">Third, </w:t>
      </w:r>
      <w:r w:rsidRPr="00DD57F1">
        <w:rPr>
          <w:rFonts w:ascii="Times New Roman" w:hAnsi="Times New Roman" w:cs="Times New Roman"/>
          <w:i/>
          <w:sz w:val="24"/>
          <w:szCs w:val="24"/>
        </w:rPr>
        <w:t>increased acceptance of the importance of judicial scrutiny of settlements</w:t>
      </w:r>
      <w:r w:rsidR="00550D4F" w:rsidRPr="00DD57F1">
        <w:rPr>
          <w:rFonts w:ascii="Times New Roman" w:hAnsi="Times New Roman" w:cs="Times New Roman"/>
          <w:i/>
          <w:sz w:val="24"/>
          <w:szCs w:val="24"/>
        </w:rPr>
        <w:t>.</w:t>
      </w:r>
    </w:p>
    <w:p w14:paraId="2D301706" w14:textId="77777777" w:rsidR="004D725F" w:rsidRPr="00DD57F1" w:rsidRDefault="004D725F" w:rsidP="004D725F">
      <w:pPr>
        <w:pStyle w:val="ListParagraph"/>
        <w:spacing w:after="240" w:line="300" w:lineRule="auto"/>
        <w:ind w:left="567"/>
        <w:jc w:val="both"/>
        <w:rPr>
          <w:rFonts w:ascii="Times New Roman" w:hAnsi="Times New Roman" w:cs="Times New Roman"/>
          <w:sz w:val="24"/>
          <w:szCs w:val="24"/>
        </w:rPr>
      </w:pPr>
    </w:p>
    <w:p w14:paraId="28F01733" w14:textId="0089F17B" w:rsidR="004D725F" w:rsidRPr="00DD57F1" w:rsidRDefault="004D725F" w:rsidP="004D725F">
      <w:pPr>
        <w:pStyle w:val="ListParagraph"/>
        <w:spacing w:before="240" w:after="240" w:line="300" w:lineRule="auto"/>
        <w:ind w:left="567"/>
        <w:jc w:val="both"/>
        <w:rPr>
          <w:rFonts w:ascii="Times New Roman" w:hAnsi="Times New Roman" w:cs="Times New Roman"/>
          <w:sz w:val="24"/>
          <w:szCs w:val="24"/>
        </w:rPr>
      </w:pPr>
      <w:r w:rsidRPr="00DD57F1">
        <w:rPr>
          <w:rFonts w:ascii="Times New Roman" w:hAnsi="Times New Roman" w:cs="Times New Roman"/>
          <w:sz w:val="24"/>
          <w:szCs w:val="24"/>
        </w:rPr>
        <w:t xml:space="preserve">The legislature </w:t>
      </w:r>
      <w:r w:rsidR="00550D4F" w:rsidRPr="00DD57F1">
        <w:rPr>
          <w:rFonts w:ascii="Times New Roman" w:hAnsi="Times New Roman" w:cs="Times New Roman"/>
          <w:sz w:val="24"/>
          <w:szCs w:val="24"/>
        </w:rPr>
        <w:t>conferred power on the</w:t>
      </w:r>
      <w:r w:rsidRPr="00DD57F1">
        <w:rPr>
          <w:rFonts w:ascii="Times New Roman" w:hAnsi="Times New Roman" w:cs="Times New Roman"/>
          <w:sz w:val="24"/>
          <w:szCs w:val="24"/>
        </w:rPr>
        <w:t xml:space="preserve"> Court to protect class members’ interests through the requirement </w:t>
      </w:r>
      <w:r w:rsidR="00550D4F" w:rsidRPr="00DD57F1">
        <w:rPr>
          <w:rFonts w:ascii="Times New Roman" w:hAnsi="Times New Roman" w:cs="Times New Roman"/>
          <w:sz w:val="24"/>
          <w:szCs w:val="24"/>
        </w:rPr>
        <w:t xml:space="preserve">of judicial approval for </w:t>
      </w:r>
      <w:r w:rsidRPr="00DD57F1">
        <w:rPr>
          <w:rFonts w:ascii="Times New Roman" w:hAnsi="Times New Roman" w:cs="Times New Roman"/>
          <w:sz w:val="24"/>
          <w:szCs w:val="24"/>
        </w:rPr>
        <w:t>any settlement</w:t>
      </w:r>
      <w:r w:rsidR="00ED2707">
        <w:rPr>
          <w:rFonts w:ascii="Times New Roman" w:hAnsi="Times New Roman" w:cs="Times New Roman"/>
          <w:sz w:val="24"/>
          <w:szCs w:val="24"/>
        </w:rPr>
        <w:t xml:space="preserve"> and, particularly in</w:t>
      </w:r>
      <w:r w:rsidRPr="00DD57F1">
        <w:rPr>
          <w:rFonts w:ascii="Times New Roman" w:hAnsi="Times New Roman" w:cs="Times New Roman"/>
          <w:sz w:val="24"/>
          <w:szCs w:val="24"/>
        </w:rPr>
        <w:t xml:space="preserve"> recent years</w:t>
      </w:r>
      <w:r w:rsidR="00ED2707">
        <w:rPr>
          <w:rFonts w:ascii="Times New Roman" w:hAnsi="Times New Roman" w:cs="Times New Roman"/>
          <w:sz w:val="24"/>
          <w:szCs w:val="24"/>
        </w:rPr>
        <w:t>,</w:t>
      </w:r>
      <w:r w:rsidRPr="00DD57F1">
        <w:rPr>
          <w:rFonts w:ascii="Times New Roman" w:hAnsi="Times New Roman" w:cs="Times New Roman"/>
          <w:sz w:val="24"/>
          <w:szCs w:val="24"/>
        </w:rPr>
        <w:t xml:space="preserve"> judges </w:t>
      </w:r>
      <w:r w:rsidR="00ED2707">
        <w:rPr>
          <w:rFonts w:ascii="Times New Roman" w:hAnsi="Times New Roman" w:cs="Times New Roman"/>
          <w:sz w:val="24"/>
          <w:szCs w:val="24"/>
        </w:rPr>
        <w:t xml:space="preserve">of the Court </w:t>
      </w:r>
      <w:r w:rsidRPr="00DD57F1">
        <w:rPr>
          <w:rFonts w:ascii="Times New Roman" w:hAnsi="Times New Roman" w:cs="Times New Roman"/>
          <w:sz w:val="24"/>
          <w:szCs w:val="24"/>
        </w:rPr>
        <w:t>have taken their role in scrutinising settlements more seriously.</w:t>
      </w:r>
      <w:r w:rsidR="00550D4F" w:rsidRPr="00DD57F1">
        <w:rPr>
          <w:rFonts w:ascii="Times New Roman" w:hAnsi="Times New Roman" w:cs="Times New Roman"/>
          <w:sz w:val="24"/>
          <w:szCs w:val="24"/>
        </w:rPr>
        <w:t xml:space="preserve"> </w:t>
      </w:r>
      <w:r w:rsidRPr="00DD57F1">
        <w:rPr>
          <w:rFonts w:ascii="Times New Roman" w:hAnsi="Times New Roman" w:cs="Times New Roman"/>
          <w:sz w:val="24"/>
          <w:szCs w:val="24"/>
        </w:rPr>
        <w:t xml:space="preserve"> Settlement approval judgments are more detailed</w:t>
      </w:r>
      <w:r w:rsidRPr="00DD57F1">
        <w:rPr>
          <w:rStyle w:val="EndnoteReference"/>
          <w:rFonts w:ascii="Times New Roman" w:hAnsi="Times New Roman" w:cs="Times New Roman"/>
        </w:rPr>
        <w:endnoteReference w:id="30"/>
      </w:r>
      <w:r w:rsidRPr="00DD57F1">
        <w:rPr>
          <w:rFonts w:ascii="Times New Roman" w:hAnsi="Times New Roman" w:cs="Times New Roman"/>
        </w:rPr>
        <w:t xml:space="preserve"> </w:t>
      </w:r>
      <w:r w:rsidRPr="00DD57F1">
        <w:rPr>
          <w:rFonts w:ascii="Times New Roman" w:hAnsi="Times New Roman" w:cs="Times New Roman"/>
          <w:sz w:val="24"/>
          <w:szCs w:val="24"/>
        </w:rPr>
        <w:t>and give close consideration of a wider range of matters,</w:t>
      </w:r>
      <w:r w:rsidRPr="00DD57F1">
        <w:rPr>
          <w:rStyle w:val="EndnoteReference"/>
          <w:rFonts w:ascii="Times New Roman" w:hAnsi="Times New Roman" w:cs="Times New Roman"/>
        </w:rPr>
        <w:endnoteReference w:id="31"/>
      </w:r>
      <w:r w:rsidRPr="00DD57F1">
        <w:rPr>
          <w:rFonts w:ascii="Times New Roman" w:hAnsi="Times New Roman" w:cs="Times New Roman"/>
          <w:sz w:val="24"/>
          <w:szCs w:val="24"/>
        </w:rPr>
        <w:t xml:space="preserve"> there is a greater use of a contradictor or amicus curiae where the Court has concerns with aspects of the settlement</w:t>
      </w:r>
      <w:r w:rsidR="00550D4F" w:rsidRPr="00DD57F1">
        <w:rPr>
          <w:rFonts w:ascii="Times New Roman" w:hAnsi="Times New Roman" w:cs="Times New Roman"/>
          <w:sz w:val="24"/>
          <w:szCs w:val="24"/>
        </w:rPr>
        <w:t>,</w:t>
      </w:r>
      <w:r w:rsidRPr="00DD57F1">
        <w:rPr>
          <w:rStyle w:val="EndnoteReference"/>
          <w:rFonts w:ascii="Times New Roman" w:hAnsi="Times New Roman" w:cs="Times New Roman"/>
          <w:sz w:val="24"/>
          <w:szCs w:val="24"/>
        </w:rPr>
        <w:endnoteReference w:id="32"/>
      </w:r>
      <w:r w:rsidRPr="00DD57F1">
        <w:rPr>
          <w:rFonts w:ascii="Times New Roman" w:hAnsi="Times New Roman" w:cs="Times New Roman"/>
          <w:i/>
          <w:sz w:val="24"/>
          <w:szCs w:val="24"/>
        </w:rPr>
        <w:t xml:space="preserve"> </w:t>
      </w:r>
      <w:r w:rsidRPr="00DD57F1">
        <w:rPr>
          <w:rFonts w:ascii="Times New Roman" w:hAnsi="Times New Roman" w:cs="Times New Roman"/>
          <w:sz w:val="24"/>
          <w:szCs w:val="24"/>
        </w:rPr>
        <w:t xml:space="preserve">and there seems to be a greater judicial willingness </w:t>
      </w:r>
      <w:r w:rsidR="00550D4F" w:rsidRPr="00DD57F1">
        <w:rPr>
          <w:rFonts w:ascii="Times New Roman" w:hAnsi="Times New Roman" w:cs="Times New Roman"/>
          <w:sz w:val="24"/>
          <w:szCs w:val="24"/>
        </w:rPr>
        <w:t>to refuse</w:t>
      </w:r>
      <w:r w:rsidRPr="00DD57F1">
        <w:rPr>
          <w:rFonts w:ascii="Times New Roman" w:hAnsi="Times New Roman" w:cs="Times New Roman"/>
          <w:sz w:val="24"/>
          <w:szCs w:val="24"/>
        </w:rPr>
        <w:t xml:space="preserve"> settlements that have unjust or unreasonable features</w:t>
      </w:r>
      <w:r w:rsidR="00550D4F" w:rsidRPr="00DD57F1">
        <w:rPr>
          <w:rFonts w:ascii="Times New Roman" w:hAnsi="Times New Roman" w:cs="Times New Roman"/>
          <w:sz w:val="24"/>
          <w:szCs w:val="24"/>
        </w:rPr>
        <w:t>.</w:t>
      </w:r>
      <w:r w:rsidRPr="00DD57F1">
        <w:rPr>
          <w:rStyle w:val="EndnoteReference"/>
          <w:rFonts w:ascii="Times New Roman" w:hAnsi="Times New Roman" w:cs="Times New Roman"/>
        </w:rPr>
        <w:endnoteReference w:id="33"/>
      </w:r>
      <w:r w:rsidRPr="00DD57F1">
        <w:rPr>
          <w:rFonts w:ascii="Times New Roman" w:hAnsi="Times New Roman" w:cs="Times New Roman"/>
          <w:sz w:val="24"/>
          <w:szCs w:val="24"/>
        </w:rPr>
        <w:t xml:space="preserve"> </w:t>
      </w:r>
    </w:p>
    <w:p w14:paraId="655DEFAF" w14:textId="7AB45862" w:rsidR="004D725F" w:rsidRDefault="004D725F" w:rsidP="004D4371">
      <w:pPr>
        <w:pStyle w:val="ListParagraph"/>
        <w:spacing w:after="240" w:line="300" w:lineRule="auto"/>
        <w:ind w:left="567"/>
        <w:jc w:val="both"/>
        <w:rPr>
          <w:rFonts w:ascii="Times New Roman" w:hAnsi="Times New Roman" w:cs="Times New Roman"/>
        </w:rPr>
      </w:pPr>
    </w:p>
    <w:p w14:paraId="73AF99DD" w14:textId="77777777" w:rsidR="00CE14A6" w:rsidRPr="00DD57F1" w:rsidRDefault="00CE14A6" w:rsidP="004D4371">
      <w:pPr>
        <w:pStyle w:val="ListParagraph"/>
        <w:spacing w:after="240" w:line="300" w:lineRule="auto"/>
        <w:ind w:left="567"/>
        <w:jc w:val="both"/>
        <w:rPr>
          <w:rFonts w:ascii="Times New Roman" w:hAnsi="Times New Roman" w:cs="Times New Roman"/>
        </w:rPr>
      </w:pPr>
    </w:p>
    <w:p w14:paraId="322C99F0" w14:textId="33E66A5C" w:rsidR="006D4DBD" w:rsidRPr="0058605E" w:rsidRDefault="00AF3F78" w:rsidP="00ED2707">
      <w:pPr>
        <w:pStyle w:val="ListParagraph"/>
        <w:numPr>
          <w:ilvl w:val="0"/>
          <w:numId w:val="38"/>
        </w:numPr>
        <w:spacing w:after="240" w:line="300" w:lineRule="auto"/>
        <w:ind w:left="567" w:hanging="567"/>
        <w:jc w:val="both"/>
        <w:rPr>
          <w:rFonts w:ascii="Times New Roman" w:hAnsi="Times New Roman" w:cs="Times New Roman"/>
          <w:b/>
          <w:caps/>
          <w:sz w:val="24"/>
          <w:szCs w:val="24"/>
        </w:rPr>
      </w:pPr>
      <w:r w:rsidRPr="0058605E">
        <w:rPr>
          <w:rFonts w:ascii="Times New Roman" w:hAnsi="Times New Roman" w:cs="Times New Roman"/>
          <w:b/>
          <w:caps/>
          <w:sz w:val="24"/>
          <w:szCs w:val="24"/>
        </w:rPr>
        <w:t xml:space="preserve">alrc </w:t>
      </w:r>
      <w:r w:rsidR="007B50DE" w:rsidRPr="0058605E">
        <w:rPr>
          <w:rFonts w:ascii="Times New Roman" w:hAnsi="Times New Roman" w:cs="Times New Roman"/>
          <w:b/>
          <w:caps/>
          <w:sz w:val="24"/>
          <w:szCs w:val="24"/>
        </w:rPr>
        <w:t>Reform Proposals</w:t>
      </w:r>
    </w:p>
    <w:p w14:paraId="25F17A45" w14:textId="7B7DF4CA" w:rsidR="007B50DE" w:rsidRPr="00CE14A6" w:rsidRDefault="007B50DE" w:rsidP="00CE14A6">
      <w:pPr>
        <w:rPr>
          <w:rFonts w:ascii="Times New Roman" w:hAnsi="Times New Roman" w:cs="Times New Roman"/>
          <w:sz w:val="24"/>
          <w:szCs w:val="24"/>
        </w:rPr>
      </w:pPr>
      <w:r w:rsidRPr="00CE14A6">
        <w:rPr>
          <w:rFonts w:ascii="Times New Roman" w:hAnsi="Times New Roman" w:cs="Times New Roman"/>
          <w:sz w:val="24"/>
          <w:szCs w:val="24"/>
        </w:rPr>
        <w:t>The main reform proposals include the following.</w:t>
      </w:r>
    </w:p>
    <w:p w14:paraId="3CB165A9" w14:textId="77777777" w:rsidR="00F506A4" w:rsidRPr="00DD57F1" w:rsidRDefault="00F506A4" w:rsidP="007B50DE">
      <w:pPr>
        <w:pStyle w:val="ListParagraph"/>
        <w:ind w:left="0"/>
        <w:jc w:val="both"/>
        <w:rPr>
          <w:rFonts w:ascii="Times New Roman" w:hAnsi="Times New Roman" w:cs="Times New Roman"/>
          <w:sz w:val="24"/>
          <w:szCs w:val="24"/>
        </w:rPr>
      </w:pPr>
    </w:p>
    <w:p w14:paraId="333EF26C" w14:textId="77777777" w:rsidR="006D4DBD" w:rsidRPr="00F506A4" w:rsidRDefault="00D808BE" w:rsidP="00ED2707">
      <w:pPr>
        <w:pStyle w:val="ListParagraph"/>
        <w:numPr>
          <w:ilvl w:val="0"/>
          <w:numId w:val="40"/>
        </w:numPr>
        <w:spacing w:after="240" w:line="300" w:lineRule="auto"/>
        <w:ind w:left="567" w:hanging="567"/>
        <w:jc w:val="both"/>
        <w:rPr>
          <w:rFonts w:ascii="Times New Roman" w:hAnsi="Times New Roman" w:cs="Times New Roman"/>
          <w:b/>
          <w:sz w:val="24"/>
          <w:szCs w:val="24"/>
        </w:rPr>
      </w:pPr>
      <w:r w:rsidRPr="00F506A4">
        <w:rPr>
          <w:rFonts w:ascii="Times New Roman" w:hAnsi="Times New Roman" w:cs="Times New Roman"/>
          <w:b/>
          <w:sz w:val="24"/>
          <w:szCs w:val="24"/>
        </w:rPr>
        <w:t xml:space="preserve">Express </w:t>
      </w:r>
      <w:r w:rsidR="00666DE5" w:rsidRPr="00F506A4">
        <w:rPr>
          <w:rFonts w:ascii="Times New Roman" w:hAnsi="Times New Roman" w:cs="Times New Roman"/>
          <w:b/>
          <w:sz w:val="24"/>
          <w:szCs w:val="24"/>
        </w:rPr>
        <w:t>p</w:t>
      </w:r>
      <w:r w:rsidR="006D4DBD" w:rsidRPr="00F506A4">
        <w:rPr>
          <w:rFonts w:ascii="Times New Roman" w:hAnsi="Times New Roman" w:cs="Times New Roman"/>
          <w:b/>
          <w:sz w:val="24"/>
          <w:szCs w:val="24"/>
        </w:rPr>
        <w:t>owers in relation to litigation funding agreements</w:t>
      </w:r>
    </w:p>
    <w:p w14:paraId="324E9CC8" w14:textId="77777777" w:rsidR="005F77DF" w:rsidRPr="00DD57F1" w:rsidRDefault="00666DE5" w:rsidP="005F77DF">
      <w:pPr>
        <w:spacing w:after="240" w:line="300" w:lineRule="auto"/>
        <w:jc w:val="both"/>
        <w:rPr>
          <w:rFonts w:ascii="Times New Roman" w:hAnsi="Times New Roman" w:cs="Times New Roman"/>
          <w:i/>
          <w:sz w:val="24"/>
          <w:szCs w:val="24"/>
        </w:rPr>
      </w:pPr>
      <w:r w:rsidRPr="00DD57F1">
        <w:rPr>
          <w:rFonts w:ascii="Times New Roman" w:hAnsi="Times New Roman" w:cs="Times New Roman"/>
          <w:i/>
          <w:sz w:val="24"/>
          <w:szCs w:val="24"/>
        </w:rPr>
        <w:t xml:space="preserve">The ALRC </w:t>
      </w:r>
      <w:r w:rsidR="006D4DBD" w:rsidRPr="00DD57F1">
        <w:rPr>
          <w:rFonts w:ascii="Times New Roman" w:hAnsi="Times New Roman" w:cs="Times New Roman"/>
          <w:i/>
          <w:sz w:val="24"/>
          <w:szCs w:val="24"/>
        </w:rPr>
        <w:t>is likely to</w:t>
      </w:r>
      <w:r w:rsidRPr="00DD57F1">
        <w:rPr>
          <w:rFonts w:ascii="Times New Roman" w:hAnsi="Times New Roman" w:cs="Times New Roman"/>
          <w:i/>
          <w:sz w:val="24"/>
          <w:szCs w:val="24"/>
        </w:rPr>
        <w:t xml:space="preserve"> recommend </w:t>
      </w:r>
      <w:r w:rsidR="006D4DBD" w:rsidRPr="00DD57F1">
        <w:rPr>
          <w:rFonts w:ascii="Times New Roman" w:hAnsi="Times New Roman" w:cs="Times New Roman"/>
          <w:i/>
          <w:sz w:val="24"/>
          <w:szCs w:val="24"/>
        </w:rPr>
        <w:t>that Part</w:t>
      </w:r>
      <w:r w:rsidR="005F77DF" w:rsidRPr="00DD57F1">
        <w:rPr>
          <w:rFonts w:ascii="Times New Roman" w:hAnsi="Times New Roman" w:cs="Times New Roman"/>
          <w:i/>
          <w:sz w:val="24"/>
          <w:szCs w:val="24"/>
        </w:rPr>
        <w:t xml:space="preserve"> IVA be amended to provide that </w:t>
      </w:r>
      <w:r w:rsidR="006D4DBD" w:rsidRPr="00DD57F1">
        <w:rPr>
          <w:rFonts w:ascii="Times New Roman" w:hAnsi="Times New Roman" w:cs="Times New Roman"/>
          <w:i/>
          <w:sz w:val="24"/>
          <w:szCs w:val="24"/>
        </w:rPr>
        <w:t>litigation funding agreements with respect to class members are enforceable only with the approval of the Court</w:t>
      </w:r>
      <w:r w:rsidR="005F77DF" w:rsidRPr="00DD57F1">
        <w:rPr>
          <w:rFonts w:ascii="Times New Roman" w:hAnsi="Times New Roman" w:cs="Times New Roman"/>
          <w:i/>
          <w:sz w:val="24"/>
          <w:szCs w:val="24"/>
        </w:rPr>
        <w:t xml:space="preserve">, and that </w:t>
      </w:r>
      <w:r w:rsidR="006D4DBD" w:rsidRPr="00DD57F1">
        <w:rPr>
          <w:rFonts w:ascii="Times New Roman" w:hAnsi="Times New Roman" w:cs="Times New Roman"/>
          <w:i/>
          <w:sz w:val="24"/>
          <w:szCs w:val="24"/>
        </w:rPr>
        <w:t>the Federal Court</w:t>
      </w:r>
      <w:r w:rsidR="005F77DF" w:rsidRPr="00DD57F1">
        <w:rPr>
          <w:rFonts w:ascii="Times New Roman" w:hAnsi="Times New Roman" w:cs="Times New Roman"/>
          <w:i/>
          <w:sz w:val="24"/>
          <w:szCs w:val="24"/>
        </w:rPr>
        <w:t xml:space="preserve"> have </w:t>
      </w:r>
      <w:r w:rsidR="006D4DBD" w:rsidRPr="00DD57F1">
        <w:rPr>
          <w:rFonts w:ascii="Times New Roman" w:hAnsi="Times New Roman" w:cs="Times New Roman"/>
          <w:i/>
          <w:sz w:val="24"/>
          <w:szCs w:val="24"/>
        </w:rPr>
        <w:t>an express statutory power to reject, vary, or amend the terms in third-party funding agreements</w:t>
      </w:r>
      <w:r w:rsidR="005F77DF" w:rsidRPr="00DD57F1">
        <w:rPr>
          <w:rFonts w:ascii="Times New Roman" w:hAnsi="Times New Roman" w:cs="Times New Roman"/>
          <w:i/>
          <w:sz w:val="24"/>
          <w:szCs w:val="24"/>
        </w:rPr>
        <w:t>.</w:t>
      </w:r>
    </w:p>
    <w:p w14:paraId="7690E401" w14:textId="3C229054" w:rsidR="004B71D3" w:rsidRPr="00DD57F1" w:rsidRDefault="004D725F" w:rsidP="00074224">
      <w:pPr>
        <w:pStyle w:val="ListParagraph"/>
        <w:ind w:left="0"/>
        <w:jc w:val="both"/>
        <w:rPr>
          <w:rFonts w:ascii="Times New Roman" w:hAnsi="Times New Roman" w:cs="Times New Roman"/>
          <w:sz w:val="24"/>
          <w:szCs w:val="24"/>
        </w:rPr>
      </w:pPr>
      <w:r w:rsidRPr="00DD57F1">
        <w:rPr>
          <w:rFonts w:ascii="Times New Roman" w:hAnsi="Times New Roman" w:cs="Times New Roman"/>
          <w:sz w:val="24"/>
          <w:szCs w:val="24"/>
        </w:rPr>
        <w:t xml:space="preserve">In circumstances where </w:t>
      </w:r>
      <w:r w:rsidR="00B36630" w:rsidRPr="00DD57F1">
        <w:rPr>
          <w:rFonts w:ascii="Times New Roman" w:hAnsi="Times New Roman" w:cs="Times New Roman"/>
          <w:sz w:val="24"/>
          <w:szCs w:val="24"/>
        </w:rPr>
        <w:t>100% of shareholder class actions and 50% of all other class actions have litigation funding</w:t>
      </w:r>
      <w:r w:rsidRPr="00DD57F1">
        <w:rPr>
          <w:rFonts w:ascii="Times New Roman" w:hAnsi="Times New Roman" w:cs="Times New Roman"/>
          <w:sz w:val="24"/>
          <w:szCs w:val="24"/>
        </w:rPr>
        <w:t>,</w:t>
      </w:r>
      <w:r w:rsidR="00B36630" w:rsidRPr="00DD57F1">
        <w:rPr>
          <w:rFonts w:ascii="Times New Roman" w:hAnsi="Times New Roman" w:cs="Times New Roman"/>
          <w:sz w:val="24"/>
          <w:szCs w:val="24"/>
        </w:rPr>
        <w:t xml:space="preserve"> funding charges have become a standard cost for class members.</w:t>
      </w:r>
      <w:r w:rsidR="004B71D3" w:rsidRPr="00DD57F1">
        <w:rPr>
          <w:rFonts w:ascii="Times New Roman" w:hAnsi="Times New Roman" w:cs="Times New Roman"/>
          <w:sz w:val="24"/>
          <w:szCs w:val="24"/>
        </w:rPr>
        <w:t xml:space="preserve"> </w:t>
      </w:r>
      <w:r w:rsidR="00FC68EA" w:rsidRPr="00DD57F1">
        <w:rPr>
          <w:rFonts w:ascii="Times New Roman" w:hAnsi="Times New Roman" w:cs="Times New Roman"/>
          <w:sz w:val="24"/>
          <w:szCs w:val="24"/>
        </w:rPr>
        <w:t xml:space="preserve"> </w:t>
      </w:r>
      <w:r w:rsidR="004B71D3" w:rsidRPr="00DD57F1">
        <w:rPr>
          <w:rFonts w:ascii="Times New Roman" w:hAnsi="Times New Roman" w:cs="Times New Roman"/>
          <w:sz w:val="24"/>
          <w:szCs w:val="24"/>
        </w:rPr>
        <w:t xml:space="preserve">There </w:t>
      </w:r>
      <w:r w:rsidR="004B71D3" w:rsidRPr="00DD57F1">
        <w:rPr>
          <w:rFonts w:ascii="Times New Roman" w:hAnsi="Times New Roman" w:cs="Times New Roman"/>
          <w:sz w:val="24"/>
          <w:szCs w:val="24"/>
        </w:rPr>
        <w:lastRenderedPageBreak/>
        <w:t>is no reason in principle for treating litigation funding costs incurred to achieve a settlement differently from legal costs incurred to achieve a settlement</w:t>
      </w:r>
      <w:r w:rsidR="00746967" w:rsidRPr="00DD57F1">
        <w:rPr>
          <w:rFonts w:ascii="Times New Roman" w:hAnsi="Times New Roman" w:cs="Times New Roman"/>
          <w:sz w:val="24"/>
          <w:szCs w:val="24"/>
        </w:rPr>
        <w:t>,</w:t>
      </w:r>
      <w:r w:rsidR="004B71D3" w:rsidRPr="00DD57F1">
        <w:rPr>
          <w:rFonts w:ascii="Times New Roman" w:hAnsi="Times New Roman" w:cs="Times New Roman"/>
          <w:sz w:val="24"/>
          <w:szCs w:val="24"/>
          <w:vertAlign w:val="superscript"/>
        </w:rPr>
        <w:endnoteReference w:id="34"/>
      </w:r>
      <w:r w:rsidR="004B71D3" w:rsidRPr="00DD57F1">
        <w:rPr>
          <w:rFonts w:ascii="Times New Roman" w:hAnsi="Times New Roman" w:cs="Times New Roman"/>
          <w:sz w:val="24"/>
          <w:szCs w:val="24"/>
        </w:rPr>
        <w:t xml:space="preserve"> and </w:t>
      </w:r>
      <w:r w:rsidR="00746967" w:rsidRPr="00DD57F1">
        <w:rPr>
          <w:rFonts w:ascii="Times New Roman" w:hAnsi="Times New Roman" w:cs="Times New Roman"/>
          <w:sz w:val="24"/>
          <w:szCs w:val="24"/>
        </w:rPr>
        <w:t xml:space="preserve">the interests of class members and </w:t>
      </w:r>
      <w:r w:rsidR="007E1865" w:rsidRPr="00DD57F1">
        <w:rPr>
          <w:rFonts w:ascii="Times New Roman" w:hAnsi="Times New Roman" w:cs="Times New Roman"/>
          <w:sz w:val="24"/>
          <w:szCs w:val="24"/>
        </w:rPr>
        <w:t xml:space="preserve">the </w:t>
      </w:r>
      <w:r w:rsidR="00746967" w:rsidRPr="00DD57F1">
        <w:rPr>
          <w:rFonts w:ascii="Times New Roman" w:hAnsi="Times New Roman" w:cs="Times New Roman"/>
          <w:sz w:val="24"/>
          <w:szCs w:val="24"/>
        </w:rPr>
        <w:t xml:space="preserve">utility of the regime weigh strongly in favour of </w:t>
      </w:r>
      <w:r w:rsidR="007E1865" w:rsidRPr="00DD57F1">
        <w:rPr>
          <w:rFonts w:ascii="Times New Roman" w:hAnsi="Times New Roman" w:cs="Times New Roman"/>
          <w:sz w:val="24"/>
          <w:szCs w:val="24"/>
        </w:rPr>
        <w:t>c</w:t>
      </w:r>
      <w:r w:rsidR="00746967" w:rsidRPr="00DD57F1">
        <w:rPr>
          <w:rFonts w:ascii="Times New Roman" w:hAnsi="Times New Roman" w:cs="Times New Roman"/>
          <w:sz w:val="24"/>
          <w:szCs w:val="24"/>
        </w:rPr>
        <w:t xml:space="preserve">ourt supervision.  </w:t>
      </w:r>
      <w:r w:rsidRPr="00DD57F1">
        <w:rPr>
          <w:rFonts w:ascii="Times New Roman" w:hAnsi="Times New Roman" w:cs="Times New Roman"/>
          <w:sz w:val="24"/>
          <w:szCs w:val="24"/>
        </w:rPr>
        <w:t>T</w:t>
      </w:r>
      <w:r w:rsidR="00746967" w:rsidRPr="00DD57F1">
        <w:rPr>
          <w:rFonts w:ascii="Times New Roman" w:hAnsi="Times New Roman" w:cs="Times New Roman"/>
          <w:sz w:val="24"/>
          <w:szCs w:val="24"/>
        </w:rPr>
        <w:t xml:space="preserve">he </w:t>
      </w:r>
      <w:r w:rsidR="007E1865" w:rsidRPr="00DD57F1">
        <w:rPr>
          <w:rFonts w:ascii="Times New Roman" w:hAnsi="Times New Roman" w:cs="Times New Roman"/>
          <w:sz w:val="24"/>
          <w:szCs w:val="24"/>
        </w:rPr>
        <w:t>C</w:t>
      </w:r>
      <w:r w:rsidR="00746967" w:rsidRPr="00DD57F1">
        <w:rPr>
          <w:rFonts w:ascii="Times New Roman" w:hAnsi="Times New Roman" w:cs="Times New Roman"/>
          <w:sz w:val="24"/>
          <w:szCs w:val="24"/>
        </w:rPr>
        <w:t>ourt</w:t>
      </w:r>
      <w:r w:rsidR="007E1865" w:rsidRPr="00DD57F1">
        <w:rPr>
          <w:rFonts w:ascii="Times New Roman" w:hAnsi="Times New Roman" w:cs="Times New Roman"/>
          <w:sz w:val="24"/>
          <w:szCs w:val="24"/>
        </w:rPr>
        <w:t>’</w:t>
      </w:r>
      <w:r w:rsidR="00746967" w:rsidRPr="00DD57F1">
        <w:rPr>
          <w:rFonts w:ascii="Times New Roman" w:hAnsi="Times New Roman" w:cs="Times New Roman"/>
          <w:sz w:val="24"/>
          <w:szCs w:val="24"/>
        </w:rPr>
        <w:t>s power</w:t>
      </w:r>
      <w:r w:rsidR="00377297" w:rsidRPr="00DD57F1">
        <w:rPr>
          <w:rFonts w:ascii="Times New Roman" w:hAnsi="Times New Roman" w:cs="Times New Roman"/>
          <w:sz w:val="24"/>
          <w:szCs w:val="24"/>
        </w:rPr>
        <w:t xml:space="preserve"> to vary the</w:t>
      </w:r>
      <w:r w:rsidR="00D31878" w:rsidRPr="00DD57F1">
        <w:rPr>
          <w:rFonts w:ascii="Times New Roman" w:hAnsi="Times New Roman" w:cs="Times New Roman"/>
          <w:sz w:val="24"/>
          <w:szCs w:val="24"/>
        </w:rPr>
        <w:t xml:space="preserve"> quantum of litigation funding charges as part of settlement approval</w:t>
      </w:r>
      <w:r w:rsidR="00746967" w:rsidRPr="00DD57F1">
        <w:rPr>
          <w:rFonts w:ascii="Times New Roman" w:hAnsi="Times New Roman" w:cs="Times New Roman"/>
          <w:sz w:val="24"/>
          <w:szCs w:val="24"/>
        </w:rPr>
        <w:t xml:space="preserve"> </w:t>
      </w:r>
      <w:r w:rsidR="004B71D3" w:rsidRPr="00DD57F1">
        <w:rPr>
          <w:rFonts w:ascii="Times New Roman" w:hAnsi="Times New Roman" w:cs="Times New Roman"/>
          <w:sz w:val="24"/>
          <w:szCs w:val="24"/>
        </w:rPr>
        <w:t xml:space="preserve">has been </w:t>
      </w:r>
      <w:r w:rsidR="00966129" w:rsidRPr="00DD57F1">
        <w:rPr>
          <w:rFonts w:ascii="Times New Roman" w:hAnsi="Times New Roman" w:cs="Times New Roman"/>
          <w:sz w:val="24"/>
          <w:szCs w:val="24"/>
        </w:rPr>
        <w:t>doubted</w:t>
      </w:r>
      <w:r w:rsidR="00746967" w:rsidRPr="00DD57F1">
        <w:rPr>
          <w:rFonts w:ascii="Times New Roman" w:hAnsi="Times New Roman" w:cs="Times New Roman"/>
          <w:sz w:val="24"/>
          <w:szCs w:val="24"/>
        </w:rPr>
        <w:t xml:space="preserve">, </w:t>
      </w:r>
      <w:r w:rsidRPr="00DD57F1">
        <w:rPr>
          <w:rFonts w:ascii="Times New Roman" w:hAnsi="Times New Roman" w:cs="Times New Roman"/>
          <w:sz w:val="24"/>
          <w:szCs w:val="24"/>
        </w:rPr>
        <w:t xml:space="preserve">and </w:t>
      </w:r>
      <w:r w:rsidR="00746967" w:rsidRPr="00DD57F1">
        <w:rPr>
          <w:rFonts w:ascii="Times New Roman" w:hAnsi="Times New Roman" w:cs="Times New Roman"/>
          <w:sz w:val="24"/>
          <w:szCs w:val="24"/>
        </w:rPr>
        <w:t>i</w:t>
      </w:r>
      <w:r w:rsidR="00966129" w:rsidRPr="00DD57F1">
        <w:rPr>
          <w:rFonts w:ascii="Times New Roman" w:hAnsi="Times New Roman" w:cs="Times New Roman"/>
          <w:sz w:val="24"/>
          <w:szCs w:val="24"/>
        </w:rPr>
        <w:t xml:space="preserve">t is appropriate that the power be put beyond question. </w:t>
      </w:r>
      <w:r w:rsidR="00DE4E51" w:rsidRPr="00DD57F1">
        <w:rPr>
          <w:rFonts w:ascii="Times New Roman" w:hAnsi="Times New Roman" w:cs="Times New Roman"/>
          <w:sz w:val="24"/>
          <w:szCs w:val="24"/>
        </w:rPr>
        <w:t xml:space="preserve">This is all the more so given the growing number of cases in </w:t>
      </w:r>
      <w:r w:rsidR="004B71D3" w:rsidRPr="00DD57F1">
        <w:rPr>
          <w:rFonts w:ascii="Times New Roman" w:hAnsi="Times New Roman" w:cs="Times New Roman"/>
          <w:sz w:val="24"/>
          <w:szCs w:val="24"/>
        </w:rPr>
        <w:t xml:space="preserve">which funding charges have been disproportionate to the </w:t>
      </w:r>
      <w:r w:rsidR="00FC68EA" w:rsidRPr="00DD57F1">
        <w:rPr>
          <w:rFonts w:ascii="Times New Roman" w:hAnsi="Times New Roman" w:cs="Times New Roman"/>
          <w:sz w:val="24"/>
          <w:szCs w:val="24"/>
        </w:rPr>
        <w:t xml:space="preserve">recovery </w:t>
      </w:r>
      <w:r w:rsidR="007E1865" w:rsidRPr="00DD57F1">
        <w:rPr>
          <w:rFonts w:ascii="Times New Roman" w:hAnsi="Times New Roman" w:cs="Times New Roman"/>
          <w:sz w:val="24"/>
          <w:szCs w:val="24"/>
        </w:rPr>
        <w:t>for class members</w:t>
      </w:r>
      <w:r w:rsidR="004B71D3" w:rsidRPr="00DD57F1">
        <w:rPr>
          <w:rFonts w:ascii="Times New Roman" w:hAnsi="Times New Roman" w:cs="Times New Roman"/>
          <w:sz w:val="24"/>
          <w:szCs w:val="24"/>
        </w:rPr>
        <w:t xml:space="preserve">. </w:t>
      </w:r>
    </w:p>
    <w:p w14:paraId="2F880116" w14:textId="77777777" w:rsidR="00B36630" w:rsidRPr="00DD57F1" w:rsidRDefault="00B36630" w:rsidP="001066A2">
      <w:pPr>
        <w:pStyle w:val="ListParagraph"/>
        <w:ind w:left="0"/>
        <w:jc w:val="both"/>
        <w:rPr>
          <w:rFonts w:ascii="Times New Roman" w:hAnsi="Times New Roman" w:cs="Times New Roman"/>
          <w:sz w:val="24"/>
          <w:szCs w:val="24"/>
        </w:rPr>
      </w:pPr>
    </w:p>
    <w:p w14:paraId="0F9E7340" w14:textId="491CFC01" w:rsidR="00B36630" w:rsidRPr="00DD57F1" w:rsidRDefault="00DE4E51" w:rsidP="001066A2">
      <w:pPr>
        <w:pStyle w:val="ListParagraph"/>
        <w:ind w:left="0"/>
        <w:jc w:val="both"/>
        <w:rPr>
          <w:rFonts w:ascii="Times New Roman" w:hAnsi="Times New Roman" w:cs="Times New Roman"/>
          <w:sz w:val="24"/>
          <w:szCs w:val="24"/>
        </w:rPr>
      </w:pPr>
      <w:r w:rsidRPr="00DD57F1">
        <w:rPr>
          <w:rFonts w:ascii="Times New Roman" w:hAnsi="Times New Roman" w:cs="Times New Roman"/>
          <w:sz w:val="24"/>
          <w:szCs w:val="24"/>
        </w:rPr>
        <w:t xml:space="preserve">It is understandable that </w:t>
      </w:r>
      <w:r w:rsidR="00B36630" w:rsidRPr="00DD57F1">
        <w:rPr>
          <w:rFonts w:ascii="Times New Roman" w:hAnsi="Times New Roman" w:cs="Times New Roman"/>
          <w:sz w:val="24"/>
          <w:szCs w:val="24"/>
        </w:rPr>
        <w:t xml:space="preserve">litigation funders may be </w:t>
      </w:r>
      <w:r w:rsidR="006368BB" w:rsidRPr="00DD57F1">
        <w:rPr>
          <w:rFonts w:ascii="Times New Roman" w:hAnsi="Times New Roman" w:cs="Times New Roman"/>
          <w:sz w:val="24"/>
          <w:szCs w:val="24"/>
        </w:rPr>
        <w:t>uncomfortable with</w:t>
      </w:r>
      <w:r w:rsidR="00065928" w:rsidRPr="00DD57F1">
        <w:rPr>
          <w:rFonts w:ascii="Times New Roman" w:hAnsi="Times New Roman" w:cs="Times New Roman"/>
          <w:sz w:val="24"/>
          <w:szCs w:val="24"/>
        </w:rPr>
        <w:t xml:space="preserve"> a power to vary funding agreements </w:t>
      </w:r>
      <w:r w:rsidR="00B36630" w:rsidRPr="00DD57F1">
        <w:rPr>
          <w:rFonts w:ascii="Times New Roman" w:hAnsi="Times New Roman" w:cs="Times New Roman"/>
          <w:sz w:val="24"/>
          <w:szCs w:val="24"/>
        </w:rPr>
        <w:t>when they agree to take on the substantial</w:t>
      </w:r>
      <w:r w:rsidR="004B71D3" w:rsidRPr="00DD57F1">
        <w:rPr>
          <w:rFonts w:ascii="Times New Roman" w:hAnsi="Times New Roman" w:cs="Times New Roman"/>
          <w:sz w:val="24"/>
          <w:szCs w:val="24"/>
        </w:rPr>
        <w:t xml:space="preserve"> burden </w:t>
      </w:r>
      <w:r w:rsidR="00B36630" w:rsidRPr="00DD57F1">
        <w:rPr>
          <w:rFonts w:ascii="Times New Roman" w:hAnsi="Times New Roman" w:cs="Times New Roman"/>
          <w:sz w:val="24"/>
          <w:szCs w:val="24"/>
        </w:rPr>
        <w:t xml:space="preserve">involved in funding a class action in return for a specified funding rate.  However, similarly what was said in </w:t>
      </w:r>
      <w:r w:rsidR="00B36630" w:rsidRPr="00DD57F1">
        <w:rPr>
          <w:rFonts w:ascii="Times New Roman" w:hAnsi="Times New Roman" w:cs="Times New Roman"/>
          <w:i/>
          <w:sz w:val="24"/>
          <w:szCs w:val="24"/>
        </w:rPr>
        <w:t>Money Max</w:t>
      </w:r>
      <w:r w:rsidR="004B71D3" w:rsidRPr="00DD57F1">
        <w:rPr>
          <w:rFonts w:ascii="Times New Roman" w:hAnsi="Times New Roman" w:cs="Times New Roman"/>
          <w:sz w:val="24"/>
          <w:szCs w:val="24"/>
        </w:rPr>
        <w:t>,</w:t>
      </w:r>
      <w:r w:rsidR="00B36630" w:rsidRPr="00DD57F1">
        <w:rPr>
          <w:rFonts w:ascii="Times New Roman" w:hAnsi="Times New Roman" w:cs="Times New Roman"/>
          <w:sz w:val="24"/>
          <w:szCs w:val="24"/>
          <w:vertAlign w:val="superscript"/>
        </w:rPr>
        <w:endnoteReference w:id="35"/>
      </w:r>
      <w:r w:rsidR="00B36630" w:rsidRPr="00DD57F1">
        <w:rPr>
          <w:rFonts w:ascii="Times New Roman" w:hAnsi="Times New Roman" w:cs="Times New Roman"/>
          <w:i/>
          <w:sz w:val="24"/>
          <w:szCs w:val="24"/>
        </w:rPr>
        <w:t xml:space="preserve"> </w:t>
      </w:r>
      <w:r w:rsidR="00B36630" w:rsidRPr="00DD57F1">
        <w:rPr>
          <w:rFonts w:ascii="Times New Roman" w:hAnsi="Times New Roman" w:cs="Times New Roman"/>
          <w:sz w:val="24"/>
          <w:szCs w:val="24"/>
        </w:rPr>
        <w:t xml:space="preserve">I expect that such concerns will diminish as the </w:t>
      </w:r>
      <w:r w:rsidR="0038018A" w:rsidRPr="00DD57F1">
        <w:rPr>
          <w:rFonts w:ascii="Times New Roman" w:hAnsi="Times New Roman" w:cs="Times New Roman"/>
          <w:sz w:val="24"/>
          <w:szCs w:val="24"/>
        </w:rPr>
        <w:t>case law</w:t>
      </w:r>
      <w:r w:rsidR="00B36630" w:rsidRPr="00DD57F1">
        <w:rPr>
          <w:rFonts w:ascii="Times New Roman" w:hAnsi="Times New Roman" w:cs="Times New Roman"/>
          <w:sz w:val="24"/>
          <w:szCs w:val="24"/>
        </w:rPr>
        <w:t xml:space="preserve"> develops.</w:t>
      </w:r>
      <w:r w:rsidR="004B71D3" w:rsidRPr="00DD57F1">
        <w:rPr>
          <w:rFonts w:ascii="Times New Roman" w:hAnsi="Times New Roman" w:cs="Times New Roman"/>
          <w:sz w:val="24"/>
          <w:szCs w:val="24"/>
        </w:rPr>
        <w:t xml:space="preserve">  </w:t>
      </w:r>
      <w:r w:rsidR="00065928" w:rsidRPr="00DD57F1">
        <w:rPr>
          <w:rFonts w:ascii="Times New Roman" w:hAnsi="Times New Roman" w:cs="Times New Roman"/>
          <w:sz w:val="24"/>
          <w:szCs w:val="24"/>
        </w:rPr>
        <w:t xml:space="preserve">In the absence of misleading conduct or unfair contract terms </w:t>
      </w:r>
      <w:r w:rsidR="004B71D3" w:rsidRPr="00DD57F1">
        <w:rPr>
          <w:rFonts w:ascii="Times New Roman" w:hAnsi="Times New Roman" w:cs="Times New Roman"/>
          <w:sz w:val="24"/>
          <w:szCs w:val="24"/>
        </w:rPr>
        <w:t>I would expect</w:t>
      </w:r>
      <w:r w:rsidR="00065928" w:rsidRPr="00DD57F1">
        <w:rPr>
          <w:rFonts w:ascii="Times New Roman" w:hAnsi="Times New Roman" w:cs="Times New Roman"/>
          <w:sz w:val="24"/>
          <w:szCs w:val="24"/>
        </w:rPr>
        <w:t xml:space="preserve"> the variation power to be used only in relation to setting a fair and reasonable </w:t>
      </w:r>
      <w:r w:rsidR="004B71D3" w:rsidRPr="00DD57F1">
        <w:rPr>
          <w:rFonts w:ascii="Times New Roman" w:hAnsi="Times New Roman" w:cs="Times New Roman"/>
          <w:sz w:val="24"/>
          <w:szCs w:val="24"/>
        </w:rPr>
        <w:t>funding rate</w:t>
      </w:r>
      <w:r w:rsidR="006274CC" w:rsidRPr="00DD57F1">
        <w:rPr>
          <w:rFonts w:ascii="Times New Roman" w:hAnsi="Times New Roman" w:cs="Times New Roman"/>
          <w:sz w:val="24"/>
          <w:szCs w:val="24"/>
        </w:rPr>
        <w:t>.  The</w:t>
      </w:r>
      <w:r w:rsidR="0038018A" w:rsidRPr="00DD57F1">
        <w:rPr>
          <w:rFonts w:ascii="Times New Roman" w:hAnsi="Times New Roman" w:cs="Times New Roman"/>
          <w:sz w:val="24"/>
          <w:szCs w:val="24"/>
        </w:rPr>
        <w:t xml:space="preserve"> courts are already doing</w:t>
      </w:r>
      <w:r w:rsidR="006274CC" w:rsidRPr="00DD57F1">
        <w:rPr>
          <w:rFonts w:ascii="Times New Roman" w:hAnsi="Times New Roman" w:cs="Times New Roman"/>
          <w:sz w:val="24"/>
          <w:szCs w:val="24"/>
        </w:rPr>
        <w:t xml:space="preserve"> this</w:t>
      </w:r>
      <w:r w:rsidR="0038018A" w:rsidRPr="00DD57F1">
        <w:rPr>
          <w:rFonts w:ascii="Times New Roman" w:hAnsi="Times New Roman" w:cs="Times New Roman"/>
          <w:sz w:val="24"/>
          <w:szCs w:val="24"/>
        </w:rPr>
        <w:t xml:space="preserve">, and </w:t>
      </w:r>
      <w:r w:rsidR="004B71D3" w:rsidRPr="00DD57F1">
        <w:rPr>
          <w:rFonts w:ascii="Times New Roman" w:hAnsi="Times New Roman" w:cs="Times New Roman"/>
          <w:sz w:val="24"/>
          <w:szCs w:val="24"/>
        </w:rPr>
        <w:t>there is no sign it has reduced the willingness of funders to provide funding.</w:t>
      </w:r>
    </w:p>
    <w:p w14:paraId="4CB811F3" w14:textId="77777777" w:rsidR="00966129" w:rsidRPr="00DD57F1" w:rsidRDefault="00966129" w:rsidP="001066A2">
      <w:pPr>
        <w:pStyle w:val="ListParagraph"/>
        <w:ind w:left="0"/>
        <w:jc w:val="both"/>
        <w:rPr>
          <w:rFonts w:ascii="Times New Roman" w:hAnsi="Times New Roman" w:cs="Times New Roman"/>
          <w:sz w:val="24"/>
          <w:szCs w:val="24"/>
        </w:rPr>
      </w:pPr>
    </w:p>
    <w:p w14:paraId="4C957DDB" w14:textId="355BF115" w:rsidR="006D4DBD" w:rsidRPr="00DD57F1" w:rsidRDefault="00377297" w:rsidP="001066A2">
      <w:pPr>
        <w:pStyle w:val="ListParagraph"/>
        <w:ind w:left="0"/>
        <w:jc w:val="both"/>
        <w:rPr>
          <w:rFonts w:ascii="Times New Roman" w:hAnsi="Times New Roman" w:cs="Times New Roman"/>
          <w:sz w:val="24"/>
          <w:szCs w:val="24"/>
        </w:rPr>
      </w:pPr>
      <w:r w:rsidRPr="00DD57F1">
        <w:rPr>
          <w:rFonts w:ascii="Times New Roman" w:hAnsi="Times New Roman" w:cs="Times New Roman"/>
          <w:sz w:val="24"/>
          <w:szCs w:val="24"/>
        </w:rPr>
        <w:t>The utility of the regime will also be</w:t>
      </w:r>
      <w:r w:rsidR="004B71D3" w:rsidRPr="00DD57F1">
        <w:rPr>
          <w:rFonts w:ascii="Times New Roman" w:hAnsi="Times New Roman" w:cs="Times New Roman"/>
          <w:sz w:val="24"/>
          <w:szCs w:val="24"/>
        </w:rPr>
        <w:t xml:space="preserve"> reduced </w:t>
      </w:r>
      <w:r w:rsidRPr="00DD57F1">
        <w:rPr>
          <w:rFonts w:ascii="Times New Roman" w:hAnsi="Times New Roman" w:cs="Times New Roman"/>
          <w:sz w:val="24"/>
          <w:szCs w:val="24"/>
        </w:rPr>
        <w:t>if the Court does not have</w:t>
      </w:r>
      <w:r w:rsidR="004B71D3" w:rsidRPr="00DD57F1">
        <w:rPr>
          <w:rFonts w:ascii="Times New Roman" w:hAnsi="Times New Roman" w:cs="Times New Roman"/>
          <w:sz w:val="24"/>
          <w:szCs w:val="24"/>
        </w:rPr>
        <w:t xml:space="preserve"> power </w:t>
      </w:r>
      <w:r w:rsidRPr="00DD57F1">
        <w:rPr>
          <w:rFonts w:ascii="Times New Roman" w:hAnsi="Times New Roman" w:cs="Times New Roman"/>
          <w:sz w:val="24"/>
          <w:szCs w:val="24"/>
        </w:rPr>
        <w:t>to deal with disputes about funding terms</w:t>
      </w:r>
      <w:r w:rsidR="00D31878" w:rsidRPr="00DD57F1">
        <w:rPr>
          <w:rFonts w:ascii="Times New Roman" w:hAnsi="Times New Roman" w:cs="Times New Roman"/>
          <w:sz w:val="24"/>
          <w:szCs w:val="24"/>
        </w:rPr>
        <w:t>.</w:t>
      </w:r>
      <w:r w:rsidR="00966129" w:rsidRPr="00DD57F1">
        <w:rPr>
          <w:rFonts w:ascii="Times New Roman" w:hAnsi="Times New Roman" w:cs="Times New Roman"/>
          <w:sz w:val="24"/>
          <w:szCs w:val="24"/>
        </w:rPr>
        <w:t xml:space="preserve"> That power too</w:t>
      </w:r>
      <w:r w:rsidR="00065928" w:rsidRPr="00DD57F1">
        <w:rPr>
          <w:rFonts w:ascii="Times New Roman" w:hAnsi="Times New Roman" w:cs="Times New Roman"/>
          <w:sz w:val="24"/>
          <w:szCs w:val="24"/>
        </w:rPr>
        <w:t xml:space="preserve"> has been </w:t>
      </w:r>
      <w:r w:rsidR="00966129" w:rsidRPr="00DD57F1">
        <w:rPr>
          <w:rFonts w:ascii="Times New Roman" w:hAnsi="Times New Roman" w:cs="Times New Roman"/>
          <w:sz w:val="24"/>
          <w:szCs w:val="24"/>
        </w:rPr>
        <w:t>doubted</w:t>
      </w:r>
      <w:r w:rsidR="00966129" w:rsidRPr="00DD57F1">
        <w:rPr>
          <w:rStyle w:val="EndnoteReference"/>
          <w:rFonts w:ascii="Times New Roman" w:hAnsi="Times New Roman" w:cs="Times New Roman"/>
          <w:sz w:val="24"/>
          <w:szCs w:val="24"/>
        </w:rPr>
        <w:endnoteReference w:id="36"/>
      </w:r>
      <w:r w:rsidR="00966129" w:rsidRPr="00DD57F1">
        <w:rPr>
          <w:rFonts w:ascii="Times New Roman" w:hAnsi="Times New Roman" w:cs="Times New Roman"/>
          <w:sz w:val="24"/>
          <w:szCs w:val="24"/>
        </w:rPr>
        <w:t xml:space="preserve"> and it is appropriate that it be put beyond question.  </w:t>
      </w:r>
    </w:p>
    <w:p w14:paraId="1E0A0796" w14:textId="77777777" w:rsidR="00377297" w:rsidRPr="00DD57F1" w:rsidRDefault="00377297" w:rsidP="001066A2">
      <w:pPr>
        <w:pStyle w:val="ListParagraph"/>
        <w:ind w:left="0"/>
        <w:jc w:val="both"/>
        <w:rPr>
          <w:rFonts w:ascii="Times New Roman" w:hAnsi="Times New Roman" w:cs="Times New Roman"/>
          <w:sz w:val="24"/>
          <w:szCs w:val="24"/>
        </w:rPr>
      </w:pPr>
    </w:p>
    <w:p w14:paraId="01D1D4D8" w14:textId="77777777" w:rsidR="002B7524" w:rsidRPr="00DD57F1" w:rsidRDefault="002B7524" w:rsidP="00ED2707">
      <w:pPr>
        <w:pStyle w:val="ListParagraph"/>
        <w:numPr>
          <w:ilvl w:val="0"/>
          <w:numId w:val="40"/>
        </w:numPr>
        <w:spacing w:before="240" w:after="240" w:line="300" w:lineRule="auto"/>
        <w:ind w:left="567" w:hanging="567"/>
        <w:jc w:val="both"/>
        <w:rPr>
          <w:rFonts w:ascii="Times New Roman" w:hAnsi="Times New Roman" w:cs="Times New Roman"/>
          <w:b/>
          <w:sz w:val="24"/>
          <w:szCs w:val="24"/>
        </w:rPr>
      </w:pPr>
      <w:r w:rsidRPr="00DD57F1">
        <w:rPr>
          <w:rFonts w:ascii="Times New Roman" w:hAnsi="Times New Roman" w:cs="Times New Roman"/>
          <w:b/>
          <w:sz w:val="24"/>
          <w:szCs w:val="24"/>
        </w:rPr>
        <w:t xml:space="preserve">The requirement that all class actions be initiated as ‘open’ class actions </w:t>
      </w:r>
    </w:p>
    <w:p w14:paraId="7EEEC399" w14:textId="1193D40C" w:rsidR="0038018A" w:rsidRPr="00DD57F1" w:rsidRDefault="002B7524" w:rsidP="005F77DF">
      <w:pPr>
        <w:jc w:val="both"/>
        <w:rPr>
          <w:rFonts w:ascii="Times New Roman" w:hAnsi="Times New Roman" w:cs="Times New Roman"/>
          <w:i/>
          <w:sz w:val="24"/>
          <w:szCs w:val="24"/>
        </w:rPr>
      </w:pPr>
      <w:r w:rsidRPr="00DD57F1">
        <w:rPr>
          <w:rFonts w:ascii="Times New Roman" w:hAnsi="Times New Roman" w:cs="Times New Roman"/>
          <w:i/>
          <w:sz w:val="24"/>
          <w:szCs w:val="24"/>
        </w:rPr>
        <w:t>The ALRC is likely to recommend that</w:t>
      </w:r>
      <w:r w:rsidR="005F77DF" w:rsidRPr="00DD57F1">
        <w:rPr>
          <w:rFonts w:ascii="Times New Roman" w:hAnsi="Times New Roman" w:cs="Times New Roman"/>
          <w:i/>
          <w:sz w:val="24"/>
          <w:szCs w:val="24"/>
        </w:rPr>
        <w:t xml:space="preserve"> </w:t>
      </w:r>
      <w:r w:rsidRPr="00DD57F1">
        <w:rPr>
          <w:rFonts w:ascii="Times New Roman" w:hAnsi="Times New Roman" w:cs="Times New Roman"/>
          <w:i/>
          <w:sz w:val="24"/>
          <w:szCs w:val="24"/>
        </w:rPr>
        <w:t>Part IVA be amended to provide that</w:t>
      </w:r>
      <w:r w:rsidR="00AC62B5" w:rsidRPr="00DD57F1">
        <w:rPr>
          <w:rFonts w:ascii="Times New Roman" w:hAnsi="Times New Roman" w:cs="Times New Roman"/>
          <w:i/>
          <w:sz w:val="24"/>
          <w:szCs w:val="24"/>
        </w:rPr>
        <w:t xml:space="preserve"> </w:t>
      </w:r>
      <w:r w:rsidRPr="00DD57F1">
        <w:rPr>
          <w:rFonts w:ascii="Times New Roman" w:hAnsi="Times New Roman" w:cs="Times New Roman"/>
          <w:i/>
          <w:sz w:val="24"/>
          <w:szCs w:val="24"/>
        </w:rPr>
        <w:t>all class actions be initiated as open class</w:t>
      </w:r>
      <w:r w:rsidR="00AC62B5" w:rsidRPr="00DD57F1">
        <w:rPr>
          <w:rFonts w:ascii="Times New Roman" w:hAnsi="Times New Roman" w:cs="Times New Roman"/>
          <w:i/>
          <w:sz w:val="24"/>
          <w:szCs w:val="24"/>
        </w:rPr>
        <w:t xml:space="preserve"> actions</w:t>
      </w:r>
      <w:r w:rsidR="005F77DF" w:rsidRPr="00DD57F1">
        <w:rPr>
          <w:rFonts w:ascii="Times New Roman" w:hAnsi="Times New Roman" w:cs="Times New Roman"/>
          <w:i/>
          <w:sz w:val="24"/>
          <w:szCs w:val="24"/>
        </w:rPr>
        <w:t xml:space="preserve">.  It is likely to recommend that </w:t>
      </w:r>
      <w:r w:rsidR="00AC62B5" w:rsidRPr="00DD57F1">
        <w:rPr>
          <w:rFonts w:ascii="Times New Roman" w:hAnsi="Times New Roman" w:cs="Times New Roman"/>
          <w:i/>
          <w:sz w:val="24"/>
          <w:szCs w:val="24"/>
        </w:rPr>
        <w:t>the Federal Court Class Action Practice Note be amended to provide criteria for when is appropriate to order class closure during the course of a class action and the limited circumstances in which a class may be reopened</w:t>
      </w:r>
      <w:r w:rsidR="0038018A" w:rsidRPr="00DD57F1">
        <w:rPr>
          <w:rFonts w:ascii="Times New Roman" w:hAnsi="Times New Roman" w:cs="Times New Roman"/>
          <w:i/>
          <w:sz w:val="24"/>
          <w:szCs w:val="24"/>
        </w:rPr>
        <w:t>.</w:t>
      </w:r>
    </w:p>
    <w:p w14:paraId="33F4883B" w14:textId="4015FF21" w:rsidR="002B7524" w:rsidRPr="00DD57F1" w:rsidRDefault="00065928" w:rsidP="005D16FE">
      <w:pPr>
        <w:pStyle w:val="ListParagraph"/>
        <w:ind w:left="0"/>
        <w:jc w:val="both"/>
        <w:rPr>
          <w:rFonts w:ascii="Times New Roman" w:hAnsi="Times New Roman" w:cs="Times New Roman"/>
          <w:sz w:val="24"/>
          <w:szCs w:val="24"/>
        </w:rPr>
      </w:pPr>
      <w:r w:rsidRPr="00DD57F1">
        <w:rPr>
          <w:rFonts w:ascii="Times New Roman" w:hAnsi="Times New Roman" w:cs="Times New Roman"/>
          <w:sz w:val="24"/>
          <w:szCs w:val="24"/>
        </w:rPr>
        <w:t xml:space="preserve">These </w:t>
      </w:r>
      <w:r w:rsidR="0038018A" w:rsidRPr="00DD57F1">
        <w:rPr>
          <w:rFonts w:ascii="Times New Roman" w:hAnsi="Times New Roman" w:cs="Times New Roman"/>
          <w:sz w:val="24"/>
          <w:szCs w:val="24"/>
        </w:rPr>
        <w:t>changes</w:t>
      </w:r>
      <w:r w:rsidRPr="00DD57F1">
        <w:rPr>
          <w:rFonts w:ascii="Times New Roman" w:hAnsi="Times New Roman" w:cs="Times New Roman"/>
          <w:sz w:val="24"/>
          <w:szCs w:val="24"/>
        </w:rPr>
        <w:t xml:space="preserve"> can be seen as </w:t>
      </w:r>
      <w:r w:rsidR="002B7524" w:rsidRPr="00DD57F1">
        <w:rPr>
          <w:rFonts w:ascii="Times New Roman" w:hAnsi="Times New Roman" w:cs="Times New Roman"/>
          <w:sz w:val="24"/>
          <w:szCs w:val="24"/>
        </w:rPr>
        <w:t xml:space="preserve">consistent with </w:t>
      </w:r>
      <w:r w:rsidRPr="00DD57F1">
        <w:rPr>
          <w:rFonts w:ascii="Times New Roman" w:hAnsi="Times New Roman" w:cs="Times New Roman"/>
          <w:sz w:val="24"/>
          <w:szCs w:val="24"/>
        </w:rPr>
        <w:t xml:space="preserve">legislative intent, but </w:t>
      </w:r>
      <w:r w:rsidR="00EF1EB1" w:rsidRPr="00DD57F1">
        <w:rPr>
          <w:rFonts w:ascii="Times New Roman" w:hAnsi="Times New Roman" w:cs="Times New Roman"/>
          <w:sz w:val="24"/>
          <w:szCs w:val="24"/>
        </w:rPr>
        <w:t xml:space="preserve">in my view </w:t>
      </w:r>
      <w:r w:rsidR="0038018A" w:rsidRPr="00DD57F1">
        <w:rPr>
          <w:rFonts w:ascii="Times New Roman" w:hAnsi="Times New Roman" w:cs="Times New Roman"/>
          <w:sz w:val="24"/>
          <w:szCs w:val="24"/>
        </w:rPr>
        <w:t xml:space="preserve">the Court </w:t>
      </w:r>
      <w:r w:rsidRPr="00DD57F1">
        <w:rPr>
          <w:rFonts w:ascii="Times New Roman" w:hAnsi="Times New Roman" w:cs="Times New Roman"/>
          <w:sz w:val="24"/>
          <w:szCs w:val="24"/>
        </w:rPr>
        <w:t xml:space="preserve">must have </w:t>
      </w:r>
      <w:r w:rsidR="0038018A" w:rsidRPr="00DD57F1">
        <w:rPr>
          <w:rFonts w:ascii="Times New Roman" w:hAnsi="Times New Roman" w:cs="Times New Roman"/>
          <w:sz w:val="24"/>
          <w:szCs w:val="24"/>
        </w:rPr>
        <w:t>discretion to allow a closed class in an appropriate case.</w:t>
      </w:r>
      <w:r w:rsidR="005D16FE" w:rsidRPr="00DD57F1">
        <w:rPr>
          <w:rFonts w:ascii="Times New Roman" w:hAnsi="Times New Roman" w:cs="Times New Roman"/>
          <w:sz w:val="24"/>
          <w:szCs w:val="24"/>
        </w:rPr>
        <w:t xml:space="preserve">  In </w:t>
      </w:r>
      <w:r w:rsidR="00FF5148" w:rsidRPr="00DD57F1">
        <w:rPr>
          <w:rFonts w:ascii="Times New Roman" w:hAnsi="Times New Roman" w:cs="Times New Roman"/>
          <w:sz w:val="24"/>
          <w:szCs w:val="24"/>
        </w:rPr>
        <w:t>some</w:t>
      </w:r>
      <w:r w:rsidR="005D16FE" w:rsidRPr="00DD57F1">
        <w:rPr>
          <w:rFonts w:ascii="Times New Roman" w:hAnsi="Times New Roman" w:cs="Times New Roman"/>
          <w:sz w:val="24"/>
          <w:szCs w:val="24"/>
        </w:rPr>
        <w:t xml:space="preserve"> cases it may be that an open class </w:t>
      </w:r>
      <w:r w:rsidRPr="00DD57F1">
        <w:rPr>
          <w:rFonts w:ascii="Times New Roman" w:hAnsi="Times New Roman" w:cs="Times New Roman"/>
          <w:sz w:val="24"/>
          <w:szCs w:val="24"/>
        </w:rPr>
        <w:t xml:space="preserve">proceeding </w:t>
      </w:r>
      <w:r w:rsidR="005D16FE" w:rsidRPr="00DD57F1">
        <w:rPr>
          <w:rFonts w:ascii="Times New Roman" w:hAnsi="Times New Roman" w:cs="Times New Roman"/>
          <w:sz w:val="24"/>
          <w:szCs w:val="24"/>
        </w:rPr>
        <w:t>would be so inefficient that it would not be commenced, while</w:t>
      </w:r>
      <w:r w:rsidRPr="00DD57F1">
        <w:rPr>
          <w:rFonts w:ascii="Times New Roman" w:hAnsi="Times New Roman" w:cs="Times New Roman"/>
          <w:sz w:val="24"/>
          <w:szCs w:val="24"/>
        </w:rPr>
        <w:t xml:space="preserve"> the proceeding </w:t>
      </w:r>
      <w:r w:rsidR="005D16FE" w:rsidRPr="00DD57F1">
        <w:rPr>
          <w:rFonts w:ascii="Times New Roman" w:hAnsi="Times New Roman" w:cs="Times New Roman"/>
          <w:sz w:val="24"/>
          <w:szCs w:val="24"/>
        </w:rPr>
        <w:t>would be commenced with a closed class.</w:t>
      </w:r>
      <w:r w:rsidRPr="00DD57F1">
        <w:rPr>
          <w:rFonts w:ascii="Times New Roman" w:hAnsi="Times New Roman" w:cs="Times New Roman"/>
          <w:sz w:val="24"/>
          <w:szCs w:val="24"/>
        </w:rPr>
        <w:t xml:space="preserve">  Allowing this </w:t>
      </w:r>
      <w:r w:rsidR="005D16FE" w:rsidRPr="00DD57F1">
        <w:rPr>
          <w:rFonts w:ascii="Times New Roman" w:hAnsi="Times New Roman" w:cs="Times New Roman"/>
          <w:sz w:val="24"/>
          <w:szCs w:val="24"/>
        </w:rPr>
        <w:t xml:space="preserve">would </w:t>
      </w:r>
      <w:r w:rsidRPr="00DD57F1">
        <w:rPr>
          <w:rFonts w:ascii="Times New Roman" w:hAnsi="Times New Roman" w:cs="Times New Roman"/>
          <w:sz w:val="24"/>
          <w:szCs w:val="24"/>
        </w:rPr>
        <w:t>provide some measure of access to justice as against none</w:t>
      </w:r>
      <w:r w:rsidR="00EF1EB1" w:rsidRPr="00DD57F1">
        <w:rPr>
          <w:rFonts w:ascii="Times New Roman" w:hAnsi="Times New Roman" w:cs="Times New Roman"/>
          <w:sz w:val="24"/>
          <w:szCs w:val="24"/>
        </w:rPr>
        <w:t xml:space="preserve">. </w:t>
      </w:r>
    </w:p>
    <w:p w14:paraId="471B003F" w14:textId="77777777" w:rsidR="00AC62B5" w:rsidRPr="00DD57F1" w:rsidRDefault="00AC62B5" w:rsidP="00A278EF">
      <w:pPr>
        <w:pStyle w:val="ListParagraph"/>
        <w:ind w:left="0"/>
        <w:jc w:val="both"/>
        <w:rPr>
          <w:rFonts w:ascii="Times New Roman" w:hAnsi="Times New Roman" w:cs="Times New Roman"/>
          <w:sz w:val="24"/>
          <w:szCs w:val="24"/>
        </w:rPr>
      </w:pPr>
    </w:p>
    <w:p w14:paraId="3494C652" w14:textId="57B2812B" w:rsidR="00EB05D7" w:rsidRPr="00DD57F1" w:rsidRDefault="00EB05D7" w:rsidP="00065928">
      <w:pPr>
        <w:pStyle w:val="ListParagraph"/>
        <w:ind w:left="0"/>
        <w:jc w:val="both"/>
        <w:rPr>
          <w:rFonts w:ascii="Times New Roman" w:hAnsi="Times New Roman" w:cs="Times New Roman"/>
          <w:sz w:val="24"/>
          <w:szCs w:val="24"/>
        </w:rPr>
      </w:pPr>
      <w:r w:rsidRPr="00DD57F1">
        <w:rPr>
          <w:rFonts w:ascii="Times New Roman" w:hAnsi="Times New Roman" w:cs="Times New Roman"/>
          <w:sz w:val="24"/>
          <w:szCs w:val="24"/>
        </w:rPr>
        <w:t xml:space="preserve">Further, </w:t>
      </w:r>
      <w:r w:rsidR="00EF1EB1" w:rsidRPr="00DD57F1">
        <w:rPr>
          <w:rFonts w:ascii="Times New Roman" w:hAnsi="Times New Roman" w:cs="Times New Roman"/>
          <w:sz w:val="24"/>
          <w:szCs w:val="24"/>
        </w:rPr>
        <w:t>as Professor Morabito</w:t>
      </w:r>
      <w:r w:rsidR="00065928" w:rsidRPr="00DD57F1">
        <w:rPr>
          <w:rFonts w:ascii="Times New Roman" w:hAnsi="Times New Roman" w:cs="Times New Roman"/>
          <w:sz w:val="24"/>
          <w:szCs w:val="24"/>
        </w:rPr>
        <w:t xml:space="preserve"> noted </w:t>
      </w:r>
      <w:r w:rsidR="00EF1EB1" w:rsidRPr="00DD57F1">
        <w:rPr>
          <w:rFonts w:ascii="Times New Roman" w:hAnsi="Times New Roman" w:cs="Times New Roman"/>
          <w:sz w:val="24"/>
          <w:szCs w:val="24"/>
        </w:rPr>
        <w:t>in his Seventh Empirical Report, the expression “open class actions” is unclear.</w:t>
      </w:r>
      <w:r w:rsidR="00D808BE" w:rsidRPr="00DD57F1">
        <w:rPr>
          <w:rFonts w:ascii="Times New Roman" w:hAnsi="Times New Roman" w:cs="Times New Roman"/>
          <w:sz w:val="24"/>
          <w:szCs w:val="24"/>
        </w:rPr>
        <w:t xml:space="preserve">  Does it </w:t>
      </w:r>
      <w:r w:rsidRPr="00DD57F1">
        <w:rPr>
          <w:rFonts w:ascii="Times New Roman" w:hAnsi="Times New Roman" w:cs="Times New Roman"/>
          <w:sz w:val="24"/>
          <w:szCs w:val="24"/>
        </w:rPr>
        <w:t>mean</w:t>
      </w:r>
      <w:r w:rsidR="00D808BE" w:rsidRPr="00DD57F1">
        <w:rPr>
          <w:rFonts w:ascii="Times New Roman" w:hAnsi="Times New Roman" w:cs="Times New Roman"/>
          <w:sz w:val="24"/>
          <w:szCs w:val="24"/>
        </w:rPr>
        <w:t>, for example</w:t>
      </w:r>
      <w:r w:rsidR="006A48E0" w:rsidRPr="00DD57F1">
        <w:rPr>
          <w:rFonts w:ascii="Times New Roman" w:hAnsi="Times New Roman" w:cs="Times New Roman"/>
          <w:sz w:val="24"/>
          <w:szCs w:val="24"/>
        </w:rPr>
        <w:t>,</w:t>
      </w:r>
      <w:r w:rsidRPr="00DD57F1">
        <w:rPr>
          <w:rFonts w:ascii="Times New Roman" w:hAnsi="Times New Roman" w:cs="Times New Roman"/>
          <w:sz w:val="24"/>
          <w:szCs w:val="24"/>
        </w:rPr>
        <w:t xml:space="preserve"> that class actions will not be permitted where they are brought only on behalf of</w:t>
      </w:r>
      <w:r w:rsidR="00065928" w:rsidRPr="00DD57F1">
        <w:rPr>
          <w:rFonts w:ascii="Times New Roman" w:hAnsi="Times New Roman" w:cs="Times New Roman"/>
          <w:sz w:val="24"/>
          <w:szCs w:val="24"/>
        </w:rPr>
        <w:t xml:space="preserve"> </w:t>
      </w:r>
      <w:r w:rsidRPr="00DD57F1">
        <w:rPr>
          <w:rFonts w:ascii="Times New Roman" w:hAnsi="Times New Roman" w:cs="Times New Roman"/>
          <w:sz w:val="24"/>
          <w:szCs w:val="24"/>
        </w:rPr>
        <w:t xml:space="preserve">the members of </w:t>
      </w:r>
      <w:r w:rsidR="0077127A" w:rsidRPr="00DD57F1">
        <w:rPr>
          <w:rFonts w:ascii="Times New Roman" w:hAnsi="Times New Roman" w:cs="Times New Roman"/>
          <w:sz w:val="24"/>
          <w:szCs w:val="24"/>
        </w:rPr>
        <w:t>a</w:t>
      </w:r>
      <w:r w:rsidRPr="00DD57F1">
        <w:rPr>
          <w:rFonts w:ascii="Times New Roman" w:hAnsi="Times New Roman" w:cs="Times New Roman"/>
          <w:sz w:val="24"/>
          <w:szCs w:val="24"/>
        </w:rPr>
        <w:t xml:space="preserve"> trade union</w:t>
      </w:r>
      <w:r w:rsidR="00065928" w:rsidRPr="00DD57F1">
        <w:rPr>
          <w:rFonts w:ascii="Times New Roman" w:hAnsi="Times New Roman" w:cs="Times New Roman"/>
          <w:sz w:val="24"/>
          <w:szCs w:val="24"/>
        </w:rPr>
        <w:t xml:space="preserve"> or unincorporated association</w:t>
      </w:r>
      <w:r w:rsidR="006368BB" w:rsidRPr="00DD57F1">
        <w:rPr>
          <w:rFonts w:ascii="Times New Roman" w:hAnsi="Times New Roman" w:cs="Times New Roman"/>
          <w:sz w:val="24"/>
          <w:szCs w:val="24"/>
        </w:rPr>
        <w:t>?</w:t>
      </w:r>
      <w:r w:rsidR="003C1C7A" w:rsidRPr="00DD57F1">
        <w:rPr>
          <w:rFonts w:ascii="Times New Roman" w:hAnsi="Times New Roman" w:cs="Times New Roman"/>
          <w:sz w:val="24"/>
          <w:szCs w:val="24"/>
        </w:rPr>
        <w:t xml:space="preserve"> </w:t>
      </w:r>
      <w:r w:rsidR="00FF5148" w:rsidRPr="00DD57F1">
        <w:rPr>
          <w:rFonts w:ascii="Times New Roman" w:hAnsi="Times New Roman" w:cs="Times New Roman"/>
          <w:sz w:val="24"/>
          <w:szCs w:val="24"/>
        </w:rPr>
        <w:t xml:space="preserve"> One can readily understand the reluctance of </w:t>
      </w:r>
      <w:r w:rsidR="0077127A" w:rsidRPr="00DD57F1">
        <w:rPr>
          <w:rFonts w:ascii="Times New Roman" w:hAnsi="Times New Roman" w:cs="Times New Roman"/>
          <w:sz w:val="24"/>
          <w:szCs w:val="24"/>
        </w:rPr>
        <w:t>a</w:t>
      </w:r>
      <w:r w:rsidR="00FF5148" w:rsidRPr="00DD57F1">
        <w:rPr>
          <w:rFonts w:ascii="Times New Roman" w:hAnsi="Times New Roman" w:cs="Times New Roman"/>
          <w:sz w:val="24"/>
          <w:szCs w:val="24"/>
        </w:rPr>
        <w:t xml:space="preserve"> trade union </w:t>
      </w:r>
      <w:r w:rsidR="00065928" w:rsidRPr="00DD57F1">
        <w:rPr>
          <w:rFonts w:ascii="Times New Roman" w:hAnsi="Times New Roman" w:cs="Times New Roman"/>
          <w:sz w:val="24"/>
          <w:szCs w:val="24"/>
        </w:rPr>
        <w:t xml:space="preserve">or association </w:t>
      </w:r>
      <w:r w:rsidR="00FF5148" w:rsidRPr="00DD57F1">
        <w:rPr>
          <w:rFonts w:ascii="Times New Roman" w:hAnsi="Times New Roman" w:cs="Times New Roman"/>
          <w:sz w:val="24"/>
          <w:szCs w:val="24"/>
        </w:rPr>
        <w:t xml:space="preserve">to underwrite the costs and risks of a class action if it meant they were forced to also pay </w:t>
      </w:r>
      <w:r w:rsidR="0077127A" w:rsidRPr="00DD57F1">
        <w:rPr>
          <w:rFonts w:ascii="Times New Roman" w:hAnsi="Times New Roman" w:cs="Times New Roman"/>
          <w:sz w:val="24"/>
          <w:szCs w:val="24"/>
        </w:rPr>
        <w:t xml:space="preserve">for </w:t>
      </w:r>
      <w:r w:rsidR="00FF5148" w:rsidRPr="00DD57F1">
        <w:rPr>
          <w:rFonts w:ascii="Times New Roman" w:hAnsi="Times New Roman" w:cs="Times New Roman"/>
          <w:sz w:val="24"/>
          <w:szCs w:val="24"/>
        </w:rPr>
        <w:t xml:space="preserve">persons who are not members.  </w:t>
      </w:r>
      <w:r w:rsidR="00065928" w:rsidRPr="00DD57F1">
        <w:rPr>
          <w:rFonts w:ascii="Times New Roman" w:hAnsi="Times New Roman" w:cs="Times New Roman"/>
          <w:sz w:val="24"/>
          <w:szCs w:val="24"/>
        </w:rPr>
        <w:t xml:space="preserve">Alternatively, does it mean that cartel class actions will not be permitted if the class is defined to exclude </w:t>
      </w:r>
      <w:r w:rsidRPr="00DD57F1">
        <w:rPr>
          <w:rFonts w:ascii="Times New Roman" w:hAnsi="Times New Roman" w:cs="Times New Roman"/>
          <w:sz w:val="24"/>
          <w:szCs w:val="24"/>
        </w:rPr>
        <w:t>consumers who suffered losses</w:t>
      </w:r>
      <w:r w:rsidR="00065928" w:rsidRPr="00DD57F1">
        <w:rPr>
          <w:rFonts w:ascii="Times New Roman" w:hAnsi="Times New Roman" w:cs="Times New Roman"/>
          <w:sz w:val="24"/>
          <w:szCs w:val="24"/>
        </w:rPr>
        <w:t xml:space="preserve"> below </w:t>
      </w:r>
      <w:r w:rsidRPr="00DD57F1">
        <w:rPr>
          <w:rFonts w:ascii="Times New Roman" w:hAnsi="Times New Roman" w:cs="Times New Roman"/>
          <w:sz w:val="24"/>
          <w:szCs w:val="24"/>
        </w:rPr>
        <w:t>a specified minimum</w:t>
      </w:r>
      <w:r w:rsidR="003C1C7A" w:rsidRPr="00DD57F1">
        <w:rPr>
          <w:rFonts w:ascii="Times New Roman" w:hAnsi="Times New Roman" w:cs="Times New Roman"/>
          <w:sz w:val="24"/>
          <w:szCs w:val="24"/>
        </w:rPr>
        <w:t>?</w:t>
      </w:r>
      <w:r w:rsidR="00FF5148" w:rsidRPr="00DD57F1">
        <w:rPr>
          <w:rFonts w:ascii="Times New Roman" w:hAnsi="Times New Roman" w:cs="Times New Roman"/>
          <w:sz w:val="24"/>
          <w:szCs w:val="24"/>
        </w:rPr>
        <w:t xml:space="preserve"> </w:t>
      </w:r>
      <w:r w:rsidR="003C1C7A" w:rsidRPr="00DD57F1">
        <w:rPr>
          <w:rFonts w:ascii="Times New Roman" w:hAnsi="Times New Roman" w:cs="Times New Roman"/>
          <w:sz w:val="24"/>
          <w:szCs w:val="24"/>
        </w:rPr>
        <w:t xml:space="preserve"> </w:t>
      </w:r>
      <w:r w:rsidR="00FF5148" w:rsidRPr="00DD57F1">
        <w:rPr>
          <w:rFonts w:ascii="Times New Roman" w:hAnsi="Times New Roman" w:cs="Times New Roman"/>
          <w:sz w:val="24"/>
          <w:szCs w:val="24"/>
        </w:rPr>
        <w:t xml:space="preserve">A requirement that a cartel class action must </w:t>
      </w:r>
      <w:r w:rsidR="00065928" w:rsidRPr="00DD57F1">
        <w:rPr>
          <w:rFonts w:ascii="Times New Roman" w:hAnsi="Times New Roman" w:cs="Times New Roman"/>
          <w:sz w:val="24"/>
          <w:szCs w:val="24"/>
        </w:rPr>
        <w:t xml:space="preserve">be ‘open’ so as to include consumers </w:t>
      </w:r>
      <w:r w:rsidR="00FF5148" w:rsidRPr="00DD57F1">
        <w:rPr>
          <w:rFonts w:ascii="Times New Roman" w:hAnsi="Times New Roman" w:cs="Times New Roman"/>
          <w:sz w:val="24"/>
          <w:szCs w:val="24"/>
        </w:rPr>
        <w:t>who suffered losses less than</w:t>
      </w:r>
      <w:r w:rsidR="00065928" w:rsidRPr="00DD57F1">
        <w:rPr>
          <w:rFonts w:ascii="Times New Roman" w:hAnsi="Times New Roman" w:cs="Times New Roman"/>
          <w:sz w:val="24"/>
          <w:szCs w:val="24"/>
        </w:rPr>
        <w:t xml:space="preserve">, say, </w:t>
      </w:r>
      <w:r w:rsidR="00FF5148" w:rsidRPr="00DD57F1">
        <w:rPr>
          <w:rFonts w:ascii="Times New Roman" w:hAnsi="Times New Roman" w:cs="Times New Roman"/>
          <w:sz w:val="24"/>
          <w:szCs w:val="24"/>
        </w:rPr>
        <w:t>$</w:t>
      </w:r>
      <w:r w:rsidR="0077127A" w:rsidRPr="00DD57F1">
        <w:rPr>
          <w:rFonts w:ascii="Times New Roman" w:hAnsi="Times New Roman" w:cs="Times New Roman"/>
          <w:sz w:val="24"/>
          <w:szCs w:val="24"/>
        </w:rPr>
        <w:t>50</w:t>
      </w:r>
      <w:r w:rsidR="00FF5148" w:rsidRPr="00DD57F1">
        <w:rPr>
          <w:rFonts w:ascii="Times New Roman" w:hAnsi="Times New Roman" w:cs="Times New Roman"/>
          <w:sz w:val="24"/>
          <w:szCs w:val="24"/>
        </w:rPr>
        <w:t>0 is likely to mean that the action</w:t>
      </w:r>
      <w:r w:rsidR="00065928" w:rsidRPr="00DD57F1">
        <w:rPr>
          <w:rFonts w:ascii="Times New Roman" w:hAnsi="Times New Roman" w:cs="Times New Roman"/>
          <w:sz w:val="24"/>
          <w:szCs w:val="24"/>
        </w:rPr>
        <w:t xml:space="preserve"> will be very </w:t>
      </w:r>
      <w:r w:rsidR="0077127A" w:rsidRPr="00DD57F1">
        <w:rPr>
          <w:rFonts w:ascii="Times New Roman" w:hAnsi="Times New Roman" w:cs="Times New Roman"/>
          <w:sz w:val="24"/>
          <w:szCs w:val="24"/>
        </w:rPr>
        <w:t>in</w:t>
      </w:r>
      <w:r w:rsidR="00FF5148" w:rsidRPr="00DD57F1">
        <w:rPr>
          <w:rFonts w:ascii="Times New Roman" w:hAnsi="Times New Roman" w:cs="Times New Roman"/>
          <w:sz w:val="24"/>
          <w:szCs w:val="24"/>
        </w:rPr>
        <w:t>efficient.</w:t>
      </w:r>
      <w:r w:rsidR="00065928" w:rsidRPr="00DD57F1">
        <w:rPr>
          <w:rFonts w:ascii="Times New Roman" w:hAnsi="Times New Roman" w:cs="Times New Roman"/>
          <w:sz w:val="24"/>
          <w:szCs w:val="24"/>
        </w:rPr>
        <w:t xml:space="preserve">  The </w:t>
      </w:r>
      <w:r w:rsidR="00FF5148" w:rsidRPr="00DD57F1">
        <w:rPr>
          <w:rFonts w:ascii="Times New Roman" w:hAnsi="Times New Roman" w:cs="Times New Roman"/>
          <w:sz w:val="24"/>
          <w:szCs w:val="24"/>
        </w:rPr>
        <w:t>transaction costs of achieving compensation for such class members would exceed the losses they suffered</w:t>
      </w:r>
      <w:r w:rsidR="003C1C7A" w:rsidRPr="00DD57F1">
        <w:rPr>
          <w:rFonts w:ascii="Times New Roman" w:hAnsi="Times New Roman" w:cs="Times New Roman"/>
          <w:sz w:val="24"/>
          <w:szCs w:val="24"/>
        </w:rPr>
        <w:t>.</w:t>
      </w:r>
    </w:p>
    <w:p w14:paraId="7D231532" w14:textId="78F2E013" w:rsidR="00EB05D7" w:rsidRPr="00DD57F1" w:rsidRDefault="00065928" w:rsidP="00ED2707">
      <w:pPr>
        <w:jc w:val="both"/>
        <w:rPr>
          <w:rFonts w:ascii="Times New Roman" w:hAnsi="Times New Roman" w:cs="Times New Roman"/>
          <w:sz w:val="24"/>
          <w:szCs w:val="24"/>
        </w:rPr>
      </w:pPr>
      <w:r w:rsidRPr="00DD57F1">
        <w:rPr>
          <w:rFonts w:ascii="Times New Roman" w:hAnsi="Times New Roman" w:cs="Times New Roman"/>
          <w:sz w:val="24"/>
          <w:szCs w:val="24"/>
        </w:rPr>
        <w:lastRenderedPageBreak/>
        <w:t>Further</w:t>
      </w:r>
      <w:r w:rsidR="00AC62B5" w:rsidRPr="00DD57F1">
        <w:rPr>
          <w:rFonts w:ascii="Times New Roman" w:hAnsi="Times New Roman" w:cs="Times New Roman"/>
          <w:sz w:val="24"/>
          <w:szCs w:val="24"/>
        </w:rPr>
        <w:t>, any criteria limiting class closure must leave the Court with a broad discretion.  There are many circumstances in which class closure may be in the interests of class members and consistent with legislative intent.</w:t>
      </w:r>
    </w:p>
    <w:p w14:paraId="45F12BF4" w14:textId="77777777" w:rsidR="00D808BE" w:rsidRPr="00DD57F1" w:rsidRDefault="00D808BE" w:rsidP="00BA31BB">
      <w:pPr>
        <w:pStyle w:val="ListParagraph"/>
        <w:numPr>
          <w:ilvl w:val="0"/>
          <w:numId w:val="40"/>
        </w:numPr>
        <w:spacing w:before="240" w:after="240" w:line="300" w:lineRule="auto"/>
        <w:ind w:left="567" w:hanging="567"/>
        <w:jc w:val="both"/>
        <w:rPr>
          <w:rFonts w:ascii="Times New Roman" w:hAnsi="Times New Roman" w:cs="Times New Roman"/>
          <w:b/>
          <w:sz w:val="24"/>
          <w:szCs w:val="24"/>
        </w:rPr>
      </w:pPr>
      <w:r w:rsidRPr="00DD57F1">
        <w:rPr>
          <w:rFonts w:ascii="Times New Roman" w:hAnsi="Times New Roman" w:cs="Times New Roman"/>
          <w:b/>
          <w:sz w:val="24"/>
          <w:szCs w:val="24"/>
        </w:rPr>
        <w:t>Express powers to deal with competing class actions</w:t>
      </w:r>
    </w:p>
    <w:p w14:paraId="5FA8F12E" w14:textId="7C916408" w:rsidR="00D808BE" w:rsidRPr="00DD57F1" w:rsidRDefault="00FF5148" w:rsidP="00D808BE">
      <w:pPr>
        <w:jc w:val="both"/>
        <w:rPr>
          <w:rFonts w:ascii="Times New Roman" w:hAnsi="Times New Roman" w:cs="Times New Roman"/>
          <w:sz w:val="24"/>
          <w:szCs w:val="24"/>
        </w:rPr>
      </w:pPr>
      <w:r w:rsidRPr="00DD57F1">
        <w:rPr>
          <w:rFonts w:ascii="Times New Roman" w:hAnsi="Times New Roman" w:cs="Times New Roman"/>
          <w:sz w:val="24"/>
          <w:szCs w:val="24"/>
        </w:rPr>
        <w:t>The appeals</w:t>
      </w:r>
      <w:r w:rsidR="00D808BE" w:rsidRPr="00DD57F1">
        <w:rPr>
          <w:rFonts w:ascii="Times New Roman" w:hAnsi="Times New Roman" w:cs="Times New Roman"/>
          <w:sz w:val="24"/>
          <w:szCs w:val="24"/>
        </w:rPr>
        <w:t xml:space="preserve"> </w:t>
      </w:r>
      <w:r w:rsidRPr="00DD57F1">
        <w:rPr>
          <w:rFonts w:ascii="Times New Roman" w:hAnsi="Times New Roman" w:cs="Times New Roman"/>
          <w:sz w:val="24"/>
          <w:szCs w:val="24"/>
        </w:rPr>
        <w:t xml:space="preserve">against the decision </w:t>
      </w:r>
      <w:r w:rsidR="00D808BE" w:rsidRPr="00DD57F1">
        <w:rPr>
          <w:rFonts w:ascii="Times New Roman" w:hAnsi="Times New Roman" w:cs="Times New Roman"/>
          <w:sz w:val="24"/>
          <w:szCs w:val="24"/>
        </w:rPr>
        <w:t xml:space="preserve">in </w:t>
      </w:r>
      <w:r w:rsidR="00D808BE" w:rsidRPr="00DD57F1">
        <w:rPr>
          <w:rFonts w:ascii="Times New Roman" w:hAnsi="Times New Roman" w:cs="Times New Roman"/>
          <w:i/>
          <w:sz w:val="24"/>
          <w:szCs w:val="24"/>
        </w:rPr>
        <w:t>GetSwift</w:t>
      </w:r>
      <w:r w:rsidRPr="00DD57F1">
        <w:rPr>
          <w:rFonts w:ascii="Times New Roman" w:hAnsi="Times New Roman" w:cs="Times New Roman"/>
          <w:i/>
          <w:sz w:val="24"/>
          <w:szCs w:val="24"/>
        </w:rPr>
        <w:t xml:space="preserve"> </w:t>
      </w:r>
      <w:r w:rsidRPr="00DD57F1">
        <w:rPr>
          <w:rFonts w:ascii="Times New Roman" w:hAnsi="Times New Roman" w:cs="Times New Roman"/>
          <w:sz w:val="24"/>
          <w:szCs w:val="24"/>
        </w:rPr>
        <w:t>include</w:t>
      </w:r>
      <w:r w:rsidR="00D808BE" w:rsidRPr="00DD57F1">
        <w:rPr>
          <w:rFonts w:ascii="Times New Roman" w:hAnsi="Times New Roman" w:cs="Times New Roman"/>
          <w:sz w:val="24"/>
          <w:szCs w:val="24"/>
        </w:rPr>
        <w:t xml:space="preserve"> the contention that in the absence of</w:t>
      </w:r>
      <w:r w:rsidR="00AC62B5" w:rsidRPr="00DD57F1">
        <w:rPr>
          <w:rFonts w:ascii="Times New Roman" w:hAnsi="Times New Roman" w:cs="Times New Roman"/>
          <w:sz w:val="24"/>
          <w:szCs w:val="24"/>
        </w:rPr>
        <w:t xml:space="preserve"> showing </w:t>
      </w:r>
      <w:r w:rsidR="00D808BE" w:rsidRPr="00DD57F1">
        <w:rPr>
          <w:rFonts w:ascii="Times New Roman" w:hAnsi="Times New Roman" w:cs="Times New Roman"/>
          <w:sz w:val="24"/>
          <w:szCs w:val="24"/>
        </w:rPr>
        <w:t xml:space="preserve">abuse of process the Court lacked power to stay </w:t>
      </w:r>
      <w:r w:rsidRPr="00DD57F1">
        <w:rPr>
          <w:rFonts w:ascii="Times New Roman" w:hAnsi="Times New Roman" w:cs="Times New Roman"/>
          <w:sz w:val="24"/>
          <w:szCs w:val="24"/>
        </w:rPr>
        <w:t>a</w:t>
      </w:r>
      <w:r w:rsidR="00D808BE" w:rsidRPr="00DD57F1">
        <w:rPr>
          <w:rFonts w:ascii="Times New Roman" w:hAnsi="Times New Roman" w:cs="Times New Roman"/>
          <w:sz w:val="24"/>
          <w:szCs w:val="24"/>
        </w:rPr>
        <w:t xml:space="preserve"> non-preferred</w:t>
      </w:r>
      <w:r w:rsidRPr="00DD57F1">
        <w:rPr>
          <w:rFonts w:ascii="Times New Roman" w:hAnsi="Times New Roman" w:cs="Times New Roman"/>
          <w:sz w:val="24"/>
          <w:szCs w:val="24"/>
        </w:rPr>
        <w:t xml:space="preserve"> competing class action</w:t>
      </w:r>
      <w:r w:rsidR="00D808BE" w:rsidRPr="00DD57F1">
        <w:rPr>
          <w:rFonts w:ascii="Times New Roman" w:hAnsi="Times New Roman" w:cs="Times New Roman"/>
          <w:sz w:val="24"/>
          <w:szCs w:val="24"/>
        </w:rPr>
        <w:t>.</w:t>
      </w:r>
      <w:r w:rsidRPr="00DD57F1">
        <w:rPr>
          <w:rFonts w:ascii="Times New Roman" w:hAnsi="Times New Roman" w:cs="Times New Roman"/>
          <w:sz w:val="24"/>
          <w:szCs w:val="24"/>
        </w:rPr>
        <w:t xml:space="preserve"> I</w:t>
      </w:r>
      <w:r w:rsidR="00D808BE" w:rsidRPr="00DD57F1">
        <w:rPr>
          <w:rFonts w:ascii="Times New Roman" w:hAnsi="Times New Roman" w:cs="Times New Roman"/>
          <w:sz w:val="24"/>
          <w:szCs w:val="24"/>
        </w:rPr>
        <w:t xml:space="preserve">t is appropriate that the power </w:t>
      </w:r>
      <w:r w:rsidRPr="00DD57F1">
        <w:rPr>
          <w:rFonts w:ascii="Times New Roman" w:hAnsi="Times New Roman" w:cs="Times New Roman"/>
          <w:sz w:val="24"/>
          <w:szCs w:val="24"/>
        </w:rPr>
        <w:t xml:space="preserve">to do so </w:t>
      </w:r>
      <w:r w:rsidR="00D808BE" w:rsidRPr="00DD57F1">
        <w:rPr>
          <w:rFonts w:ascii="Times New Roman" w:hAnsi="Times New Roman" w:cs="Times New Roman"/>
          <w:sz w:val="24"/>
          <w:szCs w:val="24"/>
        </w:rPr>
        <w:t>be put beyond question.</w:t>
      </w:r>
    </w:p>
    <w:p w14:paraId="76EB8BE4" w14:textId="7B5D8B0F" w:rsidR="00065928" w:rsidRDefault="00065928" w:rsidP="002D1860">
      <w:pPr>
        <w:pStyle w:val="ListParagraph"/>
        <w:numPr>
          <w:ilvl w:val="0"/>
          <w:numId w:val="40"/>
        </w:numPr>
        <w:spacing w:before="240" w:after="240" w:line="300" w:lineRule="auto"/>
        <w:ind w:left="567" w:hanging="567"/>
        <w:jc w:val="both"/>
        <w:rPr>
          <w:rFonts w:ascii="Times New Roman" w:hAnsi="Times New Roman" w:cs="Times New Roman"/>
          <w:b/>
          <w:sz w:val="24"/>
          <w:szCs w:val="24"/>
        </w:rPr>
      </w:pPr>
      <w:r w:rsidRPr="00DD57F1">
        <w:rPr>
          <w:rFonts w:ascii="Times New Roman" w:hAnsi="Times New Roman" w:cs="Times New Roman"/>
          <w:b/>
          <w:sz w:val="24"/>
          <w:szCs w:val="24"/>
        </w:rPr>
        <w:t>Express power to make a common fund order</w:t>
      </w:r>
    </w:p>
    <w:p w14:paraId="4EACB7C2" w14:textId="5106D270" w:rsidR="0058605E" w:rsidRPr="0058605E" w:rsidRDefault="0058605E" w:rsidP="0058605E">
      <w:pPr>
        <w:spacing w:after="240" w:line="300" w:lineRule="auto"/>
        <w:jc w:val="both"/>
        <w:rPr>
          <w:rFonts w:ascii="Times New Roman" w:hAnsi="Times New Roman" w:cs="Times New Roman"/>
          <w:b/>
          <w:sz w:val="24"/>
          <w:szCs w:val="24"/>
        </w:rPr>
      </w:pPr>
      <w:r w:rsidRPr="0058605E">
        <w:rPr>
          <w:rFonts w:ascii="Times New Roman" w:hAnsi="Times New Roman" w:cs="Times New Roman"/>
          <w:sz w:val="24"/>
          <w:szCs w:val="24"/>
        </w:rPr>
        <w:t>There are two appeals against common fund orders on foot, in which it is contended that the courts do not have power to make such orders.  It is appropriate that the power to do so be put beyond question.</w:t>
      </w:r>
    </w:p>
    <w:p w14:paraId="7B41AF12" w14:textId="3B0AF0EE" w:rsidR="0058605E" w:rsidRPr="00DD57F1" w:rsidRDefault="0058605E" w:rsidP="002D1860">
      <w:pPr>
        <w:pStyle w:val="ListParagraph"/>
        <w:numPr>
          <w:ilvl w:val="0"/>
          <w:numId w:val="40"/>
        </w:numPr>
        <w:spacing w:before="240" w:after="240" w:line="300" w:lineRule="auto"/>
        <w:ind w:left="567" w:hanging="567"/>
        <w:jc w:val="both"/>
        <w:rPr>
          <w:rFonts w:ascii="Times New Roman" w:hAnsi="Times New Roman" w:cs="Times New Roman"/>
          <w:b/>
          <w:sz w:val="24"/>
          <w:szCs w:val="24"/>
        </w:rPr>
      </w:pPr>
      <w:r w:rsidRPr="0058605E">
        <w:rPr>
          <w:rFonts w:ascii="Times New Roman" w:hAnsi="Times New Roman" w:cs="Times New Roman"/>
          <w:b/>
          <w:sz w:val="24"/>
          <w:szCs w:val="24"/>
        </w:rPr>
        <w:t>Lifting the prohibition on contingency fees</w:t>
      </w:r>
    </w:p>
    <w:p w14:paraId="76CD22DE" w14:textId="4720093B" w:rsidR="005F77DF" w:rsidRPr="00DD57F1" w:rsidRDefault="00BA796D" w:rsidP="0058605E">
      <w:r w:rsidRPr="0058605E">
        <w:rPr>
          <w:rFonts w:ascii="Times New Roman" w:hAnsi="Times New Roman" w:cs="Times New Roman"/>
          <w:i/>
          <w:sz w:val="24"/>
          <w:szCs w:val="24"/>
        </w:rPr>
        <w:t xml:space="preserve">The ARLC is likely to recommend the prohibition on contingency fees be lifted, subject to two conditions: </w:t>
      </w:r>
      <w:r w:rsidR="005F77DF" w:rsidRPr="0058605E">
        <w:rPr>
          <w:rFonts w:ascii="Times New Roman" w:hAnsi="Times New Roman" w:cs="Times New Roman"/>
          <w:i/>
          <w:sz w:val="24"/>
          <w:szCs w:val="24"/>
        </w:rPr>
        <w:t xml:space="preserve">(a) </w:t>
      </w:r>
      <w:r w:rsidRPr="0058605E">
        <w:rPr>
          <w:rFonts w:ascii="Times New Roman" w:hAnsi="Times New Roman" w:cs="Times New Roman"/>
          <w:i/>
          <w:sz w:val="24"/>
          <w:szCs w:val="24"/>
        </w:rPr>
        <w:t>that it will be by leave of the Court</w:t>
      </w:r>
      <w:r w:rsidR="005F77DF" w:rsidRPr="0058605E">
        <w:rPr>
          <w:rFonts w:ascii="Times New Roman" w:hAnsi="Times New Roman" w:cs="Times New Roman"/>
          <w:i/>
          <w:sz w:val="24"/>
          <w:szCs w:val="24"/>
        </w:rPr>
        <w:t>;</w:t>
      </w:r>
      <w:r w:rsidRPr="0058605E">
        <w:rPr>
          <w:rFonts w:ascii="Times New Roman" w:hAnsi="Times New Roman" w:cs="Times New Roman"/>
          <w:i/>
          <w:sz w:val="24"/>
          <w:szCs w:val="24"/>
        </w:rPr>
        <w:t xml:space="preserve"> and </w:t>
      </w:r>
      <w:r w:rsidR="005F77DF" w:rsidRPr="0058605E">
        <w:rPr>
          <w:rFonts w:ascii="Times New Roman" w:hAnsi="Times New Roman" w:cs="Times New Roman"/>
          <w:i/>
          <w:sz w:val="24"/>
          <w:szCs w:val="24"/>
        </w:rPr>
        <w:t xml:space="preserve">(b) </w:t>
      </w:r>
      <w:r w:rsidRPr="0058605E">
        <w:rPr>
          <w:rFonts w:ascii="Times New Roman" w:hAnsi="Times New Roman" w:cs="Times New Roman"/>
          <w:i/>
          <w:sz w:val="24"/>
          <w:szCs w:val="24"/>
        </w:rPr>
        <w:t xml:space="preserve">that the Court have power to reject, vary or amend the terms of any such agreement. </w:t>
      </w:r>
      <w:r w:rsidR="00FF5148" w:rsidRPr="0058605E">
        <w:rPr>
          <w:rFonts w:ascii="Times New Roman" w:hAnsi="Times New Roman" w:cs="Times New Roman"/>
          <w:i/>
          <w:sz w:val="24"/>
          <w:szCs w:val="24"/>
        </w:rPr>
        <w:t xml:space="preserve">Solicitors who fund class actions under contingency fee arrangements will be subject to a statutory presumption that they will be required to provide security for costs. </w:t>
      </w:r>
      <w:r w:rsidRPr="0058605E">
        <w:rPr>
          <w:rFonts w:ascii="Times New Roman" w:hAnsi="Times New Roman" w:cs="Times New Roman"/>
          <w:i/>
          <w:sz w:val="24"/>
          <w:szCs w:val="24"/>
        </w:rPr>
        <w:t xml:space="preserve"> </w:t>
      </w:r>
      <w:r w:rsidR="0074286D" w:rsidRPr="0058605E">
        <w:rPr>
          <w:rFonts w:ascii="Times New Roman" w:hAnsi="Times New Roman" w:cs="Times New Roman"/>
          <w:i/>
          <w:sz w:val="24"/>
          <w:szCs w:val="24"/>
        </w:rPr>
        <w:t>L</w:t>
      </w:r>
      <w:r w:rsidRPr="0058605E">
        <w:rPr>
          <w:rFonts w:ascii="Times New Roman" w:hAnsi="Times New Roman" w:cs="Times New Roman"/>
          <w:i/>
          <w:sz w:val="24"/>
          <w:szCs w:val="24"/>
        </w:rPr>
        <w:t>itigation funders</w:t>
      </w:r>
      <w:r w:rsidR="005F77DF" w:rsidRPr="0058605E">
        <w:rPr>
          <w:rFonts w:ascii="Times New Roman" w:hAnsi="Times New Roman" w:cs="Times New Roman"/>
          <w:i/>
          <w:sz w:val="24"/>
          <w:szCs w:val="24"/>
        </w:rPr>
        <w:t xml:space="preserve"> will not be </w:t>
      </w:r>
      <w:r w:rsidR="0074286D" w:rsidRPr="0058605E">
        <w:rPr>
          <w:rFonts w:ascii="Times New Roman" w:hAnsi="Times New Roman" w:cs="Times New Roman"/>
          <w:i/>
          <w:sz w:val="24"/>
          <w:szCs w:val="24"/>
        </w:rPr>
        <w:t xml:space="preserve">permitted to fund a case in which a contingency fee is </w:t>
      </w:r>
      <w:r w:rsidR="005F77DF" w:rsidRPr="0058605E">
        <w:rPr>
          <w:rFonts w:ascii="Times New Roman" w:hAnsi="Times New Roman" w:cs="Times New Roman"/>
          <w:i/>
          <w:sz w:val="24"/>
          <w:szCs w:val="24"/>
        </w:rPr>
        <w:t xml:space="preserve">also </w:t>
      </w:r>
      <w:r w:rsidR="0074286D" w:rsidRPr="0058605E">
        <w:rPr>
          <w:rFonts w:ascii="Times New Roman" w:hAnsi="Times New Roman" w:cs="Times New Roman"/>
          <w:i/>
          <w:sz w:val="24"/>
          <w:szCs w:val="24"/>
        </w:rPr>
        <w:t>being charged</w:t>
      </w:r>
      <w:r w:rsidRPr="0058605E">
        <w:rPr>
          <w:rFonts w:ascii="Times New Roman" w:hAnsi="Times New Roman" w:cs="Times New Roman"/>
          <w:i/>
          <w:sz w:val="24"/>
          <w:szCs w:val="24"/>
        </w:rPr>
        <w:t>.</w:t>
      </w:r>
    </w:p>
    <w:p w14:paraId="6EA6068B" w14:textId="291886F1" w:rsidR="005F77DF" w:rsidRPr="00DD57F1" w:rsidRDefault="00ED2707" w:rsidP="00510522">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As could be expected, this </w:t>
      </w:r>
      <w:r w:rsidR="00510522" w:rsidRPr="00DD57F1">
        <w:rPr>
          <w:rFonts w:ascii="Times New Roman" w:hAnsi="Times New Roman" w:cs="Times New Roman"/>
          <w:sz w:val="24"/>
          <w:szCs w:val="24"/>
        </w:rPr>
        <w:t>recommendation</w:t>
      </w:r>
      <w:r>
        <w:rPr>
          <w:rFonts w:ascii="Times New Roman" w:hAnsi="Times New Roman" w:cs="Times New Roman"/>
          <w:sz w:val="24"/>
          <w:szCs w:val="24"/>
        </w:rPr>
        <w:t xml:space="preserve"> has attracted some controversy</w:t>
      </w:r>
      <w:r w:rsidR="003C1C7A" w:rsidRPr="00DD57F1">
        <w:rPr>
          <w:rFonts w:ascii="Times New Roman" w:hAnsi="Times New Roman" w:cs="Times New Roman"/>
          <w:sz w:val="24"/>
          <w:szCs w:val="24"/>
        </w:rPr>
        <w:t xml:space="preserve">.  </w:t>
      </w:r>
      <w:r>
        <w:rPr>
          <w:rFonts w:ascii="Times New Roman" w:hAnsi="Times New Roman" w:cs="Times New Roman"/>
          <w:sz w:val="24"/>
          <w:szCs w:val="24"/>
        </w:rPr>
        <w:t>The o</w:t>
      </w:r>
      <w:r w:rsidR="005F77DF" w:rsidRPr="00DD57F1">
        <w:rPr>
          <w:rFonts w:ascii="Times New Roman" w:hAnsi="Times New Roman" w:cs="Times New Roman"/>
          <w:sz w:val="24"/>
          <w:szCs w:val="24"/>
        </w:rPr>
        <w:t xml:space="preserve">bjections include that </w:t>
      </w:r>
      <w:r w:rsidR="00717D45" w:rsidRPr="00DD57F1">
        <w:rPr>
          <w:rFonts w:ascii="Times New Roman" w:hAnsi="Times New Roman" w:cs="Times New Roman"/>
          <w:sz w:val="24"/>
          <w:szCs w:val="24"/>
        </w:rPr>
        <w:t xml:space="preserve">it would give the applicant’s lawyers a personal stake in the litigation which might lead the lawyers to prefer their own interest to the interests of the applicant and class members.  </w:t>
      </w:r>
      <w:r w:rsidR="005F77DF" w:rsidRPr="00DD57F1">
        <w:rPr>
          <w:rFonts w:ascii="Times New Roman" w:hAnsi="Times New Roman" w:cs="Times New Roman"/>
          <w:sz w:val="24"/>
          <w:szCs w:val="24"/>
        </w:rPr>
        <w:t>It is also argued that the applicant’s lawyer presently acts as a bulwark protecting class members’ interests against the funder</w:t>
      </w:r>
      <w:r w:rsidR="003C1C7A" w:rsidRPr="00DD57F1">
        <w:rPr>
          <w:rFonts w:ascii="Times New Roman" w:hAnsi="Times New Roman" w:cs="Times New Roman"/>
          <w:sz w:val="24"/>
          <w:szCs w:val="24"/>
        </w:rPr>
        <w:t>’s commercial imperatives</w:t>
      </w:r>
      <w:r w:rsidR="005F77DF" w:rsidRPr="00DD57F1">
        <w:rPr>
          <w:rFonts w:ascii="Times New Roman" w:hAnsi="Times New Roman" w:cs="Times New Roman"/>
          <w:sz w:val="24"/>
          <w:szCs w:val="24"/>
        </w:rPr>
        <w:t>.</w:t>
      </w:r>
    </w:p>
    <w:p w14:paraId="01097656" w14:textId="77777777" w:rsidR="005F77DF" w:rsidRPr="00DD57F1" w:rsidRDefault="005F77DF" w:rsidP="00510522">
      <w:pPr>
        <w:pStyle w:val="ListParagraph"/>
        <w:ind w:left="0"/>
        <w:jc w:val="both"/>
        <w:rPr>
          <w:rFonts w:ascii="Times New Roman" w:hAnsi="Times New Roman" w:cs="Times New Roman"/>
          <w:sz w:val="24"/>
          <w:szCs w:val="24"/>
        </w:rPr>
      </w:pPr>
    </w:p>
    <w:p w14:paraId="02145CA4" w14:textId="3FE0DBCF" w:rsidR="002D1860" w:rsidRDefault="002D1860" w:rsidP="00510522">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The ALRC </w:t>
      </w:r>
      <w:r w:rsidR="00BA31BB">
        <w:rPr>
          <w:rFonts w:ascii="Times New Roman" w:hAnsi="Times New Roman" w:cs="Times New Roman"/>
          <w:sz w:val="24"/>
          <w:szCs w:val="24"/>
        </w:rPr>
        <w:t xml:space="preserve">has noted that the introduction of contingency fees is likely to result in a material reduction in the total amount charged to class members.  Importantly the ALRC recommendation </w:t>
      </w:r>
      <w:r>
        <w:rPr>
          <w:rFonts w:ascii="Times New Roman" w:hAnsi="Times New Roman" w:cs="Times New Roman"/>
          <w:sz w:val="24"/>
          <w:szCs w:val="24"/>
        </w:rPr>
        <w:t>includes two critical safeguards</w:t>
      </w:r>
      <w:r w:rsidR="00BA31BB">
        <w:rPr>
          <w:rFonts w:ascii="Times New Roman" w:hAnsi="Times New Roman" w:cs="Times New Roman"/>
          <w:sz w:val="24"/>
          <w:szCs w:val="24"/>
        </w:rPr>
        <w:t>.</w:t>
      </w:r>
      <w:r>
        <w:rPr>
          <w:rFonts w:ascii="Times New Roman" w:hAnsi="Times New Roman" w:cs="Times New Roman"/>
          <w:sz w:val="24"/>
          <w:szCs w:val="24"/>
        </w:rPr>
        <w:t xml:space="preserve"> First, that a contingency fee can only be charged by leave of the Court.  Second, that the percentage fee rate will be subject to Court supervision and </w:t>
      </w:r>
      <w:r w:rsidR="00BA31BB">
        <w:rPr>
          <w:rFonts w:ascii="Times New Roman" w:hAnsi="Times New Roman" w:cs="Times New Roman"/>
          <w:sz w:val="24"/>
          <w:szCs w:val="24"/>
        </w:rPr>
        <w:t xml:space="preserve">the Court </w:t>
      </w:r>
      <w:r>
        <w:rPr>
          <w:rFonts w:ascii="Times New Roman" w:hAnsi="Times New Roman" w:cs="Times New Roman"/>
          <w:sz w:val="24"/>
          <w:szCs w:val="24"/>
        </w:rPr>
        <w:t xml:space="preserve">may </w:t>
      </w:r>
      <w:r w:rsidR="00BA31BB">
        <w:rPr>
          <w:rFonts w:ascii="Times New Roman" w:hAnsi="Times New Roman" w:cs="Times New Roman"/>
          <w:sz w:val="24"/>
          <w:szCs w:val="24"/>
        </w:rPr>
        <w:t>vary it</w:t>
      </w:r>
      <w:r>
        <w:rPr>
          <w:rFonts w:ascii="Times New Roman" w:hAnsi="Times New Roman" w:cs="Times New Roman"/>
          <w:sz w:val="24"/>
          <w:szCs w:val="24"/>
        </w:rPr>
        <w:t xml:space="preserve">.  </w:t>
      </w:r>
    </w:p>
    <w:p w14:paraId="725B45CF" w14:textId="77777777" w:rsidR="002D1860" w:rsidRDefault="002D1860" w:rsidP="00510522">
      <w:pPr>
        <w:pStyle w:val="ListParagraph"/>
        <w:ind w:left="0"/>
        <w:jc w:val="both"/>
        <w:rPr>
          <w:rFonts w:ascii="Times New Roman" w:hAnsi="Times New Roman" w:cs="Times New Roman"/>
          <w:sz w:val="24"/>
          <w:szCs w:val="24"/>
        </w:rPr>
      </w:pPr>
    </w:p>
    <w:p w14:paraId="1BD3BF6B" w14:textId="6240F4F7" w:rsidR="00510522" w:rsidRPr="00DD57F1" w:rsidRDefault="00BA31BB" w:rsidP="00510522">
      <w:pPr>
        <w:pStyle w:val="ListParagraph"/>
        <w:ind w:left="0"/>
        <w:jc w:val="both"/>
        <w:rPr>
          <w:rFonts w:ascii="Times New Roman" w:hAnsi="Times New Roman" w:cs="Times New Roman"/>
          <w:sz w:val="24"/>
          <w:szCs w:val="24"/>
        </w:rPr>
      </w:pPr>
      <w:r>
        <w:rPr>
          <w:rFonts w:ascii="Times New Roman" w:hAnsi="Times New Roman" w:cs="Times New Roman"/>
          <w:sz w:val="24"/>
          <w:szCs w:val="24"/>
        </w:rPr>
        <w:t xml:space="preserve">In relation to one of the main arguments against allowing contingency fees, </w:t>
      </w:r>
      <w:r w:rsidR="00717D45" w:rsidRPr="00DD57F1">
        <w:rPr>
          <w:rFonts w:ascii="Times New Roman" w:hAnsi="Times New Roman" w:cs="Times New Roman"/>
          <w:sz w:val="24"/>
          <w:szCs w:val="24"/>
        </w:rPr>
        <w:t xml:space="preserve">the ALRC </w:t>
      </w:r>
      <w:r w:rsidR="00ED2707">
        <w:rPr>
          <w:rFonts w:ascii="Times New Roman" w:hAnsi="Times New Roman" w:cs="Times New Roman"/>
          <w:sz w:val="24"/>
          <w:szCs w:val="24"/>
        </w:rPr>
        <w:t xml:space="preserve">and VLRC have </w:t>
      </w:r>
      <w:r>
        <w:rPr>
          <w:rFonts w:ascii="Times New Roman" w:hAnsi="Times New Roman" w:cs="Times New Roman"/>
          <w:sz w:val="24"/>
          <w:szCs w:val="24"/>
        </w:rPr>
        <w:t xml:space="preserve">both </w:t>
      </w:r>
      <w:r w:rsidR="002D1860">
        <w:rPr>
          <w:rFonts w:ascii="Times New Roman" w:hAnsi="Times New Roman" w:cs="Times New Roman"/>
          <w:sz w:val="24"/>
          <w:szCs w:val="24"/>
        </w:rPr>
        <w:t>noted</w:t>
      </w:r>
      <w:r w:rsidR="00717D45" w:rsidRPr="00DD57F1">
        <w:rPr>
          <w:rFonts w:ascii="Times New Roman" w:hAnsi="Times New Roman" w:cs="Times New Roman"/>
          <w:sz w:val="24"/>
          <w:szCs w:val="24"/>
        </w:rPr>
        <w:t xml:space="preserve"> </w:t>
      </w:r>
      <w:r w:rsidR="002D1860">
        <w:rPr>
          <w:rFonts w:ascii="Times New Roman" w:hAnsi="Times New Roman" w:cs="Times New Roman"/>
          <w:sz w:val="24"/>
          <w:szCs w:val="24"/>
        </w:rPr>
        <w:t xml:space="preserve">that, </w:t>
      </w:r>
      <w:r w:rsidR="003C1C7A" w:rsidRPr="00DD57F1">
        <w:rPr>
          <w:rFonts w:ascii="Times New Roman" w:hAnsi="Times New Roman" w:cs="Times New Roman"/>
          <w:sz w:val="24"/>
          <w:szCs w:val="24"/>
        </w:rPr>
        <w:t xml:space="preserve">even </w:t>
      </w:r>
      <w:r w:rsidR="00510522" w:rsidRPr="00DD57F1">
        <w:rPr>
          <w:rFonts w:ascii="Times New Roman" w:hAnsi="Times New Roman" w:cs="Times New Roman"/>
          <w:sz w:val="24"/>
          <w:szCs w:val="24"/>
        </w:rPr>
        <w:t>absent contingency fees</w:t>
      </w:r>
      <w:r w:rsidR="002D1860">
        <w:rPr>
          <w:rFonts w:ascii="Times New Roman" w:hAnsi="Times New Roman" w:cs="Times New Roman"/>
          <w:sz w:val="24"/>
          <w:szCs w:val="24"/>
        </w:rPr>
        <w:t>,</w:t>
      </w:r>
      <w:r w:rsidR="00717D45" w:rsidRPr="00DD57F1">
        <w:rPr>
          <w:rFonts w:ascii="Times New Roman" w:hAnsi="Times New Roman" w:cs="Times New Roman"/>
          <w:sz w:val="24"/>
          <w:szCs w:val="24"/>
        </w:rPr>
        <w:t xml:space="preserve"> the</w:t>
      </w:r>
      <w:r w:rsidR="00510522" w:rsidRPr="00DD57F1">
        <w:rPr>
          <w:rFonts w:ascii="Times New Roman" w:hAnsi="Times New Roman" w:cs="Times New Roman"/>
          <w:sz w:val="24"/>
          <w:szCs w:val="24"/>
        </w:rPr>
        <w:t xml:space="preserve"> lawyers </w:t>
      </w:r>
      <w:r w:rsidR="00717D45" w:rsidRPr="00DD57F1">
        <w:rPr>
          <w:rFonts w:ascii="Times New Roman" w:hAnsi="Times New Roman" w:cs="Times New Roman"/>
          <w:sz w:val="24"/>
          <w:szCs w:val="24"/>
        </w:rPr>
        <w:t xml:space="preserve">for the applicant in </w:t>
      </w:r>
      <w:r w:rsidR="00510522" w:rsidRPr="00DD57F1">
        <w:rPr>
          <w:rFonts w:ascii="Times New Roman" w:hAnsi="Times New Roman" w:cs="Times New Roman"/>
          <w:sz w:val="24"/>
          <w:szCs w:val="24"/>
        </w:rPr>
        <w:t>no-win-no</w:t>
      </w:r>
      <w:r w:rsidR="003C1C7A" w:rsidRPr="00DD57F1">
        <w:rPr>
          <w:rFonts w:ascii="Times New Roman" w:hAnsi="Times New Roman" w:cs="Times New Roman"/>
          <w:sz w:val="24"/>
          <w:szCs w:val="24"/>
        </w:rPr>
        <w:t>-</w:t>
      </w:r>
      <w:r w:rsidR="00510522" w:rsidRPr="00DD57F1">
        <w:rPr>
          <w:rFonts w:ascii="Times New Roman" w:hAnsi="Times New Roman" w:cs="Times New Roman"/>
          <w:sz w:val="24"/>
          <w:szCs w:val="24"/>
        </w:rPr>
        <w:t xml:space="preserve">fee class actions already have a substantial stake in the litigation.  For example, in the </w:t>
      </w:r>
      <w:r w:rsidR="003C1C7A" w:rsidRPr="00DD57F1">
        <w:rPr>
          <w:rFonts w:ascii="Times New Roman" w:hAnsi="Times New Roman" w:cs="Times New Roman"/>
          <w:sz w:val="24"/>
          <w:szCs w:val="24"/>
        </w:rPr>
        <w:t>Kilmore East – Kinglake</w:t>
      </w:r>
      <w:r w:rsidR="00510522" w:rsidRPr="00DD57F1">
        <w:rPr>
          <w:rFonts w:ascii="Times New Roman" w:hAnsi="Times New Roman" w:cs="Times New Roman"/>
          <w:sz w:val="24"/>
          <w:szCs w:val="24"/>
        </w:rPr>
        <w:t xml:space="preserve"> bushfire class action which settled for $</w:t>
      </w:r>
      <w:r w:rsidR="00EE7D71" w:rsidRPr="00DD57F1">
        <w:rPr>
          <w:rFonts w:ascii="Times New Roman" w:hAnsi="Times New Roman" w:cs="Times New Roman"/>
          <w:sz w:val="24"/>
          <w:szCs w:val="24"/>
        </w:rPr>
        <w:t>494</w:t>
      </w:r>
      <w:r w:rsidR="00510522" w:rsidRPr="00DD57F1">
        <w:rPr>
          <w:rFonts w:ascii="Times New Roman" w:hAnsi="Times New Roman" w:cs="Times New Roman"/>
          <w:sz w:val="24"/>
          <w:szCs w:val="24"/>
        </w:rPr>
        <w:t xml:space="preserve"> million after a 12 month trial, the applicant’s lawyers had incurred costs and disbursements of $60 million</w:t>
      </w:r>
      <w:r w:rsidR="00ED2707">
        <w:rPr>
          <w:rFonts w:ascii="Times New Roman" w:hAnsi="Times New Roman" w:cs="Times New Roman"/>
          <w:sz w:val="24"/>
          <w:szCs w:val="24"/>
        </w:rPr>
        <w:t xml:space="preserve"> payable only upon a successful outcome</w:t>
      </w:r>
      <w:r w:rsidR="00510522" w:rsidRPr="00DD57F1">
        <w:rPr>
          <w:rFonts w:ascii="Times New Roman" w:hAnsi="Times New Roman" w:cs="Times New Roman"/>
          <w:sz w:val="24"/>
          <w:szCs w:val="24"/>
        </w:rPr>
        <w:t>.  The</w:t>
      </w:r>
      <w:r w:rsidR="002D1860">
        <w:rPr>
          <w:rFonts w:ascii="Times New Roman" w:hAnsi="Times New Roman" w:cs="Times New Roman"/>
          <w:sz w:val="24"/>
          <w:szCs w:val="24"/>
        </w:rPr>
        <w:t>y argue that</w:t>
      </w:r>
      <w:r w:rsidR="00510522" w:rsidRPr="00DD57F1">
        <w:rPr>
          <w:rFonts w:ascii="Times New Roman" w:hAnsi="Times New Roman" w:cs="Times New Roman"/>
          <w:sz w:val="24"/>
          <w:szCs w:val="24"/>
        </w:rPr>
        <w:t xml:space="preserve"> introduction of percentage-based contingency fees would make any such stake more transparent and allow improved Court supervision.</w:t>
      </w:r>
      <w:r w:rsidR="00EE7D71" w:rsidRPr="00DD57F1">
        <w:rPr>
          <w:rFonts w:ascii="Times New Roman" w:hAnsi="Times New Roman" w:cs="Times New Roman"/>
          <w:sz w:val="24"/>
          <w:szCs w:val="24"/>
        </w:rPr>
        <w:t xml:space="preserve"> </w:t>
      </w:r>
      <w:r w:rsidR="00510522" w:rsidRPr="00DD57F1">
        <w:rPr>
          <w:rFonts w:ascii="Times New Roman" w:hAnsi="Times New Roman" w:cs="Times New Roman"/>
          <w:sz w:val="24"/>
          <w:szCs w:val="24"/>
        </w:rPr>
        <w:t xml:space="preserve"> </w:t>
      </w:r>
      <w:r>
        <w:rPr>
          <w:rFonts w:ascii="Times New Roman" w:hAnsi="Times New Roman" w:cs="Times New Roman"/>
          <w:sz w:val="24"/>
          <w:szCs w:val="24"/>
        </w:rPr>
        <w:t xml:space="preserve">Also, </w:t>
      </w:r>
      <w:r w:rsidR="00510522" w:rsidRPr="00DD57F1">
        <w:rPr>
          <w:rFonts w:ascii="Times New Roman" w:hAnsi="Times New Roman" w:cs="Times New Roman"/>
          <w:sz w:val="24"/>
          <w:szCs w:val="24"/>
        </w:rPr>
        <w:t>litigation funders are currently permitted to charge on a percentage basis without owing the professional and ethical duties that the applicant’s lawyers owe to the class members.</w:t>
      </w:r>
    </w:p>
    <w:p w14:paraId="04B61F79" w14:textId="77777777" w:rsidR="00510522" w:rsidRPr="00DD57F1" w:rsidRDefault="00510522" w:rsidP="001066A2">
      <w:pPr>
        <w:pStyle w:val="ListParagraph"/>
        <w:ind w:left="0"/>
        <w:jc w:val="both"/>
        <w:rPr>
          <w:rFonts w:ascii="Times New Roman" w:hAnsi="Times New Roman" w:cs="Times New Roman"/>
          <w:sz w:val="24"/>
          <w:szCs w:val="24"/>
        </w:rPr>
      </w:pPr>
    </w:p>
    <w:p w14:paraId="2E34F33D" w14:textId="7816F63A" w:rsidR="00510522" w:rsidRPr="00DD57F1" w:rsidRDefault="00510522" w:rsidP="001066A2">
      <w:pPr>
        <w:pStyle w:val="ListParagraph"/>
        <w:ind w:left="0"/>
        <w:jc w:val="both"/>
        <w:rPr>
          <w:rFonts w:ascii="Times New Roman" w:hAnsi="Times New Roman" w:cs="Times New Roman"/>
          <w:sz w:val="24"/>
          <w:szCs w:val="24"/>
        </w:rPr>
      </w:pPr>
      <w:r w:rsidRPr="00DD57F1">
        <w:rPr>
          <w:rFonts w:ascii="Times New Roman" w:hAnsi="Times New Roman" w:cs="Times New Roman"/>
          <w:sz w:val="24"/>
          <w:szCs w:val="24"/>
        </w:rPr>
        <w:lastRenderedPageBreak/>
        <w:t xml:space="preserve">There is broad support </w:t>
      </w:r>
      <w:r w:rsidR="00BA31BB">
        <w:rPr>
          <w:rFonts w:ascii="Times New Roman" w:hAnsi="Times New Roman" w:cs="Times New Roman"/>
          <w:sz w:val="24"/>
          <w:szCs w:val="24"/>
        </w:rPr>
        <w:t xml:space="preserve">for lifting the prohibition on contingency fees </w:t>
      </w:r>
      <w:r w:rsidRPr="00DD57F1">
        <w:rPr>
          <w:rFonts w:ascii="Times New Roman" w:hAnsi="Times New Roman" w:cs="Times New Roman"/>
          <w:sz w:val="24"/>
          <w:szCs w:val="24"/>
        </w:rPr>
        <w:t>in the submissions: 71% of submissions supported the lifting the prohibition.</w:t>
      </w:r>
      <w:r w:rsidR="00DA00A0">
        <w:rPr>
          <w:rFonts w:ascii="Times New Roman" w:hAnsi="Times New Roman" w:cs="Times New Roman"/>
          <w:sz w:val="24"/>
          <w:szCs w:val="24"/>
        </w:rPr>
        <w:t xml:space="preserve">  This </w:t>
      </w:r>
      <w:r w:rsidRPr="00DD57F1">
        <w:rPr>
          <w:rFonts w:ascii="Times New Roman" w:hAnsi="Times New Roman" w:cs="Times New Roman"/>
          <w:sz w:val="24"/>
          <w:szCs w:val="24"/>
        </w:rPr>
        <w:t xml:space="preserve">level of support is most likely because </w:t>
      </w:r>
      <w:r w:rsidR="00717D45" w:rsidRPr="00DD57F1">
        <w:rPr>
          <w:rFonts w:ascii="Times New Roman" w:hAnsi="Times New Roman" w:cs="Times New Roman"/>
          <w:sz w:val="24"/>
          <w:szCs w:val="24"/>
        </w:rPr>
        <w:t xml:space="preserve">the </w:t>
      </w:r>
      <w:r w:rsidR="005F77DF" w:rsidRPr="00DD57F1">
        <w:rPr>
          <w:rFonts w:ascii="Times New Roman" w:hAnsi="Times New Roman" w:cs="Times New Roman"/>
          <w:sz w:val="24"/>
          <w:szCs w:val="24"/>
        </w:rPr>
        <w:t xml:space="preserve">introduction of contingency fees is likely to lead to a material </w:t>
      </w:r>
      <w:r w:rsidR="00717D45" w:rsidRPr="00DD57F1">
        <w:rPr>
          <w:rFonts w:ascii="Times New Roman" w:hAnsi="Times New Roman" w:cs="Times New Roman"/>
          <w:sz w:val="24"/>
          <w:szCs w:val="24"/>
        </w:rPr>
        <w:t xml:space="preserve">reduction in </w:t>
      </w:r>
      <w:r w:rsidR="005F77DF" w:rsidRPr="00DD57F1">
        <w:rPr>
          <w:rFonts w:ascii="Times New Roman" w:hAnsi="Times New Roman" w:cs="Times New Roman"/>
          <w:sz w:val="24"/>
          <w:szCs w:val="24"/>
        </w:rPr>
        <w:t>the</w:t>
      </w:r>
      <w:r w:rsidR="00DA00A0">
        <w:rPr>
          <w:rFonts w:ascii="Times New Roman" w:hAnsi="Times New Roman" w:cs="Times New Roman"/>
          <w:sz w:val="24"/>
          <w:szCs w:val="24"/>
        </w:rPr>
        <w:t xml:space="preserve"> total amount </w:t>
      </w:r>
      <w:r w:rsidR="005F77DF" w:rsidRPr="00DD57F1">
        <w:rPr>
          <w:rFonts w:ascii="Times New Roman" w:hAnsi="Times New Roman" w:cs="Times New Roman"/>
          <w:sz w:val="24"/>
          <w:szCs w:val="24"/>
        </w:rPr>
        <w:t>paid by class members and because of the two critical safeguards to which I have referred</w:t>
      </w:r>
      <w:r w:rsidR="00717D45" w:rsidRPr="00DD57F1">
        <w:rPr>
          <w:rFonts w:ascii="Times New Roman" w:hAnsi="Times New Roman" w:cs="Times New Roman"/>
          <w:sz w:val="24"/>
          <w:szCs w:val="24"/>
        </w:rPr>
        <w:t xml:space="preserve">.  </w:t>
      </w:r>
    </w:p>
    <w:p w14:paraId="6C7057A9" w14:textId="77777777" w:rsidR="00510522" w:rsidRPr="00DD57F1" w:rsidRDefault="00510522" w:rsidP="001066A2">
      <w:pPr>
        <w:pStyle w:val="ListParagraph"/>
        <w:ind w:left="0"/>
        <w:jc w:val="both"/>
        <w:rPr>
          <w:rFonts w:ascii="Times New Roman" w:hAnsi="Times New Roman" w:cs="Times New Roman"/>
          <w:sz w:val="24"/>
          <w:szCs w:val="24"/>
        </w:rPr>
      </w:pPr>
    </w:p>
    <w:p w14:paraId="3D7B7A64" w14:textId="15C760CE" w:rsidR="00A67CB9" w:rsidRPr="00DD57F1" w:rsidRDefault="005F77DF" w:rsidP="00717D45">
      <w:pPr>
        <w:pStyle w:val="ListParagraph"/>
        <w:ind w:left="0"/>
        <w:jc w:val="both"/>
        <w:rPr>
          <w:rFonts w:ascii="Times New Roman" w:hAnsi="Times New Roman" w:cs="Times New Roman"/>
          <w:sz w:val="24"/>
          <w:szCs w:val="24"/>
        </w:rPr>
      </w:pPr>
      <w:r w:rsidRPr="00DD57F1">
        <w:rPr>
          <w:rFonts w:ascii="Times New Roman" w:hAnsi="Times New Roman" w:cs="Times New Roman"/>
          <w:sz w:val="24"/>
          <w:szCs w:val="24"/>
        </w:rPr>
        <w:t xml:space="preserve">Provided </w:t>
      </w:r>
      <w:r w:rsidR="0074286D" w:rsidRPr="00DD57F1">
        <w:rPr>
          <w:rFonts w:ascii="Times New Roman" w:hAnsi="Times New Roman" w:cs="Times New Roman"/>
          <w:sz w:val="24"/>
          <w:szCs w:val="24"/>
        </w:rPr>
        <w:t xml:space="preserve">the </w:t>
      </w:r>
      <w:r w:rsidRPr="00DD57F1">
        <w:rPr>
          <w:rFonts w:ascii="Times New Roman" w:hAnsi="Times New Roman" w:cs="Times New Roman"/>
          <w:sz w:val="24"/>
          <w:szCs w:val="24"/>
        </w:rPr>
        <w:t xml:space="preserve">two </w:t>
      </w:r>
      <w:r w:rsidR="0074286D" w:rsidRPr="00DD57F1">
        <w:rPr>
          <w:rFonts w:ascii="Times New Roman" w:hAnsi="Times New Roman" w:cs="Times New Roman"/>
          <w:sz w:val="24"/>
          <w:szCs w:val="24"/>
        </w:rPr>
        <w:t>safeguards</w:t>
      </w:r>
      <w:r w:rsidRPr="00DD57F1">
        <w:rPr>
          <w:rFonts w:ascii="Times New Roman" w:hAnsi="Times New Roman" w:cs="Times New Roman"/>
          <w:sz w:val="24"/>
          <w:szCs w:val="24"/>
        </w:rPr>
        <w:t xml:space="preserve"> remain I support </w:t>
      </w:r>
      <w:r w:rsidR="0074286D" w:rsidRPr="00DD57F1">
        <w:rPr>
          <w:rFonts w:ascii="Times New Roman" w:hAnsi="Times New Roman" w:cs="Times New Roman"/>
          <w:sz w:val="24"/>
          <w:szCs w:val="24"/>
        </w:rPr>
        <w:t>this</w:t>
      </w:r>
      <w:r w:rsidRPr="00DD57F1">
        <w:rPr>
          <w:rFonts w:ascii="Times New Roman" w:hAnsi="Times New Roman" w:cs="Times New Roman"/>
          <w:sz w:val="24"/>
          <w:szCs w:val="24"/>
        </w:rPr>
        <w:t xml:space="preserve"> recommendation</w:t>
      </w:r>
      <w:r w:rsidR="0074286D" w:rsidRPr="00DD57F1">
        <w:rPr>
          <w:rFonts w:ascii="Times New Roman" w:hAnsi="Times New Roman" w:cs="Times New Roman"/>
          <w:sz w:val="24"/>
          <w:szCs w:val="24"/>
        </w:rPr>
        <w:t>.  I expect that</w:t>
      </w:r>
      <w:r w:rsidR="00717D45" w:rsidRPr="00DD57F1">
        <w:rPr>
          <w:rFonts w:ascii="Times New Roman" w:hAnsi="Times New Roman" w:cs="Times New Roman"/>
          <w:sz w:val="24"/>
          <w:szCs w:val="24"/>
        </w:rPr>
        <w:t xml:space="preserve"> </w:t>
      </w:r>
      <w:r w:rsidR="00FF5148" w:rsidRPr="00DD57F1">
        <w:rPr>
          <w:rFonts w:ascii="Times New Roman" w:hAnsi="Times New Roman" w:cs="Times New Roman"/>
          <w:sz w:val="24"/>
          <w:szCs w:val="24"/>
        </w:rPr>
        <w:t>t</w:t>
      </w:r>
      <w:r w:rsidR="006A48E0" w:rsidRPr="00DD57F1">
        <w:rPr>
          <w:rFonts w:ascii="Times New Roman" w:hAnsi="Times New Roman" w:cs="Times New Roman"/>
          <w:sz w:val="24"/>
          <w:szCs w:val="24"/>
        </w:rPr>
        <w:t>he Court</w:t>
      </w:r>
      <w:r w:rsidR="0074286D" w:rsidRPr="00DD57F1">
        <w:rPr>
          <w:rFonts w:ascii="Times New Roman" w:hAnsi="Times New Roman" w:cs="Times New Roman"/>
          <w:sz w:val="24"/>
          <w:szCs w:val="24"/>
        </w:rPr>
        <w:t xml:space="preserve"> would </w:t>
      </w:r>
      <w:r w:rsidR="006A48E0" w:rsidRPr="00DD57F1">
        <w:rPr>
          <w:rFonts w:ascii="Times New Roman" w:hAnsi="Times New Roman" w:cs="Times New Roman"/>
          <w:sz w:val="24"/>
          <w:szCs w:val="24"/>
        </w:rPr>
        <w:t xml:space="preserve">only grant leave </w:t>
      </w:r>
      <w:r w:rsidR="0074286D" w:rsidRPr="00DD57F1">
        <w:rPr>
          <w:rFonts w:ascii="Times New Roman" w:hAnsi="Times New Roman" w:cs="Times New Roman"/>
          <w:sz w:val="24"/>
          <w:szCs w:val="24"/>
        </w:rPr>
        <w:t>to charge</w:t>
      </w:r>
      <w:r w:rsidR="002D1860">
        <w:rPr>
          <w:rFonts w:ascii="Times New Roman" w:hAnsi="Times New Roman" w:cs="Times New Roman"/>
          <w:sz w:val="24"/>
          <w:szCs w:val="24"/>
        </w:rPr>
        <w:t xml:space="preserve"> contingency </w:t>
      </w:r>
      <w:r w:rsidR="0074286D" w:rsidRPr="00DD57F1">
        <w:rPr>
          <w:rFonts w:ascii="Times New Roman" w:hAnsi="Times New Roman" w:cs="Times New Roman"/>
          <w:sz w:val="24"/>
          <w:szCs w:val="24"/>
        </w:rPr>
        <w:t xml:space="preserve">fees where the solicitors </w:t>
      </w:r>
      <w:r w:rsidR="00717D45" w:rsidRPr="00DD57F1">
        <w:rPr>
          <w:rFonts w:ascii="Times New Roman" w:hAnsi="Times New Roman" w:cs="Times New Roman"/>
          <w:sz w:val="24"/>
          <w:szCs w:val="24"/>
        </w:rPr>
        <w:t xml:space="preserve">could </w:t>
      </w:r>
      <w:r w:rsidR="0074286D" w:rsidRPr="00DD57F1">
        <w:rPr>
          <w:rFonts w:ascii="Times New Roman" w:hAnsi="Times New Roman" w:cs="Times New Roman"/>
          <w:sz w:val="24"/>
          <w:szCs w:val="24"/>
        </w:rPr>
        <w:t xml:space="preserve">demonstrate that they properly </w:t>
      </w:r>
      <w:r w:rsidR="00D57AF3" w:rsidRPr="00DD57F1">
        <w:rPr>
          <w:rFonts w:ascii="Times New Roman" w:hAnsi="Times New Roman" w:cs="Times New Roman"/>
          <w:sz w:val="24"/>
          <w:szCs w:val="24"/>
        </w:rPr>
        <w:t xml:space="preserve">understand their professional and ethical duties, put </w:t>
      </w:r>
      <w:r w:rsidR="00FF5148" w:rsidRPr="00DD57F1">
        <w:rPr>
          <w:rFonts w:ascii="Times New Roman" w:hAnsi="Times New Roman" w:cs="Times New Roman"/>
          <w:sz w:val="24"/>
          <w:szCs w:val="24"/>
        </w:rPr>
        <w:t>appropriate</w:t>
      </w:r>
      <w:r w:rsidR="00717D45" w:rsidRPr="00DD57F1">
        <w:rPr>
          <w:rFonts w:ascii="Times New Roman" w:hAnsi="Times New Roman" w:cs="Times New Roman"/>
          <w:sz w:val="24"/>
          <w:szCs w:val="24"/>
        </w:rPr>
        <w:t xml:space="preserve"> arrangements </w:t>
      </w:r>
      <w:r w:rsidR="00D57AF3" w:rsidRPr="00DD57F1">
        <w:rPr>
          <w:rFonts w:ascii="Times New Roman" w:hAnsi="Times New Roman" w:cs="Times New Roman"/>
          <w:sz w:val="24"/>
          <w:szCs w:val="24"/>
        </w:rPr>
        <w:t>in place to address any conflicts of duty</w:t>
      </w:r>
      <w:r w:rsidR="0074286D" w:rsidRPr="00DD57F1">
        <w:rPr>
          <w:rFonts w:ascii="Times New Roman" w:hAnsi="Times New Roman" w:cs="Times New Roman"/>
          <w:sz w:val="24"/>
          <w:szCs w:val="24"/>
        </w:rPr>
        <w:t xml:space="preserve"> and interest</w:t>
      </w:r>
      <w:r w:rsidR="00717D45" w:rsidRPr="00DD57F1">
        <w:rPr>
          <w:rFonts w:ascii="Times New Roman" w:hAnsi="Times New Roman" w:cs="Times New Roman"/>
          <w:sz w:val="24"/>
          <w:szCs w:val="24"/>
        </w:rPr>
        <w:t>, and that the contingency rate is reasonable. I do not suggest that this will always be appropriate, but in my view it is likely to be better if the Court approves the rate at the stage of settlement approval or judgement because at that point it will be armed with better information as to the important considerations, including:</w:t>
      </w:r>
    </w:p>
    <w:p w14:paraId="74EB651C" w14:textId="77777777" w:rsidR="00717D45" w:rsidRPr="00DD57F1" w:rsidRDefault="00717D45" w:rsidP="00717D45">
      <w:pPr>
        <w:pStyle w:val="ListParagraph"/>
        <w:ind w:left="0"/>
        <w:jc w:val="both"/>
        <w:rPr>
          <w:rFonts w:ascii="Times New Roman" w:hAnsi="Times New Roman" w:cs="Times New Roman"/>
          <w:sz w:val="24"/>
          <w:szCs w:val="24"/>
        </w:rPr>
      </w:pPr>
    </w:p>
    <w:p w14:paraId="2D3D8AA3" w14:textId="0BBB9C05" w:rsidR="00D57AF3" w:rsidRPr="00DD57F1" w:rsidRDefault="00D57AF3" w:rsidP="00717D45">
      <w:pPr>
        <w:pStyle w:val="ListParagraph"/>
        <w:numPr>
          <w:ilvl w:val="0"/>
          <w:numId w:val="4"/>
        </w:numPr>
        <w:spacing w:after="240" w:line="300" w:lineRule="auto"/>
        <w:ind w:left="851" w:hanging="567"/>
        <w:jc w:val="both"/>
        <w:rPr>
          <w:rFonts w:ascii="Times New Roman" w:hAnsi="Times New Roman" w:cs="Times New Roman"/>
          <w:sz w:val="24"/>
          <w:szCs w:val="24"/>
        </w:rPr>
      </w:pPr>
      <w:r w:rsidRPr="00DD57F1">
        <w:rPr>
          <w:rFonts w:ascii="Times New Roman" w:hAnsi="Times New Roman" w:cs="Times New Roman"/>
          <w:sz w:val="24"/>
          <w:szCs w:val="24"/>
        </w:rPr>
        <w:t>the litigation risks of conducting the case on a contingency basis</w:t>
      </w:r>
      <w:r w:rsidR="00074224" w:rsidRPr="00DD57F1">
        <w:rPr>
          <w:rFonts w:ascii="Times New Roman" w:hAnsi="Times New Roman" w:cs="Times New Roman"/>
          <w:sz w:val="24"/>
          <w:szCs w:val="24"/>
        </w:rPr>
        <w:t xml:space="preserve">, </w:t>
      </w:r>
      <w:r w:rsidR="004524FF" w:rsidRPr="00DD57F1">
        <w:rPr>
          <w:rFonts w:ascii="Times New Roman" w:hAnsi="Times New Roman" w:cs="Times New Roman"/>
          <w:sz w:val="24"/>
          <w:szCs w:val="24"/>
        </w:rPr>
        <w:t xml:space="preserve">avoiding </w:t>
      </w:r>
      <w:r w:rsidRPr="00DD57F1">
        <w:rPr>
          <w:rFonts w:ascii="Times New Roman" w:hAnsi="Times New Roman" w:cs="Times New Roman"/>
          <w:sz w:val="24"/>
          <w:szCs w:val="24"/>
        </w:rPr>
        <w:t>the risk of hindsight bias</w:t>
      </w:r>
      <w:r w:rsidR="004524FF" w:rsidRPr="00DD57F1">
        <w:rPr>
          <w:rFonts w:ascii="Times New Roman" w:hAnsi="Times New Roman" w:cs="Times New Roman"/>
          <w:sz w:val="24"/>
          <w:szCs w:val="24"/>
        </w:rPr>
        <w:t xml:space="preserve"> in this assessment</w:t>
      </w:r>
      <w:r w:rsidRPr="00DD57F1">
        <w:rPr>
          <w:rFonts w:ascii="Times New Roman" w:hAnsi="Times New Roman" w:cs="Times New Roman"/>
          <w:sz w:val="24"/>
          <w:szCs w:val="24"/>
        </w:rPr>
        <w:t>;</w:t>
      </w:r>
    </w:p>
    <w:p w14:paraId="2CFC4AA2" w14:textId="77777777" w:rsidR="001066A2" w:rsidRPr="00DD57F1" w:rsidRDefault="001066A2" w:rsidP="001066A2">
      <w:pPr>
        <w:pStyle w:val="ListParagraph"/>
        <w:ind w:left="1287"/>
        <w:jc w:val="both"/>
        <w:rPr>
          <w:rFonts w:ascii="Times New Roman" w:hAnsi="Times New Roman" w:cs="Times New Roman"/>
          <w:sz w:val="24"/>
          <w:szCs w:val="24"/>
        </w:rPr>
      </w:pPr>
    </w:p>
    <w:p w14:paraId="65C80443" w14:textId="3AC42B18" w:rsidR="00D57AF3" w:rsidRPr="00DD57F1" w:rsidRDefault="00D57AF3" w:rsidP="00717D45">
      <w:pPr>
        <w:pStyle w:val="ListParagraph"/>
        <w:numPr>
          <w:ilvl w:val="0"/>
          <w:numId w:val="4"/>
        </w:numPr>
        <w:spacing w:after="240" w:line="300" w:lineRule="auto"/>
        <w:ind w:left="851" w:hanging="567"/>
        <w:jc w:val="both"/>
        <w:rPr>
          <w:rFonts w:ascii="Times New Roman" w:hAnsi="Times New Roman" w:cs="Times New Roman"/>
          <w:sz w:val="24"/>
          <w:szCs w:val="24"/>
        </w:rPr>
      </w:pPr>
      <w:r w:rsidRPr="00DD57F1">
        <w:rPr>
          <w:rFonts w:ascii="Times New Roman" w:hAnsi="Times New Roman" w:cs="Times New Roman"/>
          <w:sz w:val="24"/>
          <w:szCs w:val="24"/>
        </w:rPr>
        <w:t>the amount or likely amount of any settlement or judgment;</w:t>
      </w:r>
    </w:p>
    <w:p w14:paraId="45586F42" w14:textId="77777777" w:rsidR="001066A2" w:rsidRPr="00DD57F1" w:rsidRDefault="001066A2" w:rsidP="001066A2">
      <w:pPr>
        <w:pStyle w:val="ListParagraph"/>
        <w:jc w:val="both"/>
        <w:rPr>
          <w:rFonts w:ascii="Times New Roman" w:hAnsi="Times New Roman" w:cs="Times New Roman"/>
          <w:sz w:val="24"/>
          <w:szCs w:val="24"/>
        </w:rPr>
      </w:pPr>
    </w:p>
    <w:p w14:paraId="6CB1068C" w14:textId="15DD0892" w:rsidR="00D57AF3" w:rsidRPr="00DD57F1" w:rsidRDefault="00D57AF3" w:rsidP="00717D45">
      <w:pPr>
        <w:pStyle w:val="ListParagraph"/>
        <w:numPr>
          <w:ilvl w:val="0"/>
          <w:numId w:val="4"/>
        </w:numPr>
        <w:spacing w:after="240" w:line="300" w:lineRule="auto"/>
        <w:ind w:left="851" w:hanging="567"/>
        <w:jc w:val="both"/>
        <w:rPr>
          <w:rFonts w:ascii="Times New Roman" w:hAnsi="Times New Roman" w:cs="Times New Roman"/>
          <w:sz w:val="24"/>
          <w:szCs w:val="24"/>
        </w:rPr>
      </w:pPr>
      <w:r w:rsidRPr="00DD57F1">
        <w:rPr>
          <w:rFonts w:ascii="Times New Roman" w:hAnsi="Times New Roman" w:cs="Times New Roman"/>
          <w:sz w:val="24"/>
          <w:szCs w:val="24"/>
        </w:rPr>
        <w:t xml:space="preserve">the quantum of adverse costs exposure and any security for costs provided; </w:t>
      </w:r>
    </w:p>
    <w:p w14:paraId="5E552550" w14:textId="77777777" w:rsidR="001066A2" w:rsidRPr="00DD57F1" w:rsidRDefault="001066A2" w:rsidP="001066A2">
      <w:pPr>
        <w:pStyle w:val="ListParagraph"/>
        <w:jc w:val="both"/>
        <w:rPr>
          <w:rFonts w:ascii="Times New Roman" w:hAnsi="Times New Roman" w:cs="Times New Roman"/>
          <w:sz w:val="24"/>
          <w:szCs w:val="24"/>
        </w:rPr>
      </w:pPr>
    </w:p>
    <w:p w14:paraId="7BC4A740" w14:textId="2D7CA769" w:rsidR="00FF5148" w:rsidRPr="00DD57F1" w:rsidRDefault="00FF5148" w:rsidP="00717D45">
      <w:pPr>
        <w:pStyle w:val="ListParagraph"/>
        <w:numPr>
          <w:ilvl w:val="0"/>
          <w:numId w:val="4"/>
        </w:numPr>
        <w:spacing w:after="240" w:line="300" w:lineRule="auto"/>
        <w:ind w:left="851" w:hanging="567"/>
        <w:jc w:val="both"/>
        <w:rPr>
          <w:rFonts w:ascii="Times New Roman" w:hAnsi="Times New Roman" w:cs="Times New Roman"/>
          <w:sz w:val="24"/>
          <w:szCs w:val="24"/>
        </w:rPr>
      </w:pPr>
      <w:r w:rsidRPr="00DD57F1">
        <w:rPr>
          <w:rFonts w:ascii="Times New Roman" w:hAnsi="Times New Roman" w:cs="Times New Roman"/>
          <w:sz w:val="24"/>
          <w:szCs w:val="24"/>
        </w:rPr>
        <w:t>the</w:t>
      </w:r>
      <w:r w:rsidR="00D57AF3" w:rsidRPr="00DD57F1">
        <w:rPr>
          <w:rFonts w:ascii="Times New Roman" w:hAnsi="Times New Roman" w:cs="Times New Roman"/>
          <w:sz w:val="24"/>
          <w:szCs w:val="24"/>
        </w:rPr>
        <w:t xml:space="preserve"> time-based legal costs, </w:t>
      </w:r>
      <w:r w:rsidRPr="00DD57F1">
        <w:rPr>
          <w:rFonts w:ascii="Times New Roman" w:hAnsi="Times New Roman" w:cs="Times New Roman"/>
          <w:sz w:val="24"/>
          <w:szCs w:val="24"/>
        </w:rPr>
        <w:t>and</w:t>
      </w:r>
      <w:r w:rsidR="00D57AF3" w:rsidRPr="00DD57F1">
        <w:rPr>
          <w:rFonts w:ascii="Times New Roman" w:hAnsi="Times New Roman" w:cs="Times New Roman"/>
          <w:sz w:val="24"/>
          <w:szCs w:val="24"/>
        </w:rPr>
        <w:t xml:space="preserve"> </w:t>
      </w:r>
      <w:r w:rsidRPr="00DD57F1">
        <w:rPr>
          <w:rFonts w:ascii="Times New Roman" w:hAnsi="Times New Roman" w:cs="Times New Roman"/>
          <w:sz w:val="24"/>
          <w:szCs w:val="24"/>
        </w:rPr>
        <w:t xml:space="preserve">what they </w:t>
      </w:r>
      <w:r w:rsidR="00D57AF3" w:rsidRPr="00DD57F1">
        <w:rPr>
          <w:rFonts w:ascii="Times New Roman" w:hAnsi="Times New Roman" w:cs="Times New Roman"/>
          <w:sz w:val="24"/>
          <w:szCs w:val="24"/>
        </w:rPr>
        <w:t>would be if the case proceeded to hearing</w:t>
      </w:r>
      <w:r w:rsidRPr="00DD57F1">
        <w:rPr>
          <w:rFonts w:ascii="Times New Roman" w:hAnsi="Times New Roman" w:cs="Times New Roman"/>
          <w:sz w:val="24"/>
          <w:szCs w:val="24"/>
        </w:rPr>
        <w:t>;</w:t>
      </w:r>
    </w:p>
    <w:p w14:paraId="6ABA5B19" w14:textId="77777777" w:rsidR="00FF5148" w:rsidRPr="00DD57F1" w:rsidRDefault="00FF5148" w:rsidP="00FF5148">
      <w:pPr>
        <w:pStyle w:val="ListParagraph"/>
        <w:rPr>
          <w:rFonts w:ascii="Times New Roman" w:hAnsi="Times New Roman" w:cs="Times New Roman"/>
          <w:sz w:val="24"/>
          <w:szCs w:val="24"/>
        </w:rPr>
      </w:pPr>
    </w:p>
    <w:p w14:paraId="03856308" w14:textId="5026B787" w:rsidR="00D57AF3" w:rsidRPr="00DD57F1" w:rsidRDefault="00D57AF3" w:rsidP="00717D45">
      <w:pPr>
        <w:pStyle w:val="ListParagraph"/>
        <w:numPr>
          <w:ilvl w:val="0"/>
          <w:numId w:val="4"/>
        </w:numPr>
        <w:spacing w:after="240" w:line="300" w:lineRule="auto"/>
        <w:ind w:left="851" w:hanging="567"/>
        <w:jc w:val="both"/>
        <w:rPr>
          <w:rFonts w:ascii="Times New Roman" w:hAnsi="Times New Roman" w:cs="Times New Roman"/>
          <w:sz w:val="24"/>
          <w:szCs w:val="24"/>
        </w:rPr>
      </w:pPr>
      <w:r w:rsidRPr="00DD57F1">
        <w:rPr>
          <w:rFonts w:ascii="Times New Roman" w:hAnsi="Times New Roman" w:cs="Times New Roman"/>
          <w:sz w:val="24"/>
          <w:szCs w:val="24"/>
        </w:rPr>
        <w:t>the security for costs provided</w:t>
      </w:r>
      <w:r w:rsidR="00FF5148" w:rsidRPr="00DD57F1">
        <w:rPr>
          <w:rFonts w:ascii="Times New Roman" w:hAnsi="Times New Roman" w:cs="Times New Roman"/>
          <w:sz w:val="24"/>
          <w:szCs w:val="24"/>
        </w:rPr>
        <w:t xml:space="preserve"> and to be provided</w:t>
      </w:r>
      <w:r w:rsidRPr="00DD57F1">
        <w:rPr>
          <w:rFonts w:ascii="Times New Roman" w:hAnsi="Times New Roman" w:cs="Times New Roman"/>
          <w:sz w:val="24"/>
          <w:szCs w:val="24"/>
        </w:rPr>
        <w:t>;</w:t>
      </w:r>
    </w:p>
    <w:p w14:paraId="2F34CBC6" w14:textId="77777777" w:rsidR="001066A2" w:rsidRPr="00DD57F1" w:rsidRDefault="001066A2" w:rsidP="001066A2">
      <w:pPr>
        <w:pStyle w:val="ListParagraph"/>
        <w:jc w:val="both"/>
        <w:rPr>
          <w:rFonts w:ascii="Times New Roman" w:hAnsi="Times New Roman" w:cs="Times New Roman"/>
          <w:sz w:val="24"/>
          <w:szCs w:val="24"/>
        </w:rPr>
      </w:pPr>
    </w:p>
    <w:p w14:paraId="177A48AB" w14:textId="5229CF29" w:rsidR="00D57AF3" w:rsidRPr="00DD57F1" w:rsidRDefault="00D57AF3" w:rsidP="00717D45">
      <w:pPr>
        <w:pStyle w:val="ListParagraph"/>
        <w:numPr>
          <w:ilvl w:val="0"/>
          <w:numId w:val="4"/>
        </w:numPr>
        <w:spacing w:after="240" w:line="300" w:lineRule="auto"/>
        <w:ind w:left="851" w:hanging="567"/>
        <w:jc w:val="both"/>
        <w:rPr>
          <w:rFonts w:ascii="Times New Roman" w:hAnsi="Times New Roman" w:cs="Times New Roman"/>
          <w:sz w:val="24"/>
          <w:szCs w:val="24"/>
        </w:rPr>
      </w:pPr>
      <w:r w:rsidRPr="00DD57F1">
        <w:rPr>
          <w:rFonts w:ascii="Times New Roman" w:hAnsi="Times New Roman" w:cs="Times New Roman"/>
          <w:sz w:val="24"/>
          <w:szCs w:val="24"/>
        </w:rPr>
        <w:t>the percentage</w:t>
      </w:r>
      <w:r w:rsidR="00242879" w:rsidRPr="00DD57F1">
        <w:rPr>
          <w:rFonts w:ascii="Times New Roman" w:hAnsi="Times New Roman" w:cs="Times New Roman"/>
          <w:sz w:val="24"/>
          <w:szCs w:val="24"/>
        </w:rPr>
        <w:t xml:space="preserve"> fee </w:t>
      </w:r>
      <w:r w:rsidRPr="00DD57F1">
        <w:rPr>
          <w:rFonts w:ascii="Times New Roman" w:hAnsi="Times New Roman" w:cs="Times New Roman"/>
          <w:sz w:val="24"/>
          <w:szCs w:val="24"/>
        </w:rPr>
        <w:t>agreed by sophisticated class members and the number of such class members who agreed;</w:t>
      </w:r>
    </w:p>
    <w:p w14:paraId="49428483" w14:textId="77777777" w:rsidR="001066A2" w:rsidRPr="00DD57F1" w:rsidRDefault="001066A2" w:rsidP="001066A2">
      <w:pPr>
        <w:pStyle w:val="ListParagraph"/>
        <w:jc w:val="both"/>
        <w:rPr>
          <w:rFonts w:ascii="Times New Roman" w:hAnsi="Times New Roman" w:cs="Times New Roman"/>
          <w:sz w:val="24"/>
          <w:szCs w:val="24"/>
        </w:rPr>
      </w:pPr>
    </w:p>
    <w:p w14:paraId="17E27EDE" w14:textId="41A4B706" w:rsidR="00D57AF3" w:rsidRPr="00DD57F1" w:rsidRDefault="00D57AF3" w:rsidP="00717D45">
      <w:pPr>
        <w:pStyle w:val="ListParagraph"/>
        <w:numPr>
          <w:ilvl w:val="0"/>
          <w:numId w:val="4"/>
        </w:numPr>
        <w:spacing w:after="240" w:line="300" w:lineRule="auto"/>
        <w:ind w:left="851" w:hanging="567"/>
        <w:jc w:val="both"/>
        <w:rPr>
          <w:rFonts w:ascii="Times New Roman" w:hAnsi="Times New Roman" w:cs="Times New Roman"/>
          <w:sz w:val="24"/>
          <w:szCs w:val="24"/>
        </w:rPr>
      </w:pPr>
      <w:r w:rsidRPr="00DD57F1">
        <w:rPr>
          <w:rFonts w:ascii="Times New Roman" w:hAnsi="Times New Roman" w:cs="Times New Roman"/>
          <w:sz w:val="24"/>
          <w:szCs w:val="24"/>
        </w:rPr>
        <w:t>the information provided to class members as to the percentage rate;</w:t>
      </w:r>
    </w:p>
    <w:p w14:paraId="6729C5FD" w14:textId="77777777" w:rsidR="001066A2" w:rsidRPr="00DD57F1" w:rsidRDefault="001066A2" w:rsidP="00717D45">
      <w:pPr>
        <w:pStyle w:val="ListParagraph"/>
        <w:spacing w:after="240" w:line="300" w:lineRule="auto"/>
        <w:ind w:left="851"/>
        <w:jc w:val="both"/>
        <w:rPr>
          <w:rFonts w:ascii="Times New Roman" w:hAnsi="Times New Roman" w:cs="Times New Roman"/>
          <w:sz w:val="24"/>
          <w:szCs w:val="24"/>
        </w:rPr>
      </w:pPr>
    </w:p>
    <w:p w14:paraId="489D75B8" w14:textId="3C1978B1" w:rsidR="00D57AF3" w:rsidRPr="00DD57F1" w:rsidRDefault="00D57AF3" w:rsidP="00717D45">
      <w:pPr>
        <w:pStyle w:val="ListParagraph"/>
        <w:numPr>
          <w:ilvl w:val="0"/>
          <w:numId w:val="4"/>
        </w:numPr>
        <w:spacing w:after="240" w:line="300" w:lineRule="auto"/>
        <w:ind w:left="851" w:hanging="567"/>
        <w:jc w:val="both"/>
        <w:rPr>
          <w:rFonts w:ascii="Times New Roman" w:hAnsi="Times New Roman" w:cs="Times New Roman"/>
          <w:sz w:val="24"/>
          <w:szCs w:val="24"/>
        </w:rPr>
      </w:pPr>
      <w:r w:rsidRPr="00DD57F1">
        <w:rPr>
          <w:rFonts w:ascii="Times New Roman" w:hAnsi="Times New Roman" w:cs="Times New Roman"/>
          <w:sz w:val="24"/>
          <w:szCs w:val="24"/>
        </w:rPr>
        <w:t>a comparison of the percentage rates applied in other class actions;</w:t>
      </w:r>
    </w:p>
    <w:p w14:paraId="5BB9E284" w14:textId="77777777" w:rsidR="001066A2" w:rsidRPr="00DD57F1" w:rsidRDefault="001066A2" w:rsidP="001066A2">
      <w:pPr>
        <w:pStyle w:val="ListParagraph"/>
        <w:jc w:val="both"/>
        <w:rPr>
          <w:rFonts w:ascii="Times New Roman" w:hAnsi="Times New Roman" w:cs="Times New Roman"/>
          <w:sz w:val="24"/>
          <w:szCs w:val="24"/>
        </w:rPr>
      </w:pPr>
    </w:p>
    <w:p w14:paraId="0533D785" w14:textId="12EA602F" w:rsidR="00D57AF3" w:rsidRPr="00DD57F1" w:rsidRDefault="00D57AF3" w:rsidP="00717D45">
      <w:pPr>
        <w:pStyle w:val="ListParagraph"/>
        <w:numPr>
          <w:ilvl w:val="0"/>
          <w:numId w:val="4"/>
        </w:numPr>
        <w:spacing w:after="240" w:line="300" w:lineRule="auto"/>
        <w:ind w:left="851" w:hanging="567"/>
        <w:jc w:val="both"/>
        <w:rPr>
          <w:rFonts w:ascii="Times New Roman" w:hAnsi="Times New Roman" w:cs="Times New Roman"/>
          <w:sz w:val="24"/>
          <w:szCs w:val="24"/>
        </w:rPr>
      </w:pPr>
      <w:r w:rsidRPr="00DD57F1">
        <w:rPr>
          <w:rFonts w:ascii="Times New Roman" w:hAnsi="Times New Roman" w:cs="Times New Roman"/>
          <w:sz w:val="24"/>
          <w:szCs w:val="24"/>
        </w:rPr>
        <w:t>class members’ likely recovery.</w:t>
      </w:r>
    </w:p>
    <w:p w14:paraId="30DFBC92" w14:textId="77777777" w:rsidR="00D57AF3" w:rsidRPr="00DD57F1" w:rsidRDefault="00D57AF3" w:rsidP="001066A2">
      <w:pPr>
        <w:pStyle w:val="ListParagraph"/>
        <w:jc w:val="both"/>
        <w:rPr>
          <w:rFonts w:ascii="Times New Roman" w:hAnsi="Times New Roman" w:cs="Times New Roman"/>
          <w:sz w:val="24"/>
          <w:szCs w:val="24"/>
        </w:rPr>
      </w:pPr>
    </w:p>
    <w:p w14:paraId="2B7692F5" w14:textId="77777777" w:rsidR="00B924CF" w:rsidRPr="00DD57F1" w:rsidRDefault="00607031" w:rsidP="002D1860">
      <w:pPr>
        <w:pStyle w:val="ListParagraph"/>
        <w:numPr>
          <w:ilvl w:val="0"/>
          <w:numId w:val="40"/>
        </w:numPr>
        <w:spacing w:before="240" w:after="240" w:line="300" w:lineRule="auto"/>
        <w:ind w:left="567" w:hanging="567"/>
        <w:jc w:val="both"/>
        <w:rPr>
          <w:rFonts w:ascii="Times New Roman" w:hAnsi="Times New Roman" w:cs="Times New Roman"/>
          <w:b/>
          <w:sz w:val="24"/>
          <w:szCs w:val="24"/>
        </w:rPr>
      </w:pPr>
      <w:r w:rsidRPr="00DD57F1">
        <w:rPr>
          <w:rFonts w:ascii="Times New Roman" w:hAnsi="Times New Roman" w:cs="Times New Roman"/>
          <w:b/>
          <w:sz w:val="24"/>
          <w:szCs w:val="24"/>
        </w:rPr>
        <w:t>Regulation of litigation funding</w:t>
      </w:r>
    </w:p>
    <w:p w14:paraId="11909180" w14:textId="58C88687" w:rsidR="00DA6A23" w:rsidRPr="00DD57F1" w:rsidRDefault="0032118C" w:rsidP="000527A5">
      <w:pPr>
        <w:jc w:val="both"/>
        <w:rPr>
          <w:rFonts w:ascii="Times New Roman" w:hAnsi="Times New Roman" w:cs="Times New Roman"/>
          <w:i/>
          <w:sz w:val="24"/>
          <w:szCs w:val="24"/>
        </w:rPr>
      </w:pPr>
      <w:r w:rsidRPr="00DD57F1">
        <w:rPr>
          <w:rFonts w:ascii="Times New Roman" w:hAnsi="Times New Roman" w:cs="Times New Roman"/>
          <w:i/>
          <w:sz w:val="24"/>
          <w:szCs w:val="24"/>
        </w:rPr>
        <w:t>The ALRC is likely to recommend that</w:t>
      </w:r>
      <w:r w:rsidR="000527A5" w:rsidRPr="00DD57F1">
        <w:rPr>
          <w:rFonts w:ascii="Times New Roman" w:hAnsi="Times New Roman" w:cs="Times New Roman"/>
          <w:i/>
          <w:sz w:val="24"/>
          <w:szCs w:val="24"/>
        </w:rPr>
        <w:t xml:space="preserve"> </w:t>
      </w:r>
      <w:r w:rsidR="00DA6A23" w:rsidRPr="00DD57F1">
        <w:rPr>
          <w:rFonts w:ascii="Times New Roman" w:hAnsi="Times New Roman" w:cs="Times New Roman"/>
          <w:i/>
          <w:sz w:val="24"/>
          <w:szCs w:val="24"/>
        </w:rPr>
        <w:t>the definition of ‘financial service’ in the Corporations Act should be amended to include litigation funding for a class action</w:t>
      </w:r>
      <w:r w:rsidR="000527A5" w:rsidRPr="00DD57F1">
        <w:rPr>
          <w:rFonts w:ascii="Times New Roman" w:hAnsi="Times New Roman" w:cs="Times New Roman"/>
          <w:i/>
          <w:sz w:val="24"/>
          <w:szCs w:val="24"/>
        </w:rPr>
        <w:t xml:space="preserve">, so that </w:t>
      </w:r>
      <w:r w:rsidR="005F77DF" w:rsidRPr="00DD57F1">
        <w:rPr>
          <w:rFonts w:ascii="Times New Roman" w:hAnsi="Times New Roman" w:cs="Times New Roman"/>
          <w:i/>
          <w:sz w:val="24"/>
          <w:szCs w:val="24"/>
        </w:rPr>
        <w:t xml:space="preserve">the licensing regime is based on holding an AFSL.  It is likely to recommend that </w:t>
      </w:r>
      <w:r w:rsidRPr="00DD57F1">
        <w:rPr>
          <w:rFonts w:ascii="Times New Roman" w:hAnsi="Times New Roman" w:cs="Times New Roman"/>
          <w:i/>
          <w:sz w:val="24"/>
          <w:szCs w:val="24"/>
        </w:rPr>
        <w:t>the Corporations Act be amended to provide that persons that provide litigation funding in class actions</w:t>
      </w:r>
      <w:r w:rsidR="004524FF" w:rsidRPr="00DD57F1">
        <w:rPr>
          <w:rFonts w:ascii="Times New Roman" w:hAnsi="Times New Roman" w:cs="Times New Roman"/>
          <w:i/>
          <w:sz w:val="24"/>
          <w:szCs w:val="24"/>
        </w:rPr>
        <w:t xml:space="preserve"> under an AFSL</w:t>
      </w:r>
      <w:r w:rsidR="00DA6A23" w:rsidRPr="00DD57F1">
        <w:rPr>
          <w:rFonts w:ascii="Times New Roman" w:hAnsi="Times New Roman" w:cs="Times New Roman"/>
          <w:i/>
          <w:sz w:val="24"/>
          <w:szCs w:val="24"/>
        </w:rPr>
        <w:t xml:space="preserve"> must maintain capital adequacy</w:t>
      </w:r>
      <w:r w:rsidR="00DA6A23" w:rsidRPr="00DD57F1">
        <w:rPr>
          <w:rFonts w:ascii="Times New Roman" w:hAnsi="Times New Roman" w:cs="Times New Roman"/>
          <w:sz w:val="24"/>
          <w:szCs w:val="24"/>
        </w:rPr>
        <w:t>;</w:t>
      </w:r>
    </w:p>
    <w:p w14:paraId="7E3B1E46" w14:textId="574E45F8" w:rsidR="00717D45" w:rsidRPr="00DD57F1" w:rsidRDefault="00AC1A48" w:rsidP="00717D45">
      <w:pPr>
        <w:jc w:val="both"/>
        <w:rPr>
          <w:rFonts w:ascii="Times New Roman" w:hAnsi="Times New Roman" w:cs="Times New Roman"/>
          <w:sz w:val="24"/>
          <w:szCs w:val="24"/>
        </w:rPr>
      </w:pPr>
      <w:r w:rsidRPr="00DD57F1">
        <w:rPr>
          <w:rFonts w:ascii="Times New Roman" w:hAnsi="Times New Roman" w:cs="Times New Roman"/>
          <w:sz w:val="24"/>
          <w:szCs w:val="24"/>
        </w:rPr>
        <w:t>I will leave a detailed discussion of these likely recommendations to</w:t>
      </w:r>
      <w:r w:rsidR="000527A5" w:rsidRPr="00DD57F1">
        <w:rPr>
          <w:rFonts w:ascii="Times New Roman" w:hAnsi="Times New Roman" w:cs="Times New Roman"/>
          <w:sz w:val="24"/>
          <w:szCs w:val="24"/>
        </w:rPr>
        <w:t xml:space="preserve"> the </w:t>
      </w:r>
      <w:r w:rsidRPr="00DD57F1">
        <w:rPr>
          <w:rFonts w:ascii="Times New Roman" w:hAnsi="Times New Roman" w:cs="Times New Roman"/>
          <w:sz w:val="24"/>
          <w:szCs w:val="24"/>
        </w:rPr>
        <w:t xml:space="preserve">speakers </w:t>
      </w:r>
      <w:r w:rsidR="00717D45" w:rsidRPr="00DD57F1">
        <w:rPr>
          <w:rFonts w:ascii="Times New Roman" w:hAnsi="Times New Roman" w:cs="Times New Roman"/>
          <w:sz w:val="24"/>
          <w:szCs w:val="24"/>
        </w:rPr>
        <w:t>on the</w:t>
      </w:r>
      <w:r w:rsidR="000527A5" w:rsidRPr="00DD57F1">
        <w:rPr>
          <w:rFonts w:ascii="Times New Roman" w:hAnsi="Times New Roman" w:cs="Times New Roman"/>
          <w:sz w:val="24"/>
          <w:szCs w:val="24"/>
        </w:rPr>
        <w:t xml:space="preserve"> relevant panel</w:t>
      </w:r>
      <w:r w:rsidRPr="00DD57F1">
        <w:rPr>
          <w:rFonts w:ascii="Times New Roman" w:hAnsi="Times New Roman" w:cs="Times New Roman"/>
          <w:sz w:val="24"/>
          <w:szCs w:val="24"/>
        </w:rPr>
        <w:t xml:space="preserve">.  </w:t>
      </w:r>
      <w:r w:rsidR="00717D45" w:rsidRPr="00DD57F1">
        <w:rPr>
          <w:rFonts w:ascii="Times New Roman" w:hAnsi="Times New Roman" w:cs="Times New Roman"/>
          <w:sz w:val="24"/>
          <w:szCs w:val="24"/>
        </w:rPr>
        <w:t xml:space="preserve">I would </w:t>
      </w:r>
      <w:r w:rsidR="000527A5" w:rsidRPr="00DD57F1">
        <w:rPr>
          <w:rFonts w:ascii="Times New Roman" w:hAnsi="Times New Roman" w:cs="Times New Roman"/>
          <w:sz w:val="24"/>
          <w:szCs w:val="24"/>
        </w:rPr>
        <w:t xml:space="preserve">though </w:t>
      </w:r>
      <w:r w:rsidR="00717D45" w:rsidRPr="00DD57F1">
        <w:rPr>
          <w:rFonts w:ascii="Times New Roman" w:hAnsi="Times New Roman" w:cs="Times New Roman"/>
          <w:sz w:val="24"/>
          <w:szCs w:val="24"/>
        </w:rPr>
        <w:t xml:space="preserve">note that the ALRC Discussion Paper is incorrect </w:t>
      </w:r>
      <w:r w:rsidR="002D115D">
        <w:rPr>
          <w:rFonts w:ascii="Times New Roman" w:hAnsi="Times New Roman" w:cs="Times New Roman"/>
          <w:sz w:val="24"/>
          <w:szCs w:val="24"/>
        </w:rPr>
        <w:t>to relate</w:t>
      </w:r>
      <w:r w:rsidR="000527A5" w:rsidRPr="00DD57F1">
        <w:rPr>
          <w:rFonts w:ascii="Times New Roman" w:hAnsi="Times New Roman" w:cs="Times New Roman"/>
          <w:sz w:val="24"/>
          <w:szCs w:val="24"/>
        </w:rPr>
        <w:t xml:space="preserve"> the proposed requirement for </w:t>
      </w:r>
      <w:r w:rsidR="00717D45" w:rsidRPr="00DD57F1">
        <w:rPr>
          <w:rFonts w:ascii="Times New Roman" w:hAnsi="Times New Roman" w:cs="Times New Roman"/>
          <w:sz w:val="24"/>
          <w:szCs w:val="24"/>
        </w:rPr>
        <w:t>capital adequacy to the</w:t>
      </w:r>
      <w:r w:rsidR="000527A5" w:rsidRPr="00DD57F1">
        <w:rPr>
          <w:rFonts w:ascii="Times New Roman" w:hAnsi="Times New Roman" w:cs="Times New Roman"/>
          <w:sz w:val="24"/>
          <w:szCs w:val="24"/>
        </w:rPr>
        <w:t xml:space="preserve"> funder’s obligation </w:t>
      </w:r>
      <w:r w:rsidR="00717D45" w:rsidRPr="00DD57F1">
        <w:rPr>
          <w:rFonts w:ascii="Times New Roman" w:hAnsi="Times New Roman" w:cs="Times New Roman"/>
          <w:sz w:val="24"/>
          <w:szCs w:val="24"/>
        </w:rPr>
        <w:t xml:space="preserve">to pay the applicant’s </w:t>
      </w:r>
      <w:r w:rsidR="00717D45" w:rsidRPr="00DD57F1">
        <w:rPr>
          <w:rFonts w:ascii="Times New Roman" w:hAnsi="Times New Roman" w:cs="Times New Roman"/>
          <w:sz w:val="24"/>
          <w:szCs w:val="24"/>
        </w:rPr>
        <w:lastRenderedPageBreak/>
        <w:t>legal fees</w:t>
      </w:r>
      <w:r w:rsidR="000527A5" w:rsidRPr="00DD57F1">
        <w:rPr>
          <w:rFonts w:ascii="Times New Roman" w:hAnsi="Times New Roman" w:cs="Times New Roman"/>
          <w:sz w:val="24"/>
          <w:szCs w:val="24"/>
        </w:rPr>
        <w:t xml:space="preserve">.  It is standard </w:t>
      </w:r>
      <w:r w:rsidR="00717D45" w:rsidRPr="00DD57F1">
        <w:rPr>
          <w:rFonts w:ascii="Times New Roman" w:hAnsi="Times New Roman" w:cs="Times New Roman"/>
          <w:sz w:val="24"/>
          <w:szCs w:val="24"/>
        </w:rPr>
        <w:t xml:space="preserve">practice in funded class actions that the applicant and class members have no obligation to pay </w:t>
      </w:r>
      <w:r w:rsidR="000527A5" w:rsidRPr="00DD57F1">
        <w:rPr>
          <w:rFonts w:ascii="Times New Roman" w:hAnsi="Times New Roman" w:cs="Times New Roman"/>
          <w:sz w:val="24"/>
          <w:szCs w:val="24"/>
        </w:rPr>
        <w:t xml:space="preserve">any </w:t>
      </w:r>
      <w:r w:rsidR="00717D45" w:rsidRPr="00DD57F1">
        <w:rPr>
          <w:rFonts w:ascii="Times New Roman" w:hAnsi="Times New Roman" w:cs="Times New Roman"/>
          <w:sz w:val="24"/>
          <w:szCs w:val="24"/>
        </w:rPr>
        <w:t xml:space="preserve">legal costs that are not paid by the funder.  The applicant’s lawyers assume any risk that they will not be paid and </w:t>
      </w:r>
      <w:r w:rsidR="000527A5" w:rsidRPr="00DD57F1">
        <w:rPr>
          <w:rFonts w:ascii="Times New Roman" w:hAnsi="Times New Roman" w:cs="Times New Roman"/>
          <w:sz w:val="24"/>
          <w:szCs w:val="24"/>
        </w:rPr>
        <w:t>they have recourse to the usual legal remedies against the funder.  T</w:t>
      </w:r>
      <w:r w:rsidR="00717D45" w:rsidRPr="00DD57F1">
        <w:rPr>
          <w:rFonts w:ascii="Times New Roman" w:hAnsi="Times New Roman" w:cs="Times New Roman"/>
          <w:sz w:val="24"/>
          <w:szCs w:val="24"/>
        </w:rPr>
        <w:t>here is no requirement</w:t>
      </w:r>
      <w:r w:rsidR="000527A5" w:rsidRPr="00DD57F1">
        <w:rPr>
          <w:rFonts w:ascii="Times New Roman" w:hAnsi="Times New Roman" w:cs="Times New Roman"/>
          <w:sz w:val="24"/>
          <w:szCs w:val="24"/>
        </w:rPr>
        <w:t xml:space="preserve"> to create </w:t>
      </w:r>
      <w:r w:rsidR="00717D45" w:rsidRPr="00DD57F1">
        <w:rPr>
          <w:rFonts w:ascii="Times New Roman" w:hAnsi="Times New Roman" w:cs="Times New Roman"/>
          <w:sz w:val="24"/>
          <w:szCs w:val="24"/>
        </w:rPr>
        <w:t>a regulatory regime</w:t>
      </w:r>
      <w:r w:rsidR="000527A5" w:rsidRPr="00DD57F1">
        <w:rPr>
          <w:rFonts w:ascii="Times New Roman" w:hAnsi="Times New Roman" w:cs="Times New Roman"/>
          <w:sz w:val="24"/>
          <w:szCs w:val="24"/>
        </w:rPr>
        <w:t xml:space="preserve"> to protect the interests of lawyers</w:t>
      </w:r>
      <w:r w:rsidR="002D1860">
        <w:rPr>
          <w:rFonts w:ascii="Times New Roman" w:hAnsi="Times New Roman" w:cs="Times New Roman"/>
          <w:sz w:val="24"/>
          <w:szCs w:val="24"/>
        </w:rPr>
        <w:t xml:space="preserve"> that act for applicants</w:t>
      </w:r>
      <w:r w:rsidR="00717D45" w:rsidRPr="00DD57F1">
        <w:rPr>
          <w:rFonts w:ascii="Times New Roman" w:hAnsi="Times New Roman" w:cs="Times New Roman"/>
          <w:sz w:val="24"/>
          <w:szCs w:val="24"/>
        </w:rPr>
        <w:t xml:space="preserve">.  </w:t>
      </w:r>
    </w:p>
    <w:p w14:paraId="103AE431" w14:textId="1430A1D4" w:rsidR="00AC1A48" w:rsidRPr="00DD57F1" w:rsidRDefault="000527A5" w:rsidP="00AC1A48">
      <w:pPr>
        <w:jc w:val="both"/>
        <w:rPr>
          <w:rFonts w:ascii="Times New Roman" w:hAnsi="Times New Roman" w:cs="Times New Roman"/>
          <w:sz w:val="24"/>
          <w:szCs w:val="24"/>
        </w:rPr>
      </w:pPr>
      <w:r w:rsidRPr="00DD57F1">
        <w:rPr>
          <w:rFonts w:ascii="Times New Roman" w:hAnsi="Times New Roman" w:cs="Times New Roman"/>
          <w:sz w:val="24"/>
          <w:szCs w:val="24"/>
        </w:rPr>
        <w:t xml:space="preserve">The proposed </w:t>
      </w:r>
      <w:r w:rsidR="00AC1A48" w:rsidRPr="00DD57F1">
        <w:rPr>
          <w:rFonts w:ascii="Times New Roman" w:hAnsi="Times New Roman" w:cs="Times New Roman"/>
          <w:sz w:val="24"/>
          <w:szCs w:val="24"/>
        </w:rPr>
        <w:t xml:space="preserve">requirement for capital adequacy is primarily relevant to the capacity of the funder to meet its contractual promise to pay the respondent’s costs if the case is unsuccessful.  In my experience a number of competent and reputable funders prefer to meet that obligation by putting on security for costs, rather than holding funds to demonstrate capital adequacy.  </w:t>
      </w:r>
      <w:r w:rsidRPr="00DD57F1">
        <w:rPr>
          <w:rFonts w:ascii="Times New Roman" w:hAnsi="Times New Roman" w:cs="Times New Roman"/>
          <w:sz w:val="24"/>
          <w:szCs w:val="24"/>
        </w:rPr>
        <w:t xml:space="preserve">I can see little </w:t>
      </w:r>
      <w:r w:rsidR="00AC1A48" w:rsidRPr="00DD57F1">
        <w:rPr>
          <w:rFonts w:ascii="Times New Roman" w:hAnsi="Times New Roman" w:cs="Times New Roman"/>
          <w:sz w:val="24"/>
          <w:szCs w:val="24"/>
        </w:rPr>
        <w:t>reason to choose a regulatory model which excludes competent and reputable funders who are able to meet their obligations as they arise</w:t>
      </w:r>
      <w:r w:rsidRPr="00DD57F1">
        <w:rPr>
          <w:rFonts w:ascii="Times New Roman" w:hAnsi="Times New Roman" w:cs="Times New Roman"/>
          <w:sz w:val="24"/>
          <w:szCs w:val="24"/>
        </w:rPr>
        <w:t xml:space="preserve"> when doing so</w:t>
      </w:r>
      <w:r w:rsidR="0077127A" w:rsidRPr="00DD57F1">
        <w:rPr>
          <w:rFonts w:ascii="Times New Roman" w:hAnsi="Times New Roman" w:cs="Times New Roman"/>
          <w:sz w:val="24"/>
          <w:szCs w:val="24"/>
        </w:rPr>
        <w:t xml:space="preserve"> may</w:t>
      </w:r>
      <w:r w:rsidRPr="00DD57F1">
        <w:rPr>
          <w:rFonts w:ascii="Times New Roman" w:hAnsi="Times New Roman" w:cs="Times New Roman"/>
          <w:sz w:val="24"/>
          <w:szCs w:val="24"/>
        </w:rPr>
        <w:t xml:space="preserve"> (a)</w:t>
      </w:r>
      <w:r w:rsidR="0077127A" w:rsidRPr="00DD57F1">
        <w:rPr>
          <w:rFonts w:ascii="Times New Roman" w:hAnsi="Times New Roman" w:cs="Times New Roman"/>
          <w:sz w:val="24"/>
          <w:szCs w:val="24"/>
        </w:rPr>
        <w:t xml:space="preserve"> operate</w:t>
      </w:r>
      <w:r w:rsidR="00AC1A48" w:rsidRPr="00DD57F1">
        <w:rPr>
          <w:rFonts w:ascii="Times New Roman" w:hAnsi="Times New Roman" w:cs="Times New Roman"/>
          <w:sz w:val="24"/>
          <w:szCs w:val="24"/>
        </w:rPr>
        <w:t xml:space="preserve"> to diminish the availability of funding and </w:t>
      </w:r>
      <w:r w:rsidRPr="00DD57F1">
        <w:rPr>
          <w:rFonts w:ascii="Times New Roman" w:hAnsi="Times New Roman" w:cs="Times New Roman"/>
          <w:sz w:val="24"/>
          <w:szCs w:val="24"/>
        </w:rPr>
        <w:t>thereby reduce access to justice; and (b)</w:t>
      </w:r>
      <w:r w:rsidR="00EE7D71" w:rsidRPr="00DD57F1">
        <w:rPr>
          <w:rFonts w:ascii="Times New Roman" w:hAnsi="Times New Roman" w:cs="Times New Roman"/>
          <w:sz w:val="24"/>
          <w:szCs w:val="24"/>
        </w:rPr>
        <w:t xml:space="preserve"> </w:t>
      </w:r>
      <w:r w:rsidR="00AC1A48" w:rsidRPr="00DD57F1">
        <w:rPr>
          <w:rFonts w:ascii="Times New Roman" w:hAnsi="Times New Roman" w:cs="Times New Roman"/>
          <w:sz w:val="24"/>
          <w:szCs w:val="24"/>
        </w:rPr>
        <w:t>reduce competition between funders</w:t>
      </w:r>
      <w:r w:rsidR="00EE7D71" w:rsidRPr="00DD57F1">
        <w:rPr>
          <w:rFonts w:ascii="Times New Roman" w:hAnsi="Times New Roman" w:cs="Times New Roman"/>
          <w:sz w:val="24"/>
          <w:szCs w:val="24"/>
        </w:rPr>
        <w:t>,</w:t>
      </w:r>
      <w:r w:rsidRPr="00DD57F1">
        <w:rPr>
          <w:rFonts w:ascii="Times New Roman" w:hAnsi="Times New Roman" w:cs="Times New Roman"/>
          <w:sz w:val="24"/>
          <w:szCs w:val="24"/>
        </w:rPr>
        <w:t xml:space="preserve"> which is one of the factors presently putting downward pressure on funding rates</w:t>
      </w:r>
      <w:r w:rsidR="00AC1A48" w:rsidRPr="00DD57F1">
        <w:rPr>
          <w:rFonts w:ascii="Times New Roman" w:hAnsi="Times New Roman" w:cs="Times New Roman"/>
          <w:sz w:val="24"/>
          <w:szCs w:val="24"/>
        </w:rPr>
        <w:t xml:space="preserve">. </w:t>
      </w:r>
    </w:p>
    <w:p w14:paraId="3E50DAA2" w14:textId="119DC342" w:rsidR="00AC1A48" w:rsidRPr="00DD57F1" w:rsidRDefault="00AC1A48" w:rsidP="00AC1A48">
      <w:pPr>
        <w:jc w:val="both"/>
        <w:rPr>
          <w:rFonts w:ascii="Times New Roman" w:hAnsi="Times New Roman" w:cs="Times New Roman"/>
          <w:sz w:val="24"/>
          <w:szCs w:val="24"/>
        </w:rPr>
      </w:pPr>
      <w:r w:rsidRPr="00DD57F1">
        <w:rPr>
          <w:rFonts w:ascii="Times New Roman" w:hAnsi="Times New Roman" w:cs="Times New Roman"/>
          <w:sz w:val="24"/>
          <w:szCs w:val="24"/>
        </w:rPr>
        <w:t>In my view it would be</w:t>
      </w:r>
      <w:r w:rsidR="0077127A" w:rsidRPr="00DD57F1">
        <w:rPr>
          <w:rFonts w:ascii="Times New Roman" w:hAnsi="Times New Roman" w:cs="Times New Roman"/>
          <w:sz w:val="24"/>
          <w:szCs w:val="24"/>
        </w:rPr>
        <w:t xml:space="preserve"> best </w:t>
      </w:r>
      <w:r w:rsidRPr="00DD57F1">
        <w:rPr>
          <w:rFonts w:ascii="Times New Roman" w:hAnsi="Times New Roman" w:cs="Times New Roman"/>
          <w:sz w:val="24"/>
          <w:szCs w:val="24"/>
        </w:rPr>
        <w:t>to require that:</w:t>
      </w:r>
    </w:p>
    <w:p w14:paraId="3EE0407C" w14:textId="00700E83" w:rsidR="00AC1A48" w:rsidRPr="00DD57F1" w:rsidRDefault="005501D0" w:rsidP="00AC1A48">
      <w:pPr>
        <w:pStyle w:val="ListParagraph"/>
        <w:numPr>
          <w:ilvl w:val="0"/>
          <w:numId w:val="35"/>
        </w:numPr>
        <w:spacing w:line="256" w:lineRule="auto"/>
        <w:ind w:hanging="779"/>
        <w:jc w:val="both"/>
        <w:rPr>
          <w:rFonts w:ascii="Times New Roman" w:hAnsi="Times New Roman" w:cs="Times New Roman"/>
          <w:sz w:val="24"/>
          <w:szCs w:val="24"/>
        </w:rPr>
      </w:pPr>
      <w:r>
        <w:rPr>
          <w:rFonts w:ascii="Times New Roman" w:hAnsi="Times New Roman" w:cs="Times New Roman"/>
          <w:sz w:val="24"/>
          <w:szCs w:val="24"/>
        </w:rPr>
        <w:t xml:space="preserve">funders </w:t>
      </w:r>
      <w:r w:rsidR="00AC1A48" w:rsidRPr="00DD57F1">
        <w:rPr>
          <w:rFonts w:ascii="Times New Roman" w:hAnsi="Times New Roman" w:cs="Times New Roman"/>
          <w:sz w:val="24"/>
          <w:szCs w:val="24"/>
        </w:rPr>
        <w:t>may demonstrate capital adequacy and thereby avoid the need pay security; or</w:t>
      </w:r>
    </w:p>
    <w:p w14:paraId="3C16A166" w14:textId="18A8769C" w:rsidR="00AC1A48" w:rsidRPr="00DD57F1" w:rsidRDefault="00AC1A48" w:rsidP="00AC1A48">
      <w:pPr>
        <w:pStyle w:val="ListParagraph"/>
        <w:numPr>
          <w:ilvl w:val="0"/>
          <w:numId w:val="35"/>
        </w:numPr>
        <w:spacing w:line="256" w:lineRule="auto"/>
        <w:ind w:hanging="779"/>
        <w:jc w:val="both"/>
        <w:rPr>
          <w:rFonts w:ascii="Times New Roman" w:hAnsi="Times New Roman" w:cs="Times New Roman"/>
          <w:sz w:val="24"/>
          <w:szCs w:val="24"/>
        </w:rPr>
      </w:pPr>
      <w:r w:rsidRPr="00DD57F1">
        <w:rPr>
          <w:rFonts w:ascii="Times New Roman" w:hAnsi="Times New Roman" w:cs="Times New Roman"/>
          <w:sz w:val="24"/>
          <w:szCs w:val="24"/>
        </w:rPr>
        <w:t xml:space="preserve">if </w:t>
      </w:r>
      <w:r w:rsidR="005501D0">
        <w:rPr>
          <w:rFonts w:ascii="Times New Roman" w:hAnsi="Times New Roman" w:cs="Times New Roman"/>
          <w:sz w:val="24"/>
          <w:szCs w:val="24"/>
        </w:rPr>
        <w:t>funders</w:t>
      </w:r>
      <w:r w:rsidR="005501D0" w:rsidRPr="00DD57F1">
        <w:rPr>
          <w:rFonts w:ascii="Times New Roman" w:hAnsi="Times New Roman" w:cs="Times New Roman"/>
          <w:sz w:val="24"/>
          <w:szCs w:val="24"/>
        </w:rPr>
        <w:t xml:space="preserve"> </w:t>
      </w:r>
      <w:r w:rsidRPr="00DD57F1">
        <w:rPr>
          <w:rFonts w:ascii="Times New Roman" w:hAnsi="Times New Roman" w:cs="Times New Roman"/>
          <w:sz w:val="24"/>
          <w:szCs w:val="24"/>
        </w:rPr>
        <w:t xml:space="preserve">do not demonstrate capital adequacy, they must provide sufficient security in </w:t>
      </w:r>
      <w:r w:rsidR="000527A5" w:rsidRPr="00DD57F1">
        <w:rPr>
          <w:rFonts w:ascii="Times New Roman" w:hAnsi="Times New Roman" w:cs="Times New Roman"/>
          <w:sz w:val="24"/>
          <w:szCs w:val="24"/>
        </w:rPr>
        <w:t>an acceptable form</w:t>
      </w:r>
      <w:r w:rsidRPr="00DD57F1">
        <w:rPr>
          <w:rFonts w:ascii="Times New Roman" w:hAnsi="Times New Roman" w:cs="Times New Roman"/>
          <w:sz w:val="24"/>
          <w:szCs w:val="24"/>
        </w:rPr>
        <w:t>.</w:t>
      </w:r>
    </w:p>
    <w:p w14:paraId="239BFFC9" w14:textId="1D3CD390" w:rsidR="00AC1A48" w:rsidRPr="00DD57F1" w:rsidRDefault="000527A5" w:rsidP="00AC1A48">
      <w:pPr>
        <w:jc w:val="both"/>
        <w:rPr>
          <w:rFonts w:ascii="Times New Roman" w:hAnsi="Times New Roman" w:cs="Times New Roman"/>
          <w:sz w:val="24"/>
          <w:szCs w:val="24"/>
        </w:rPr>
      </w:pPr>
      <w:r w:rsidRPr="00DD57F1">
        <w:rPr>
          <w:rFonts w:ascii="Times New Roman" w:hAnsi="Times New Roman" w:cs="Times New Roman"/>
          <w:sz w:val="24"/>
          <w:szCs w:val="24"/>
        </w:rPr>
        <w:t xml:space="preserve">I keep </w:t>
      </w:r>
      <w:r w:rsidR="00AC1A48" w:rsidRPr="00DD57F1">
        <w:rPr>
          <w:rFonts w:ascii="Times New Roman" w:hAnsi="Times New Roman" w:cs="Times New Roman"/>
          <w:sz w:val="24"/>
          <w:szCs w:val="24"/>
        </w:rPr>
        <w:t>in mind that the debate about the necessity for greater regulation of litigation funding has gone on now for</w:t>
      </w:r>
      <w:r w:rsidR="0077127A" w:rsidRPr="00DD57F1">
        <w:rPr>
          <w:rFonts w:ascii="Times New Roman" w:hAnsi="Times New Roman" w:cs="Times New Roman"/>
          <w:sz w:val="24"/>
          <w:szCs w:val="24"/>
        </w:rPr>
        <w:t xml:space="preserve"> more than </w:t>
      </w:r>
      <w:r w:rsidR="00AC1A48" w:rsidRPr="00DD57F1">
        <w:rPr>
          <w:rFonts w:ascii="Times New Roman" w:hAnsi="Times New Roman" w:cs="Times New Roman"/>
          <w:sz w:val="24"/>
          <w:szCs w:val="24"/>
        </w:rPr>
        <w:t>a decade and, as far as I am aware, there is still</w:t>
      </w:r>
      <w:r w:rsidRPr="00DD57F1">
        <w:rPr>
          <w:rFonts w:ascii="Times New Roman" w:hAnsi="Times New Roman" w:cs="Times New Roman"/>
          <w:sz w:val="24"/>
          <w:szCs w:val="24"/>
        </w:rPr>
        <w:t xml:space="preserve"> no example of a class action funder failing to meet its obligation to pay </w:t>
      </w:r>
      <w:r w:rsidR="00AC1A48" w:rsidRPr="00DD57F1">
        <w:rPr>
          <w:rFonts w:ascii="Times New Roman" w:hAnsi="Times New Roman" w:cs="Times New Roman"/>
          <w:sz w:val="24"/>
          <w:szCs w:val="24"/>
        </w:rPr>
        <w:t xml:space="preserve">adverse costs. </w:t>
      </w:r>
      <w:r w:rsidR="005F77DF" w:rsidRPr="00DD57F1">
        <w:rPr>
          <w:rFonts w:ascii="Times New Roman" w:hAnsi="Times New Roman" w:cs="Times New Roman"/>
          <w:sz w:val="24"/>
          <w:szCs w:val="24"/>
        </w:rPr>
        <w:t xml:space="preserve"> Even so, in</w:t>
      </w:r>
      <w:r w:rsidRPr="00DD57F1">
        <w:rPr>
          <w:rFonts w:ascii="Times New Roman" w:hAnsi="Times New Roman" w:cs="Times New Roman"/>
          <w:sz w:val="24"/>
          <w:szCs w:val="24"/>
        </w:rPr>
        <w:t xml:space="preserve"> the post-</w:t>
      </w:r>
      <w:r w:rsidR="00EE7D71" w:rsidRPr="00DD57F1">
        <w:rPr>
          <w:rFonts w:ascii="Times New Roman" w:hAnsi="Times New Roman" w:cs="Times New Roman"/>
          <w:sz w:val="24"/>
          <w:szCs w:val="24"/>
        </w:rPr>
        <w:t xml:space="preserve">Financial Services </w:t>
      </w:r>
      <w:r w:rsidRPr="00DD57F1">
        <w:rPr>
          <w:rFonts w:ascii="Times New Roman" w:hAnsi="Times New Roman" w:cs="Times New Roman"/>
          <w:sz w:val="24"/>
          <w:szCs w:val="24"/>
        </w:rPr>
        <w:t xml:space="preserve">Royal Commission era it is unlikely that self-regulation will be </w:t>
      </w:r>
      <w:r w:rsidR="001905F1" w:rsidRPr="00DD57F1">
        <w:rPr>
          <w:rFonts w:ascii="Times New Roman" w:hAnsi="Times New Roman" w:cs="Times New Roman"/>
          <w:sz w:val="24"/>
          <w:szCs w:val="24"/>
        </w:rPr>
        <w:t xml:space="preserve">seen to be sufficient. </w:t>
      </w:r>
      <w:r w:rsidR="00EE7D71" w:rsidRPr="00DD57F1">
        <w:rPr>
          <w:rFonts w:ascii="Times New Roman" w:hAnsi="Times New Roman" w:cs="Times New Roman"/>
          <w:sz w:val="24"/>
          <w:szCs w:val="24"/>
        </w:rPr>
        <w:t xml:space="preserve"> </w:t>
      </w:r>
      <w:r w:rsidR="00AC1A48" w:rsidRPr="00DD57F1">
        <w:rPr>
          <w:rFonts w:ascii="Times New Roman" w:hAnsi="Times New Roman" w:cs="Times New Roman"/>
          <w:sz w:val="24"/>
          <w:szCs w:val="24"/>
        </w:rPr>
        <w:t>I support appropriate regul</w:t>
      </w:r>
      <w:r w:rsidRPr="00DD57F1">
        <w:rPr>
          <w:rFonts w:ascii="Times New Roman" w:hAnsi="Times New Roman" w:cs="Times New Roman"/>
          <w:sz w:val="24"/>
          <w:szCs w:val="24"/>
        </w:rPr>
        <w:t>ation of litigation funding</w:t>
      </w:r>
      <w:r w:rsidR="001905F1" w:rsidRPr="00DD57F1">
        <w:rPr>
          <w:rFonts w:ascii="Times New Roman" w:hAnsi="Times New Roman" w:cs="Times New Roman"/>
          <w:sz w:val="24"/>
          <w:szCs w:val="24"/>
        </w:rPr>
        <w:t xml:space="preserve"> but </w:t>
      </w:r>
      <w:r w:rsidRPr="00DD57F1">
        <w:rPr>
          <w:rFonts w:ascii="Times New Roman" w:hAnsi="Times New Roman" w:cs="Times New Roman"/>
          <w:sz w:val="24"/>
          <w:szCs w:val="24"/>
        </w:rPr>
        <w:t xml:space="preserve">I find it hard </w:t>
      </w:r>
      <w:r w:rsidR="00AC1A48" w:rsidRPr="00DD57F1">
        <w:rPr>
          <w:rFonts w:ascii="Times New Roman" w:hAnsi="Times New Roman" w:cs="Times New Roman"/>
          <w:sz w:val="24"/>
          <w:szCs w:val="24"/>
        </w:rPr>
        <w:t>to see this as a first-order issue.</w:t>
      </w:r>
    </w:p>
    <w:p w14:paraId="16885352" w14:textId="0B522475" w:rsidR="00F61ED9" w:rsidRPr="00DD57F1" w:rsidRDefault="0058605E" w:rsidP="002D1860">
      <w:pPr>
        <w:spacing w:after="240" w:line="300" w:lineRule="auto"/>
        <w:ind w:firstLine="567"/>
        <w:jc w:val="both"/>
        <w:rPr>
          <w:rFonts w:ascii="Times New Roman" w:hAnsi="Times New Roman" w:cs="Times New Roman"/>
          <w:b/>
          <w:sz w:val="24"/>
          <w:szCs w:val="24"/>
        </w:rPr>
      </w:pPr>
      <w:r>
        <w:rPr>
          <w:rFonts w:ascii="Times New Roman" w:hAnsi="Times New Roman" w:cs="Times New Roman"/>
          <w:b/>
          <w:sz w:val="24"/>
          <w:szCs w:val="24"/>
        </w:rPr>
        <w:br/>
        <w:t xml:space="preserve">III. </w:t>
      </w:r>
      <w:r w:rsidR="002D1860">
        <w:rPr>
          <w:rFonts w:ascii="Times New Roman" w:hAnsi="Times New Roman" w:cs="Times New Roman"/>
          <w:b/>
          <w:sz w:val="24"/>
          <w:szCs w:val="24"/>
        </w:rPr>
        <w:tab/>
      </w:r>
      <w:r w:rsidR="00F506A4">
        <w:rPr>
          <w:rFonts w:ascii="Times New Roman" w:hAnsi="Times New Roman" w:cs="Times New Roman"/>
          <w:b/>
          <w:sz w:val="24"/>
          <w:szCs w:val="24"/>
        </w:rPr>
        <w:t>CONCLUSION</w:t>
      </w:r>
    </w:p>
    <w:p w14:paraId="75BFC211" w14:textId="1F4064C4" w:rsidR="00242879" w:rsidRPr="00DD57F1" w:rsidRDefault="00242879" w:rsidP="005F3DC7">
      <w:pPr>
        <w:spacing w:after="240" w:line="300" w:lineRule="auto"/>
        <w:jc w:val="both"/>
        <w:rPr>
          <w:rFonts w:ascii="Times New Roman" w:hAnsi="Times New Roman" w:cs="Times New Roman"/>
          <w:sz w:val="24"/>
          <w:szCs w:val="24"/>
        </w:rPr>
      </w:pPr>
      <w:r w:rsidRPr="00DD57F1">
        <w:rPr>
          <w:rFonts w:ascii="Times New Roman" w:hAnsi="Times New Roman" w:cs="Times New Roman"/>
          <w:sz w:val="24"/>
          <w:szCs w:val="24"/>
        </w:rPr>
        <w:t>The requirement to address any emerging difficulties in the operation of Part IVA-type regimes is a continuing one.  It did not start with the likely A</w:t>
      </w:r>
      <w:r w:rsidR="001905F1" w:rsidRPr="00DD57F1">
        <w:rPr>
          <w:rFonts w:ascii="Times New Roman" w:hAnsi="Times New Roman" w:cs="Times New Roman"/>
          <w:sz w:val="24"/>
          <w:szCs w:val="24"/>
        </w:rPr>
        <w:t>LRC</w:t>
      </w:r>
      <w:r w:rsidR="000527A5" w:rsidRPr="00DD57F1">
        <w:rPr>
          <w:rFonts w:ascii="Times New Roman" w:hAnsi="Times New Roman" w:cs="Times New Roman"/>
          <w:sz w:val="24"/>
          <w:szCs w:val="24"/>
        </w:rPr>
        <w:t xml:space="preserve"> recommendations </w:t>
      </w:r>
      <w:r w:rsidRPr="00DD57F1">
        <w:rPr>
          <w:rFonts w:ascii="Times New Roman" w:hAnsi="Times New Roman" w:cs="Times New Roman"/>
          <w:sz w:val="24"/>
          <w:szCs w:val="24"/>
        </w:rPr>
        <w:t xml:space="preserve">and it will not end with them, but the proposals are the result of a great deal of conscientious and detailed work and are worthy of careful </w:t>
      </w:r>
      <w:r w:rsidR="006552EA">
        <w:rPr>
          <w:rFonts w:ascii="Times New Roman" w:hAnsi="Times New Roman" w:cs="Times New Roman"/>
          <w:sz w:val="24"/>
          <w:szCs w:val="24"/>
        </w:rPr>
        <w:t>thought. The guiding considerations should include the</w:t>
      </w:r>
      <w:r w:rsidR="00DD57F1" w:rsidRPr="00DD57F1">
        <w:rPr>
          <w:rFonts w:ascii="Times New Roman" w:hAnsi="Times New Roman" w:cs="Times New Roman"/>
          <w:sz w:val="24"/>
          <w:szCs w:val="24"/>
        </w:rPr>
        <w:t xml:space="preserve"> objectives</w:t>
      </w:r>
      <w:r w:rsidR="006552EA">
        <w:rPr>
          <w:rFonts w:ascii="Times New Roman" w:hAnsi="Times New Roman" w:cs="Times New Roman"/>
          <w:sz w:val="24"/>
          <w:szCs w:val="24"/>
        </w:rPr>
        <w:t xml:space="preserve"> of</w:t>
      </w:r>
      <w:r w:rsidR="001905F1" w:rsidRPr="00DD57F1">
        <w:rPr>
          <w:rFonts w:ascii="Times New Roman" w:hAnsi="Times New Roman" w:cs="Times New Roman"/>
          <w:sz w:val="24"/>
          <w:szCs w:val="24"/>
        </w:rPr>
        <w:t>: (a)</w:t>
      </w:r>
      <w:r w:rsidR="0077127A" w:rsidRPr="00DD57F1">
        <w:rPr>
          <w:rFonts w:ascii="Times New Roman" w:hAnsi="Times New Roman" w:cs="Times New Roman"/>
          <w:sz w:val="24"/>
          <w:szCs w:val="24"/>
        </w:rPr>
        <w:t xml:space="preserve"> </w:t>
      </w:r>
      <w:r w:rsidR="006552EA" w:rsidRPr="00DD57F1">
        <w:rPr>
          <w:rFonts w:ascii="Times New Roman" w:hAnsi="Times New Roman" w:cs="Times New Roman"/>
          <w:sz w:val="24"/>
          <w:szCs w:val="24"/>
        </w:rPr>
        <w:t>enhancing access to justice</w:t>
      </w:r>
      <w:r w:rsidR="0031073D">
        <w:rPr>
          <w:rFonts w:ascii="Times New Roman" w:hAnsi="Times New Roman" w:cs="Times New Roman"/>
          <w:sz w:val="24"/>
          <w:szCs w:val="24"/>
        </w:rPr>
        <w:t xml:space="preserve"> while avoiding the operation of regime becoming “overheated”</w:t>
      </w:r>
      <w:r w:rsidR="001905F1" w:rsidRPr="00DD57F1">
        <w:rPr>
          <w:rFonts w:ascii="Times New Roman" w:hAnsi="Times New Roman" w:cs="Times New Roman"/>
          <w:sz w:val="24"/>
          <w:szCs w:val="24"/>
        </w:rPr>
        <w:t xml:space="preserve">; </w:t>
      </w:r>
      <w:r w:rsidR="00382AF5">
        <w:rPr>
          <w:rFonts w:ascii="Times New Roman" w:hAnsi="Times New Roman" w:cs="Times New Roman"/>
          <w:sz w:val="24"/>
          <w:szCs w:val="24"/>
        </w:rPr>
        <w:t>(b</w:t>
      </w:r>
      <w:r w:rsidR="00382AF5" w:rsidRPr="00DD57F1">
        <w:rPr>
          <w:rFonts w:ascii="Times New Roman" w:hAnsi="Times New Roman" w:cs="Times New Roman"/>
          <w:sz w:val="24"/>
          <w:szCs w:val="24"/>
        </w:rPr>
        <w:t xml:space="preserve">) avoiding </w:t>
      </w:r>
      <w:r w:rsidR="00382AF5">
        <w:rPr>
          <w:rFonts w:ascii="Times New Roman" w:hAnsi="Times New Roman" w:cs="Times New Roman"/>
          <w:sz w:val="24"/>
          <w:szCs w:val="24"/>
        </w:rPr>
        <w:t>the</w:t>
      </w:r>
      <w:r w:rsidR="00382AF5" w:rsidRPr="00DD57F1">
        <w:rPr>
          <w:rFonts w:ascii="Times New Roman" w:hAnsi="Times New Roman" w:cs="Times New Roman"/>
          <w:sz w:val="24"/>
          <w:szCs w:val="24"/>
        </w:rPr>
        <w:t xml:space="preserve"> stifling of litigation funding</w:t>
      </w:r>
      <w:r w:rsidR="00382AF5">
        <w:rPr>
          <w:rFonts w:ascii="Times New Roman" w:hAnsi="Times New Roman" w:cs="Times New Roman"/>
          <w:sz w:val="24"/>
          <w:szCs w:val="24"/>
        </w:rPr>
        <w:t xml:space="preserve"> while protecting against excesses; and</w:t>
      </w:r>
      <w:r w:rsidR="00382AF5" w:rsidRPr="00DD57F1">
        <w:rPr>
          <w:rFonts w:ascii="Times New Roman" w:hAnsi="Times New Roman" w:cs="Times New Roman"/>
          <w:sz w:val="24"/>
          <w:szCs w:val="24"/>
        </w:rPr>
        <w:t xml:space="preserve"> </w:t>
      </w:r>
      <w:r w:rsidR="001905F1" w:rsidRPr="00DD57F1">
        <w:rPr>
          <w:rFonts w:ascii="Times New Roman" w:hAnsi="Times New Roman" w:cs="Times New Roman"/>
          <w:sz w:val="24"/>
          <w:szCs w:val="24"/>
        </w:rPr>
        <w:t>(</w:t>
      </w:r>
      <w:r w:rsidR="00382AF5">
        <w:rPr>
          <w:rFonts w:ascii="Times New Roman" w:hAnsi="Times New Roman" w:cs="Times New Roman"/>
          <w:sz w:val="24"/>
          <w:szCs w:val="24"/>
        </w:rPr>
        <w:t>c</w:t>
      </w:r>
      <w:r w:rsidR="001905F1" w:rsidRPr="00DD57F1">
        <w:rPr>
          <w:rFonts w:ascii="Times New Roman" w:hAnsi="Times New Roman" w:cs="Times New Roman"/>
          <w:sz w:val="24"/>
          <w:szCs w:val="24"/>
        </w:rPr>
        <w:t>)</w:t>
      </w:r>
      <w:r w:rsidR="005C7D06" w:rsidRPr="00DD57F1">
        <w:rPr>
          <w:rFonts w:ascii="Times New Roman" w:hAnsi="Times New Roman" w:cs="Times New Roman"/>
          <w:sz w:val="24"/>
          <w:szCs w:val="24"/>
        </w:rPr>
        <w:t xml:space="preserve"> </w:t>
      </w:r>
      <w:r w:rsidR="006552EA">
        <w:rPr>
          <w:rFonts w:ascii="Times New Roman" w:hAnsi="Times New Roman" w:cs="Times New Roman"/>
          <w:sz w:val="24"/>
          <w:szCs w:val="24"/>
        </w:rPr>
        <w:t>ensuring</w:t>
      </w:r>
      <w:r w:rsidR="006552EA" w:rsidRPr="00DD57F1">
        <w:rPr>
          <w:rFonts w:ascii="Times New Roman" w:hAnsi="Times New Roman" w:cs="Times New Roman"/>
          <w:sz w:val="24"/>
          <w:szCs w:val="24"/>
        </w:rPr>
        <w:t xml:space="preserve"> the regime </w:t>
      </w:r>
      <w:r w:rsidR="006552EA">
        <w:rPr>
          <w:rFonts w:ascii="Times New Roman" w:hAnsi="Times New Roman" w:cs="Times New Roman"/>
          <w:sz w:val="24"/>
          <w:szCs w:val="24"/>
        </w:rPr>
        <w:t xml:space="preserve">operates in accordance </w:t>
      </w:r>
      <w:r w:rsidR="006552EA" w:rsidRPr="00DD57F1">
        <w:rPr>
          <w:rFonts w:ascii="Times New Roman" w:hAnsi="Times New Roman" w:cs="Times New Roman"/>
          <w:sz w:val="24"/>
          <w:szCs w:val="24"/>
        </w:rPr>
        <w:t xml:space="preserve">with the overarching </w:t>
      </w:r>
      <w:r w:rsidR="00382AF5" w:rsidRPr="00DD57F1">
        <w:rPr>
          <w:rFonts w:ascii="Times New Roman" w:hAnsi="Times New Roman" w:cs="Times New Roman"/>
          <w:sz w:val="24"/>
          <w:szCs w:val="24"/>
        </w:rPr>
        <w:t>purpose of facilitating the just resolution of disputes according to law as quickly, inexpensively and efficiently as possible</w:t>
      </w:r>
      <w:r w:rsidR="00140D67">
        <w:rPr>
          <w:rFonts w:ascii="Times New Roman" w:hAnsi="Times New Roman" w:cs="Times New Roman"/>
          <w:sz w:val="24"/>
          <w:szCs w:val="24"/>
        </w:rPr>
        <w:t xml:space="preserve">. </w:t>
      </w:r>
    </w:p>
    <w:sectPr w:rsidR="00242879" w:rsidRPr="00DD57F1">
      <w:headerReference w:type="default" r:id="rId8"/>
      <w:endnotePr>
        <w:numFmt w:val="decimal"/>
      </w:endnotePr>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F7A7A0" w14:textId="77777777" w:rsidR="00C44640" w:rsidRDefault="00C44640" w:rsidP="00230F73">
      <w:pPr>
        <w:spacing w:after="0" w:line="240" w:lineRule="auto"/>
      </w:pPr>
      <w:r>
        <w:separator/>
      </w:r>
    </w:p>
  </w:endnote>
  <w:endnote w:type="continuationSeparator" w:id="0">
    <w:p w14:paraId="7F6A7B67" w14:textId="77777777" w:rsidR="00C44640" w:rsidRDefault="00C44640" w:rsidP="00230F73">
      <w:pPr>
        <w:spacing w:after="0" w:line="240" w:lineRule="auto"/>
      </w:pPr>
      <w:r>
        <w:continuationSeparator/>
      </w:r>
    </w:p>
  </w:endnote>
  <w:endnote w:id="1">
    <w:p w14:paraId="447BB7FA" w14:textId="70E3F789" w:rsidR="00BA31BB" w:rsidRPr="00DD57F1" w:rsidRDefault="00BA31BB" w:rsidP="008C446C">
      <w:pPr>
        <w:pStyle w:val="EndnoteText"/>
        <w:rPr>
          <w:rFonts w:ascii="Times New Roman" w:hAnsi="Times New Roman" w:cs="Times New Roman"/>
        </w:rPr>
      </w:pPr>
      <w:r w:rsidRPr="00DD57F1">
        <w:rPr>
          <w:rFonts w:ascii="Times New Roman" w:hAnsi="Times New Roman" w:cs="Times New Roman"/>
        </w:rPr>
        <w:t xml:space="preserve">Some parts of this paper draw upon a chapter by the author and V Morabito entitled </w:t>
      </w:r>
      <w:r w:rsidRPr="00DD57F1">
        <w:rPr>
          <w:rFonts w:ascii="Times New Roman" w:hAnsi="Times New Roman" w:cs="Times New Roman"/>
          <w:i/>
        </w:rPr>
        <w:t xml:space="preserve">The First 25 Years: Has the Class Action Regime hit the Mark on Access to Justice? </w:t>
      </w:r>
      <w:r w:rsidRPr="00DD57F1">
        <w:rPr>
          <w:rFonts w:ascii="Times New Roman" w:hAnsi="Times New Roman" w:cs="Times New Roman"/>
        </w:rPr>
        <w:t>in D Graves and H Mould (ed)</w:t>
      </w:r>
      <w:r w:rsidRPr="00DD57F1">
        <w:rPr>
          <w:rFonts w:ascii="Times New Roman" w:hAnsi="Times New Roman" w:cs="Times New Roman"/>
          <w:i/>
        </w:rPr>
        <w:t>, 25 Years of Class Actions in Australia</w:t>
      </w:r>
      <w:r w:rsidRPr="00DD57F1">
        <w:rPr>
          <w:rFonts w:ascii="Times New Roman" w:hAnsi="Times New Roman" w:cs="Times New Roman"/>
        </w:rPr>
        <w:t>, The Ross Parsons Centre of Commercial, Corporate and Taxation Law Publication Series, 2017</w:t>
      </w:r>
      <w:r>
        <w:rPr>
          <w:rFonts w:ascii="Times New Roman" w:hAnsi="Times New Roman" w:cs="Times New Roman"/>
        </w:rPr>
        <w:t xml:space="preserve"> at</w:t>
      </w:r>
      <w:r w:rsidRPr="00DD57F1">
        <w:rPr>
          <w:rFonts w:ascii="Times New Roman" w:hAnsi="Times New Roman" w:cs="Times New Roman"/>
        </w:rPr>
        <w:t xml:space="preserve"> 13 (</w:t>
      </w:r>
      <w:r w:rsidRPr="002D1860">
        <w:rPr>
          <w:rFonts w:ascii="Times New Roman" w:hAnsi="Times New Roman" w:cs="Times New Roman"/>
          <w:b/>
        </w:rPr>
        <w:t>25 Years of Class Actions in Australia</w:t>
      </w:r>
      <w:r w:rsidRPr="00DD57F1">
        <w:rPr>
          <w:rFonts w:ascii="Times New Roman" w:hAnsi="Times New Roman" w:cs="Times New Roman"/>
        </w:rPr>
        <w:t>).</w:t>
      </w:r>
    </w:p>
    <w:p w14:paraId="594DBCF9" w14:textId="5944037F" w:rsidR="00BA31BB" w:rsidRPr="00DD57F1" w:rsidRDefault="00BA31BB" w:rsidP="008C446C">
      <w:pPr>
        <w:pStyle w:val="EndnoteText"/>
        <w:rPr>
          <w:rFonts w:ascii="Times New Roman" w:hAnsi="Times New Roman" w:cs="Times New Roman"/>
        </w:rPr>
      </w:pPr>
      <w:r w:rsidRPr="00DD57F1">
        <w:rPr>
          <w:rStyle w:val="EndnoteReference"/>
          <w:rFonts w:ascii="Times New Roman" w:hAnsi="Times New Roman" w:cs="Times New Roman"/>
        </w:rPr>
        <w:endnoteRef/>
      </w:r>
      <w:r w:rsidRPr="00DD57F1">
        <w:rPr>
          <w:rFonts w:ascii="Times New Roman" w:hAnsi="Times New Roman" w:cs="Times New Roman"/>
        </w:rPr>
        <w:t xml:space="preserve"> Supreme Court of Victoria, </w:t>
      </w:r>
      <w:r>
        <w:rPr>
          <w:rFonts w:ascii="Times New Roman" w:hAnsi="Times New Roman" w:cs="Times New Roman"/>
        </w:rPr>
        <w:t>‘</w:t>
      </w:r>
      <w:r w:rsidRPr="006D6498">
        <w:rPr>
          <w:rFonts w:ascii="Times New Roman" w:hAnsi="Times New Roman" w:cs="Times New Roman"/>
        </w:rPr>
        <w:t>Court approves distribution of almost $700M in 2009 Black Saturday bushfire class actions</w:t>
      </w:r>
      <w:r>
        <w:rPr>
          <w:rFonts w:ascii="Times New Roman" w:hAnsi="Times New Roman" w:cs="Times New Roman"/>
        </w:rPr>
        <w:t>’</w:t>
      </w:r>
      <w:r w:rsidRPr="00DD57F1">
        <w:rPr>
          <w:rFonts w:ascii="Times New Roman" w:hAnsi="Times New Roman" w:cs="Times New Roman"/>
        </w:rPr>
        <w:t>, 7 December 2016, quoting Justice J Forrest.</w:t>
      </w:r>
    </w:p>
  </w:endnote>
  <w:endnote w:id="2">
    <w:p w14:paraId="16577D6B" w14:textId="1D5ECEA3" w:rsidR="00BA31BB" w:rsidRPr="00DD57F1" w:rsidRDefault="00BA31BB" w:rsidP="00DC6931">
      <w:pPr>
        <w:pStyle w:val="EndnoteText"/>
        <w:rPr>
          <w:rFonts w:ascii="Times New Roman" w:hAnsi="Times New Roman" w:cs="Times New Roman"/>
        </w:rPr>
      </w:pPr>
      <w:r w:rsidRPr="00DD57F1">
        <w:rPr>
          <w:rStyle w:val="EndnoteReference"/>
          <w:rFonts w:ascii="Times New Roman" w:hAnsi="Times New Roman" w:cs="Times New Roman"/>
        </w:rPr>
        <w:endnoteRef/>
      </w:r>
      <w:r w:rsidRPr="00DD57F1">
        <w:rPr>
          <w:rFonts w:ascii="Times New Roman" w:hAnsi="Times New Roman" w:cs="Times New Roman"/>
        </w:rPr>
        <w:t xml:space="preserve"> 25 Years of Class Actions in Australia at 14.</w:t>
      </w:r>
    </w:p>
  </w:endnote>
  <w:endnote w:id="3">
    <w:p w14:paraId="357326FF" w14:textId="373A24AC" w:rsidR="00BA31BB" w:rsidRPr="00DD57F1" w:rsidRDefault="00BA31BB" w:rsidP="00E124D7">
      <w:pPr>
        <w:pStyle w:val="EndnoteText"/>
        <w:rPr>
          <w:rFonts w:ascii="Times New Roman" w:hAnsi="Times New Roman" w:cs="Times New Roman"/>
        </w:rPr>
      </w:pPr>
      <w:r w:rsidRPr="00DD57F1">
        <w:rPr>
          <w:rStyle w:val="EndnoteReference"/>
          <w:rFonts w:ascii="Times New Roman" w:hAnsi="Times New Roman" w:cs="Times New Roman"/>
        </w:rPr>
        <w:endnoteRef/>
      </w:r>
      <w:r w:rsidRPr="00DD57F1">
        <w:rPr>
          <w:rFonts w:ascii="Times New Roman" w:hAnsi="Times New Roman" w:cs="Times New Roman"/>
        </w:rPr>
        <w:t xml:space="preserve"> </w:t>
      </w:r>
      <w:r w:rsidRPr="00DD57F1">
        <w:rPr>
          <w:rFonts w:ascii="Times New Roman" w:hAnsi="Times New Roman" w:cs="Times New Roman"/>
          <w:i/>
        </w:rPr>
        <w:t>Money Max Int Pty Ltd (Trustee) v QBE Insurance Group Limited</w:t>
      </w:r>
      <w:r w:rsidRPr="00DD57F1">
        <w:rPr>
          <w:rFonts w:ascii="Times New Roman" w:hAnsi="Times New Roman" w:cs="Times New Roman"/>
        </w:rPr>
        <w:t xml:space="preserve"> [2016] FCAFC 148 at [196].</w:t>
      </w:r>
    </w:p>
  </w:endnote>
  <w:endnote w:id="4">
    <w:p w14:paraId="73DAC99E" w14:textId="77777777" w:rsidR="00BA31BB" w:rsidRPr="00DD57F1" w:rsidRDefault="00BA31BB" w:rsidP="00984BFA">
      <w:pPr>
        <w:pStyle w:val="EndnoteText"/>
        <w:rPr>
          <w:rFonts w:ascii="Times New Roman" w:hAnsi="Times New Roman" w:cs="Times New Roman"/>
        </w:rPr>
      </w:pPr>
      <w:r w:rsidRPr="00DD57F1">
        <w:rPr>
          <w:rStyle w:val="EndnoteReference"/>
          <w:rFonts w:ascii="Times New Roman" w:hAnsi="Times New Roman" w:cs="Times New Roman"/>
        </w:rPr>
        <w:endnoteRef/>
      </w:r>
      <w:r w:rsidRPr="00DD57F1">
        <w:rPr>
          <w:rFonts w:ascii="Times New Roman" w:hAnsi="Times New Roman" w:cs="Times New Roman"/>
        </w:rPr>
        <w:t xml:space="preserve"> [2017] FCA 1042 at [38]-[79].</w:t>
      </w:r>
    </w:p>
  </w:endnote>
  <w:endnote w:id="5">
    <w:p w14:paraId="1DABD629" w14:textId="2CC2D0D5" w:rsidR="00BA31BB" w:rsidRPr="00DD57F1" w:rsidRDefault="00BA31BB" w:rsidP="00CE1BFC">
      <w:pPr>
        <w:pStyle w:val="EndnoteText"/>
        <w:rPr>
          <w:rFonts w:ascii="Times New Roman" w:hAnsi="Times New Roman" w:cs="Times New Roman"/>
        </w:rPr>
      </w:pPr>
      <w:r w:rsidRPr="00DD57F1">
        <w:rPr>
          <w:rStyle w:val="EndnoteReference"/>
          <w:rFonts w:ascii="Times New Roman" w:hAnsi="Times New Roman" w:cs="Times New Roman"/>
        </w:rPr>
        <w:endnoteRef/>
      </w:r>
      <w:r w:rsidRPr="00DD57F1">
        <w:rPr>
          <w:rFonts w:ascii="Times New Roman" w:hAnsi="Times New Roman" w:cs="Times New Roman"/>
        </w:rPr>
        <w:t xml:space="preserve"> [2017] FCA 947.</w:t>
      </w:r>
    </w:p>
  </w:endnote>
  <w:endnote w:id="6">
    <w:p w14:paraId="6443AE58" w14:textId="6946FC79" w:rsidR="00BA31BB" w:rsidRPr="00DD57F1" w:rsidRDefault="00BA31BB">
      <w:pPr>
        <w:pStyle w:val="EndnoteText"/>
        <w:rPr>
          <w:rFonts w:ascii="Times New Roman" w:hAnsi="Times New Roman" w:cs="Times New Roman"/>
        </w:rPr>
      </w:pPr>
      <w:r w:rsidRPr="00DD57F1">
        <w:rPr>
          <w:rStyle w:val="EndnoteReference"/>
          <w:rFonts w:ascii="Times New Roman" w:hAnsi="Times New Roman" w:cs="Times New Roman"/>
        </w:rPr>
        <w:endnoteRef/>
      </w:r>
      <w:r w:rsidRPr="00DD57F1">
        <w:rPr>
          <w:rFonts w:ascii="Times New Roman" w:hAnsi="Times New Roman" w:cs="Times New Roman"/>
        </w:rPr>
        <w:t xml:space="preserve"> [2018] FCA 732</w:t>
      </w:r>
      <w:r>
        <w:rPr>
          <w:rFonts w:ascii="Times New Roman" w:hAnsi="Times New Roman" w:cs="Times New Roman"/>
        </w:rPr>
        <w:t xml:space="preserve">; (2018) </w:t>
      </w:r>
      <w:r w:rsidRPr="006D6498">
        <w:rPr>
          <w:rFonts w:ascii="Times New Roman" w:hAnsi="Times New Roman" w:cs="Times New Roman"/>
        </w:rPr>
        <w:t>357 ALR 586</w:t>
      </w:r>
      <w:r w:rsidRPr="00DD57F1">
        <w:rPr>
          <w:rFonts w:ascii="Times New Roman" w:hAnsi="Times New Roman" w:cs="Times New Roman"/>
        </w:rPr>
        <w:t>.</w:t>
      </w:r>
    </w:p>
  </w:endnote>
  <w:endnote w:id="7">
    <w:p w14:paraId="138462CD" w14:textId="7A1041DB" w:rsidR="00BA31BB" w:rsidRPr="00DD57F1" w:rsidRDefault="00BA31BB">
      <w:pPr>
        <w:pStyle w:val="EndnoteText"/>
        <w:rPr>
          <w:rFonts w:ascii="Times New Roman" w:hAnsi="Times New Roman" w:cs="Times New Roman"/>
        </w:rPr>
      </w:pPr>
      <w:r w:rsidRPr="00DD57F1">
        <w:rPr>
          <w:rStyle w:val="EndnoteReference"/>
          <w:rFonts w:ascii="Times New Roman" w:hAnsi="Times New Roman" w:cs="Times New Roman"/>
        </w:rPr>
        <w:endnoteRef/>
      </w:r>
      <w:r w:rsidRPr="00DD57F1">
        <w:rPr>
          <w:rFonts w:ascii="Times New Roman" w:hAnsi="Times New Roman" w:cs="Times New Roman"/>
        </w:rPr>
        <w:t xml:space="preserve"> </w:t>
      </w:r>
      <w:r>
        <w:rPr>
          <w:rFonts w:ascii="Times New Roman" w:hAnsi="Times New Roman" w:cs="Times New Roman"/>
        </w:rPr>
        <w:t xml:space="preserve">Ibid </w:t>
      </w:r>
      <w:r w:rsidRPr="00DD57F1">
        <w:rPr>
          <w:rFonts w:ascii="Times New Roman" w:hAnsi="Times New Roman" w:cs="Times New Roman"/>
        </w:rPr>
        <w:t>at [305]-[324].</w:t>
      </w:r>
    </w:p>
  </w:endnote>
  <w:endnote w:id="8">
    <w:p w14:paraId="1CAAA458" w14:textId="68D6D9EF" w:rsidR="00BA31BB" w:rsidRPr="00DD57F1" w:rsidRDefault="00BA31BB">
      <w:pPr>
        <w:pStyle w:val="EndnoteText"/>
        <w:rPr>
          <w:rFonts w:ascii="Times New Roman" w:hAnsi="Times New Roman" w:cs="Times New Roman"/>
        </w:rPr>
      </w:pPr>
      <w:r w:rsidRPr="00DD57F1">
        <w:rPr>
          <w:rStyle w:val="EndnoteReference"/>
          <w:rFonts w:ascii="Times New Roman" w:hAnsi="Times New Roman" w:cs="Times New Roman"/>
        </w:rPr>
        <w:endnoteRef/>
      </w:r>
      <w:r w:rsidRPr="00DD57F1">
        <w:rPr>
          <w:rFonts w:ascii="Times New Roman" w:hAnsi="Times New Roman" w:cs="Times New Roman"/>
        </w:rPr>
        <w:t xml:space="preserve"> [2018] FCAFC 143.</w:t>
      </w:r>
    </w:p>
  </w:endnote>
  <w:endnote w:id="9">
    <w:p w14:paraId="7561A40E" w14:textId="40827CE4" w:rsidR="00BA31BB" w:rsidRPr="00DD57F1" w:rsidRDefault="00BA31BB" w:rsidP="00801DD9">
      <w:pPr>
        <w:pStyle w:val="EndnoteText"/>
        <w:rPr>
          <w:rFonts w:ascii="Times New Roman" w:hAnsi="Times New Roman" w:cs="Times New Roman"/>
        </w:rPr>
      </w:pPr>
      <w:r w:rsidRPr="00DD57F1">
        <w:rPr>
          <w:rStyle w:val="EndnoteReference"/>
          <w:rFonts w:ascii="Times New Roman" w:hAnsi="Times New Roman" w:cs="Times New Roman"/>
        </w:rPr>
        <w:endnoteRef/>
      </w:r>
      <w:r w:rsidRPr="00DD57F1">
        <w:rPr>
          <w:rFonts w:ascii="Times New Roman" w:hAnsi="Times New Roman" w:cs="Times New Roman"/>
        </w:rPr>
        <w:t xml:space="preserve"> </w:t>
      </w:r>
      <w:r>
        <w:rPr>
          <w:rFonts w:ascii="Times New Roman" w:hAnsi="Times New Roman" w:cs="Times New Roman"/>
        </w:rPr>
        <w:t>I</w:t>
      </w:r>
      <w:r w:rsidRPr="00DD57F1">
        <w:rPr>
          <w:rFonts w:ascii="Times New Roman" w:hAnsi="Times New Roman" w:cs="Times New Roman"/>
        </w:rPr>
        <w:t>bid at [15].</w:t>
      </w:r>
    </w:p>
  </w:endnote>
  <w:endnote w:id="10">
    <w:p w14:paraId="596F8155" w14:textId="624E82CF" w:rsidR="00BA31BB" w:rsidRPr="00DD57F1" w:rsidRDefault="00BA31BB">
      <w:pPr>
        <w:pStyle w:val="EndnoteText"/>
        <w:rPr>
          <w:rFonts w:ascii="Times New Roman" w:hAnsi="Times New Roman" w:cs="Times New Roman"/>
        </w:rPr>
      </w:pPr>
      <w:r w:rsidRPr="00DD57F1">
        <w:rPr>
          <w:rStyle w:val="EndnoteReference"/>
          <w:rFonts w:ascii="Times New Roman" w:hAnsi="Times New Roman" w:cs="Times New Roman"/>
        </w:rPr>
        <w:endnoteRef/>
      </w:r>
      <w:r w:rsidRPr="00DD57F1">
        <w:rPr>
          <w:rFonts w:ascii="Times New Roman" w:hAnsi="Times New Roman" w:cs="Times New Roman"/>
        </w:rPr>
        <w:t xml:space="preserve"> </w:t>
      </w:r>
      <w:r>
        <w:rPr>
          <w:rFonts w:ascii="Times New Roman" w:hAnsi="Times New Roman" w:cs="Times New Roman"/>
        </w:rPr>
        <w:t>I</w:t>
      </w:r>
      <w:r w:rsidRPr="00DD57F1">
        <w:rPr>
          <w:rFonts w:ascii="Times New Roman" w:hAnsi="Times New Roman" w:cs="Times New Roman"/>
        </w:rPr>
        <w:t>bid at [19].</w:t>
      </w:r>
    </w:p>
  </w:endnote>
  <w:endnote w:id="11">
    <w:p w14:paraId="28FAFB98" w14:textId="05353DDC" w:rsidR="00BA31BB" w:rsidRPr="00DD57F1" w:rsidRDefault="00BA31BB" w:rsidP="00087565">
      <w:pPr>
        <w:pStyle w:val="EndnoteText"/>
        <w:rPr>
          <w:rFonts w:ascii="Times New Roman" w:hAnsi="Times New Roman" w:cs="Times New Roman"/>
        </w:rPr>
      </w:pPr>
      <w:r w:rsidRPr="00DD57F1">
        <w:rPr>
          <w:rStyle w:val="EndnoteReference"/>
          <w:rFonts w:ascii="Times New Roman" w:hAnsi="Times New Roman" w:cs="Times New Roman"/>
        </w:rPr>
        <w:endnoteRef/>
      </w:r>
      <w:r w:rsidRPr="00DD57F1">
        <w:rPr>
          <w:rFonts w:ascii="Times New Roman" w:hAnsi="Times New Roman" w:cs="Times New Roman"/>
        </w:rPr>
        <w:t xml:space="preserve"> </w:t>
      </w:r>
      <w:r w:rsidRPr="00DD57F1">
        <w:rPr>
          <w:rFonts w:ascii="Times New Roman" w:hAnsi="Times New Roman" w:cs="Times New Roman"/>
          <w:i/>
        </w:rPr>
        <w:t xml:space="preserve">Caason Investments Pty Ltd v Cao (No 2) </w:t>
      </w:r>
      <w:r w:rsidRPr="00DD57F1">
        <w:rPr>
          <w:rFonts w:ascii="Times New Roman" w:hAnsi="Times New Roman" w:cs="Times New Roman"/>
        </w:rPr>
        <w:t>[2018] FCA 527 at [216]</w:t>
      </w:r>
      <w:r w:rsidRPr="006D6498">
        <w:rPr>
          <w:rFonts w:ascii="Times New Roman" w:hAnsi="Times New Roman" w:cs="Times New Roman"/>
        </w:rPr>
        <w:t xml:space="preserve"> </w:t>
      </w:r>
      <w:r w:rsidRPr="00DD57F1">
        <w:rPr>
          <w:rFonts w:ascii="Times New Roman" w:hAnsi="Times New Roman" w:cs="Times New Roman"/>
        </w:rPr>
        <w:t>(</w:t>
      </w:r>
      <w:r w:rsidRPr="00DD57F1">
        <w:rPr>
          <w:rFonts w:ascii="Times New Roman" w:hAnsi="Times New Roman" w:cs="Times New Roman"/>
          <w:b/>
          <w:i/>
        </w:rPr>
        <w:t>Caason</w:t>
      </w:r>
      <w:r w:rsidRPr="00DD57F1">
        <w:rPr>
          <w:rFonts w:ascii="Times New Roman" w:hAnsi="Times New Roman" w:cs="Times New Roman"/>
        </w:rPr>
        <w:t>).</w:t>
      </w:r>
    </w:p>
  </w:endnote>
  <w:endnote w:id="12">
    <w:p w14:paraId="126ED93C" w14:textId="1E131F2C" w:rsidR="00BA31BB" w:rsidRPr="00DD57F1" w:rsidRDefault="00BA31BB">
      <w:pPr>
        <w:pStyle w:val="EndnoteText"/>
        <w:rPr>
          <w:rFonts w:ascii="Times New Roman" w:hAnsi="Times New Roman" w:cs="Times New Roman"/>
        </w:rPr>
      </w:pPr>
      <w:r w:rsidRPr="00DD57F1">
        <w:rPr>
          <w:rStyle w:val="EndnoteReference"/>
          <w:rFonts w:ascii="Times New Roman" w:hAnsi="Times New Roman" w:cs="Times New Roman"/>
        </w:rPr>
        <w:endnoteRef/>
      </w:r>
      <w:r w:rsidRPr="00DD57F1">
        <w:rPr>
          <w:rFonts w:ascii="Times New Roman" w:hAnsi="Times New Roman" w:cs="Times New Roman"/>
        </w:rPr>
        <w:t xml:space="preserve"> M Pelly</w:t>
      </w:r>
      <w:r w:rsidRPr="00DD57F1">
        <w:rPr>
          <w:rFonts w:ascii="Times New Roman" w:hAnsi="Times New Roman" w:cs="Times New Roman"/>
          <w:i/>
        </w:rPr>
        <w:t>, Judge takes aim at class action ‘trafficking’</w:t>
      </w:r>
      <w:r w:rsidRPr="00DD57F1">
        <w:rPr>
          <w:rFonts w:ascii="Times New Roman" w:hAnsi="Times New Roman" w:cs="Times New Roman"/>
        </w:rPr>
        <w:t>, Australian Financial Review, 26 October 2018.</w:t>
      </w:r>
    </w:p>
  </w:endnote>
  <w:endnote w:id="13">
    <w:p w14:paraId="147FDA39" w14:textId="67A8FA67" w:rsidR="00BA31BB" w:rsidRPr="00DD57F1" w:rsidRDefault="00BA31BB">
      <w:pPr>
        <w:pStyle w:val="EndnoteText"/>
        <w:rPr>
          <w:rFonts w:ascii="Times New Roman" w:hAnsi="Times New Roman" w:cs="Times New Roman"/>
        </w:rPr>
      </w:pPr>
      <w:r w:rsidRPr="00DD57F1">
        <w:rPr>
          <w:rStyle w:val="EndnoteReference"/>
          <w:rFonts w:ascii="Times New Roman" w:hAnsi="Times New Roman" w:cs="Times New Roman"/>
        </w:rPr>
        <w:endnoteRef/>
      </w:r>
      <w:r w:rsidRPr="00DD57F1">
        <w:rPr>
          <w:rFonts w:ascii="Times New Roman" w:hAnsi="Times New Roman" w:cs="Times New Roman"/>
        </w:rPr>
        <w:t xml:space="preserve"> </w:t>
      </w:r>
      <w:r w:rsidRPr="002D1860">
        <w:rPr>
          <w:rFonts w:ascii="Times New Roman" w:hAnsi="Times New Roman" w:cs="Times New Roman"/>
          <w:i/>
        </w:rPr>
        <w:t>Earglow Pty Ltd v Newcrest Mining Limited</w:t>
      </w:r>
      <w:r w:rsidRPr="00DD57F1">
        <w:rPr>
          <w:rFonts w:ascii="Times New Roman" w:hAnsi="Times New Roman" w:cs="Times New Roman"/>
        </w:rPr>
        <w:t xml:space="preserve"> </w:t>
      </w:r>
      <w:r>
        <w:rPr>
          <w:rFonts w:ascii="Times New Roman" w:hAnsi="Times New Roman" w:cs="Times New Roman"/>
        </w:rPr>
        <w:t>[2016] FCA 1433 at [113]-</w:t>
      </w:r>
      <w:r w:rsidRPr="00DD57F1">
        <w:rPr>
          <w:rFonts w:ascii="Times New Roman" w:hAnsi="Times New Roman" w:cs="Times New Roman"/>
        </w:rPr>
        <w:t>[132]</w:t>
      </w:r>
      <w:r>
        <w:rPr>
          <w:rFonts w:ascii="Times New Roman" w:hAnsi="Times New Roman" w:cs="Times New Roman"/>
        </w:rPr>
        <w:t xml:space="preserve"> (</w:t>
      </w:r>
      <w:r>
        <w:rPr>
          <w:rFonts w:ascii="Times New Roman" w:hAnsi="Times New Roman" w:cs="Times New Roman"/>
          <w:b/>
          <w:i/>
        </w:rPr>
        <w:t>Earglow</w:t>
      </w:r>
      <w:r>
        <w:rPr>
          <w:rFonts w:ascii="Times New Roman" w:hAnsi="Times New Roman" w:cs="Times New Roman"/>
        </w:rPr>
        <w:t>).</w:t>
      </w:r>
    </w:p>
  </w:endnote>
  <w:endnote w:id="14">
    <w:p w14:paraId="1C91F0D6" w14:textId="77777777" w:rsidR="00BA31BB" w:rsidRPr="00DD57F1" w:rsidRDefault="00BA31BB" w:rsidP="00BA31BB">
      <w:pPr>
        <w:pStyle w:val="EndnoteText"/>
        <w:rPr>
          <w:rFonts w:ascii="Times New Roman" w:hAnsi="Times New Roman" w:cs="Times New Roman"/>
        </w:rPr>
      </w:pPr>
      <w:r w:rsidRPr="00DD57F1">
        <w:rPr>
          <w:rStyle w:val="EndnoteReference"/>
          <w:rFonts w:ascii="Times New Roman" w:hAnsi="Times New Roman" w:cs="Times New Roman"/>
        </w:rPr>
        <w:endnoteRef/>
      </w:r>
      <w:r w:rsidRPr="00DD57F1">
        <w:rPr>
          <w:rFonts w:ascii="Times New Roman" w:hAnsi="Times New Roman" w:cs="Times New Roman"/>
        </w:rPr>
        <w:t xml:space="preserve"> </w:t>
      </w:r>
      <w:r w:rsidRPr="002D1860">
        <w:rPr>
          <w:rFonts w:ascii="Times New Roman" w:hAnsi="Times New Roman" w:cs="Times New Roman"/>
          <w:i/>
        </w:rPr>
        <w:t>Blairgowrie Trading Ltd v Allco Finance Group Ltd (Receivers &amp; Managers Appointed) (In Liq) (No 3)</w:t>
      </w:r>
      <w:r>
        <w:rPr>
          <w:rFonts w:ascii="Times New Roman" w:hAnsi="Times New Roman" w:cs="Times New Roman"/>
        </w:rPr>
        <w:t xml:space="preserve"> </w:t>
      </w:r>
      <w:r w:rsidRPr="00DD57F1">
        <w:rPr>
          <w:rFonts w:ascii="Times New Roman" w:hAnsi="Times New Roman" w:cs="Times New Roman"/>
        </w:rPr>
        <w:t>[2017] FCA 330; (2017) 343 ALR 476 at [101]</w:t>
      </w:r>
      <w:r>
        <w:rPr>
          <w:rFonts w:ascii="Times New Roman" w:hAnsi="Times New Roman" w:cs="Times New Roman"/>
        </w:rPr>
        <w:t>.</w:t>
      </w:r>
    </w:p>
  </w:endnote>
  <w:endnote w:id="15">
    <w:p w14:paraId="3DF62AF4" w14:textId="77777777" w:rsidR="00BA31BB" w:rsidRPr="00DD57F1" w:rsidRDefault="00BA31BB" w:rsidP="00BA31BB">
      <w:pPr>
        <w:pStyle w:val="EndnoteText"/>
        <w:rPr>
          <w:rFonts w:ascii="Times New Roman" w:hAnsi="Times New Roman" w:cs="Times New Roman"/>
        </w:rPr>
      </w:pPr>
      <w:r w:rsidRPr="00DD57F1">
        <w:rPr>
          <w:rStyle w:val="EndnoteReference"/>
          <w:rFonts w:ascii="Times New Roman" w:hAnsi="Times New Roman" w:cs="Times New Roman"/>
        </w:rPr>
        <w:endnoteRef/>
      </w:r>
      <w:r w:rsidRPr="00DD57F1">
        <w:rPr>
          <w:rFonts w:ascii="Times New Roman" w:hAnsi="Times New Roman" w:cs="Times New Roman"/>
        </w:rPr>
        <w:t xml:space="preserve"> </w:t>
      </w:r>
      <w:r w:rsidRPr="002D1860">
        <w:rPr>
          <w:rFonts w:ascii="Times New Roman" w:hAnsi="Times New Roman" w:cs="Times New Roman"/>
          <w:i/>
        </w:rPr>
        <w:t xml:space="preserve">Mitic v OZ Minerals Limited (No 2) </w:t>
      </w:r>
      <w:r w:rsidRPr="00DD57F1">
        <w:rPr>
          <w:rFonts w:ascii="Times New Roman" w:hAnsi="Times New Roman" w:cs="Times New Roman"/>
        </w:rPr>
        <w:t>[2017] FCA 409 at [27]-[29]</w:t>
      </w:r>
      <w:r>
        <w:rPr>
          <w:rFonts w:ascii="Times New Roman" w:hAnsi="Times New Roman" w:cs="Times New Roman"/>
        </w:rPr>
        <w:t>.</w:t>
      </w:r>
    </w:p>
  </w:endnote>
  <w:endnote w:id="16">
    <w:p w14:paraId="450651AF" w14:textId="4FAAFA5C" w:rsidR="00BA31BB" w:rsidRPr="00DD57F1" w:rsidRDefault="00BA31BB" w:rsidP="0062502F">
      <w:pPr>
        <w:pStyle w:val="EndnoteText"/>
        <w:rPr>
          <w:rFonts w:ascii="Times New Roman" w:hAnsi="Times New Roman" w:cs="Times New Roman"/>
        </w:rPr>
      </w:pPr>
      <w:r w:rsidRPr="00DD57F1">
        <w:rPr>
          <w:rStyle w:val="EndnoteReference"/>
          <w:rFonts w:ascii="Times New Roman" w:hAnsi="Times New Roman" w:cs="Times New Roman"/>
        </w:rPr>
        <w:endnoteRef/>
      </w:r>
      <w:r w:rsidRPr="00DD57F1">
        <w:rPr>
          <w:rFonts w:ascii="Times New Roman" w:hAnsi="Times New Roman" w:cs="Times New Roman"/>
        </w:rPr>
        <w:t xml:space="preserve"> </w:t>
      </w:r>
      <w:r>
        <w:rPr>
          <w:rFonts w:ascii="Times New Roman" w:hAnsi="Times New Roman" w:cs="Times New Roman"/>
          <w:i/>
        </w:rPr>
        <w:t>Money Max</w:t>
      </w:r>
      <w:r w:rsidRPr="00DD57F1">
        <w:rPr>
          <w:rFonts w:ascii="Times New Roman" w:hAnsi="Times New Roman" w:cs="Times New Roman"/>
        </w:rPr>
        <w:t xml:space="preserve"> [2016] FCAFC 148 at [82]-[83]</w:t>
      </w:r>
      <w:r>
        <w:rPr>
          <w:rFonts w:ascii="Times New Roman" w:hAnsi="Times New Roman" w:cs="Times New Roman"/>
        </w:rPr>
        <w:t>.</w:t>
      </w:r>
    </w:p>
  </w:endnote>
  <w:endnote w:id="17">
    <w:p w14:paraId="3C5062D4" w14:textId="090F0581" w:rsidR="00BA31BB" w:rsidRPr="00DD57F1" w:rsidRDefault="00BA31BB">
      <w:pPr>
        <w:pStyle w:val="EndnoteText"/>
        <w:rPr>
          <w:rFonts w:ascii="Times New Roman" w:hAnsi="Times New Roman" w:cs="Times New Roman"/>
        </w:rPr>
      </w:pPr>
      <w:r w:rsidRPr="00DD57F1">
        <w:rPr>
          <w:rStyle w:val="EndnoteReference"/>
          <w:rFonts w:ascii="Times New Roman" w:hAnsi="Times New Roman" w:cs="Times New Roman"/>
        </w:rPr>
        <w:endnoteRef/>
      </w:r>
      <w:r w:rsidRPr="00DD57F1">
        <w:rPr>
          <w:rFonts w:ascii="Times New Roman" w:hAnsi="Times New Roman" w:cs="Times New Roman"/>
        </w:rPr>
        <w:t xml:space="preserve"> </w:t>
      </w:r>
      <w:r w:rsidRPr="00DD57F1">
        <w:rPr>
          <w:rFonts w:ascii="Times New Roman" w:hAnsi="Times New Roman" w:cs="Times New Roman"/>
          <w:i/>
        </w:rPr>
        <w:t>Liverpool City Council v McGraw-Hill Financial, Inc (now known as S&amp;P Global Inc)</w:t>
      </w:r>
      <w:r w:rsidRPr="00DD57F1">
        <w:rPr>
          <w:rFonts w:ascii="Times New Roman" w:hAnsi="Times New Roman" w:cs="Times New Roman"/>
        </w:rPr>
        <w:t xml:space="preserve"> [2018] FCA 1289 at [148]</w:t>
      </w:r>
      <w:r>
        <w:rPr>
          <w:rFonts w:ascii="Times New Roman" w:hAnsi="Times New Roman" w:cs="Times New Roman"/>
        </w:rPr>
        <w:t>.</w:t>
      </w:r>
    </w:p>
  </w:endnote>
  <w:endnote w:id="18">
    <w:p w14:paraId="50C51862" w14:textId="7DDED068" w:rsidR="00BA31BB" w:rsidRPr="00DD57F1" w:rsidRDefault="00BA31BB" w:rsidP="00011D87">
      <w:pPr>
        <w:pStyle w:val="EndnoteText"/>
        <w:rPr>
          <w:rFonts w:ascii="Times New Roman" w:hAnsi="Times New Roman" w:cs="Times New Roman"/>
        </w:rPr>
      </w:pPr>
      <w:r w:rsidRPr="00DD57F1">
        <w:rPr>
          <w:rStyle w:val="EndnoteReference"/>
          <w:rFonts w:ascii="Times New Roman" w:hAnsi="Times New Roman" w:cs="Times New Roman"/>
        </w:rPr>
        <w:endnoteRef/>
      </w:r>
      <w:r w:rsidRPr="00DD57F1">
        <w:rPr>
          <w:rFonts w:ascii="Times New Roman" w:hAnsi="Times New Roman" w:cs="Times New Roman"/>
        </w:rPr>
        <w:t xml:space="preserve"> </w:t>
      </w:r>
      <w:r w:rsidRPr="00DD57F1">
        <w:rPr>
          <w:rFonts w:ascii="Times New Roman" w:hAnsi="Times New Roman" w:cs="Times New Roman"/>
          <w:i/>
        </w:rPr>
        <w:t>Money Max</w:t>
      </w:r>
      <w:r w:rsidRPr="00DD57F1">
        <w:rPr>
          <w:rFonts w:ascii="Times New Roman" w:hAnsi="Times New Roman" w:cs="Times New Roman"/>
        </w:rPr>
        <w:t xml:space="preserve"> [2016] FCAFC 148 at [8](c)</w:t>
      </w:r>
      <w:r>
        <w:rPr>
          <w:rFonts w:ascii="Times New Roman" w:hAnsi="Times New Roman" w:cs="Times New Roman"/>
        </w:rPr>
        <w:t>.</w:t>
      </w:r>
    </w:p>
  </w:endnote>
  <w:endnote w:id="19">
    <w:p w14:paraId="1D8AEAFB" w14:textId="0E3D74CF" w:rsidR="00BA31BB" w:rsidRPr="00DD57F1" w:rsidRDefault="00BA31BB" w:rsidP="00221D9E">
      <w:pPr>
        <w:pStyle w:val="EndnoteText"/>
        <w:rPr>
          <w:rFonts w:ascii="Times New Roman" w:hAnsi="Times New Roman" w:cs="Times New Roman"/>
        </w:rPr>
      </w:pPr>
      <w:r w:rsidRPr="00DD57F1">
        <w:rPr>
          <w:rStyle w:val="EndnoteReference"/>
          <w:rFonts w:ascii="Times New Roman" w:hAnsi="Times New Roman" w:cs="Times New Roman"/>
        </w:rPr>
        <w:endnoteRef/>
      </w:r>
      <w:r w:rsidRPr="00DD57F1">
        <w:rPr>
          <w:rFonts w:ascii="Times New Roman" w:hAnsi="Times New Roman" w:cs="Times New Roman"/>
        </w:rPr>
        <w:t xml:space="preserve"> </w:t>
      </w:r>
      <w:r w:rsidRPr="00DD57F1">
        <w:rPr>
          <w:rFonts w:ascii="Times New Roman" w:hAnsi="Times New Roman" w:cs="Times New Roman"/>
          <w:i/>
        </w:rPr>
        <w:t>Kelly v Willmott Forests Ltd (in liquidation) (No 5)</w:t>
      </w:r>
      <w:r w:rsidRPr="00DD57F1">
        <w:rPr>
          <w:rFonts w:ascii="Times New Roman" w:hAnsi="Times New Roman" w:cs="Times New Roman"/>
        </w:rPr>
        <w:t xml:space="preserve"> [2017] FCA 689</w:t>
      </w:r>
      <w:r>
        <w:rPr>
          <w:rFonts w:ascii="Times New Roman" w:hAnsi="Times New Roman" w:cs="Times New Roman"/>
        </w:rPr>
        <w:t>.</w:t>
      </w:r>
    </w:p>
  </w:endnote>
  <w:endnote w:id="20">
    <w:p w14:paraId="75655E1F" w14:textId="4B7FB4AC" w:rsidR="00BA31BB" w:rsidRPr="00DD57F1" w:rsidRDefault="00BA31BB">
      <w:pPr>
        <w:pStyle w:val="EndnoteText"/>
        <w:rPr>
          <w:rFonts w:ascii="Times New Roman" w:hAnsi="Times New Roman" w:cs="Times New Roman"/>
        </w:rPr>
      </w:pPr>
      <w:r w:rsidRPr="00DD57F1">
        <w:rPr>
          <w:rStyle w:val="EndnoteReference"/>
          <w:rFonts w:ascii="Times New Roman" w:hAnsi="Times New Roman" w:cs="Times New Roman"/>
        </w:rPr>
        <w:endnoteRef/>
      </w:r>
      <w:r w:rsidRPr="00DD57F1">
        <w:rPr>
          <w:rFonts w:ascii="Times New Roman" w:hAnsi="Times New Roman" w:cs="Times New Roman"/>
        </w:rPr>
        <w:t xml:space="preserve"> </w:t>
      </w:r>
      <w:r w:rsidRPr="00DD57F1">
        <w:rPr>
          <w:rFonts w:ascii="Times New Roman" w:hAnsi="Times New Roman" w:cs="Times New Roman"/>
          <w:i/>
        </w:rPr>
        <w:t xml:space="preserve">Caason </w:t>
      </w:r>
      <w:r w:rsidRPr="00DD57F1">
        <w:rPr>
          <w:rFonts w:ascii="Times New Roman" w:hAnsi="Times New Roman" w:cs="Times New Roman"/>
        </w:rPr>
        <w:t xml:space="preserve">[2018] FCA 527 at [111]-[124]; </w:t>
      </w:r>
      <w:r w:rsidRPr="00DD57F1">
        <w:rPr>
          <w:rFonts w:ascii="Times New Roman" w:hAnsi="Times New Roman" w:cs="Times New Roman"/>
          <w:i/>
        </w:rPr>
        <w:t>Lifeplan Australia Friendly Society Limited v S&amp;P Global Inc (Formerly McGraw-Hill Financial, Inc) (A Company Incorporated in New York)</w:t>
      </w:r>
      <w:r w:rsidRPr="00DD57F1">
        <w:rPr>
          <w:rFonts w:ascii="Times New Roman" w:hAnsi="Times New Roman" w:cs="Times New Roman"/>
        </w:rPr>
        <w:t xml:space="preserve"> [2018] FCA 379 at [40]-[41]; </w:t>
      </w:r>
      <w:r w:rsidRPr="00DD57F1">
        <w:rPr>
          <w:rFonts w:ascii="Times New Roman" w:hAnsi="Times New Roman" w:cs="Times New Roman"/>
          <w:i/>
        </w:rPr>
        <w:t>Dillon v RBS Group Pty Ltd (No 2)</w:t>
      </w:r>
      <w:r w:rsidRPr="00DD57F1">
        <w:rPr>
          <w:rFonts w:ascii="Times New Roman" w:hAnsi="Times New Roman" w:cs="Times New Roman"/>
        </w:rPr>
        <w:t xml:space="preserve"> [2018] FCA 395</w:t>
      </w:r>
      <w:r>
        <w:rPr>
          <w:rFonts w:ascii="Times New Roman" w:hAnsi="Times New Roman" w:cs="Times New Roman"/>
        </w:rPr>
        <w:t>;</w:t>
      </w:r>
      <w:r w:rsidRPr="00DD57F1">
        <w:rPr>
          <w:rFonts w:ascii="Times New Roman" w:hAnsi="Times New Roman" w:cs="Times New Roman"/>
        </w:rPr>
        <w:t xml:space="preserve"> </w:t>
      </w:r>
      <w:r w:rsidRPr="00DD57F1">
        <w:rPr>
          <w:rFonts w:ascii="Times New Roman" w:hAnsi="Times New Roman" w:cs="Times New Roman"/>
          <w:i/>
        </w:rPr>
        <w:t>Matthews v AusNet Pty Ltd &amp; Ors (Ruling No 40)</w:t>
      </w:r>
      <w:r w:rsidRPr="00DD57F1">
        <w:rPr>
          <w:rFonts w:ascii="Times New Roman" w:hAnsi="Times New Roman" w:cs="Times New Roman"/>
        </w:rPr>
        <w:t xml:space="preserve"> [2015] VSC 131 at [29]; </w:t>
      </w:r>
      <w:r w:rsidRPr="00DD57F1">
        <w:rPr>
          <w:rFonts w:ascii="Times New Roman" w:hAnsi="Times New Roman" w:cs="Times New Roman"/>
          <w:i/>
        </w:rPr>
        <w:t>Rowe v Ausnet Electricity Services Pty Ltd (Ruling No 9)</w:t>
      </w:r>
      <w:r w:rsidRPr="00DD57F1">
        <w:rPr>
          <w:rFonts w:ascii="Times New Roman" w:hAnsi="Times New Roman" w:cs="Times New Roman"/>
        </w:rPr>
        <w:t xml:space="preserve"> [2016] VSC 731 at [1]-[7]; </w:t>
      </w:r>
      <w:r w:rsidRPr="00DD57F1">
        <w:rPr>
          <w:rFonts w:ascii="Times New Roman" w:hAnsi="Times New Roman" w:cs="Times New Roman"/>
          <w:i/>
        </w:rPr>
        <w:t>Downie v Spiral Foods Pty Ltd &amp; Ors</w:t>
      </w:r>
      <w:r w:rsidRPr="00DD57F1">
        <w:rPr>
          <w:rFonts w:ascii="Times New Roman" w:hAnsi="Times New Roman" w:cs="Times New Roman"/>
        </w:rPr>
        <w:t xml:space="preserve"> [2016] VSC 411 at [20]; </w:t>
      </w:r>
      <w:r w:rsidRPr="00DD57F1">
        <w:rPr>
          <w:rFonts w:ascii="Times New Roman" w:hAnsi="Times New Roman" w:cs="Times New Roman"/>
          <w:i/>
        </w:rPr>
        <w:t>Matthews v AusNet Pty Ltd &amp; Ors (Ruling No 44)</w:t>
      </w:r>
      <w:r w:rsidRPr="00DD57F1">
        <w:rPr>
          <w:rFonts w:ascii="Times New Roman" w:hAnsi="Times New Roman" w:cs="Times New Roman"/>
        </w:rPr>
        <w:t xml:space="preserve"> [2016] VSC 732 at [13]</w:t>
      </w:r>
      <w:r>
        <w:rPr>
          <w:rFonts w:ascii="Times New Roman" w:hAnsi="Times New Roman" w:cs="Times New Roman"/>
        </w:rPr>
        <w:t>.</w:t>
      </w:r>
    </w:p>
  </w:endnote>
  <w:endnote w:id="21">
    <w:p w14:paraId="4CD8BB47" w14:textId="0B661CEB" w:rsidR="00BA31BB" w:rsidRPr="00DD57F1" w:rsidRDefault="00BA31BB">
      <w:pPr>
        <w:pStyle w:val="EndnoteText"/>
        <w:rPr>
          <w:rFonts w:ascii="Times New Roman" w:hAnsi="Times New Roman" w:cs="Times New Roman"/>
          <w:i/>
        </w:rPr>
      </w:pPr>
      <w:r w:rsidRPr="00DD57F1">
        <w:rPr>
          <w:rStyle w:val="EndnoteReference"/>
          <w:rFonts w:ascii="Times New Roman" w:hAnsi="Times New Roman" w:cs="Times New Roman"/>
        </w:rPr>
        <w:endnoteRef/>
      </w:r>
      <w:r w:rsidRPr="00DD57F1">
        <w:rPr>
          <w:rFonts w:ascii="Times New Roman" w:hAnsi="Times New Roman" w:cs="Times New Roman"/>
        </w:rPr>
        <w:t xml:space="preserve"> </w:t>
      </w:r>
      <w:r w:rsidRPr="00DD57F1">
        <w:rPr>
          <w:rFonts w:ascii="Times New Roman" w:hAnsi="Times New Roman" w:cs="Times New Roman"/>
          <w:i/>
        </w:rPr>
        <w:t>Money Max Int Pty Ltd v QBE Insurance Group Ltd</w:t>
      </w:r>
      <w:r w:rsidRPr="00DD57F1">
        <w:rPr>
          <w:rFonts w:ascii="Times New Roman" w:hAnsi="Times New Roman" w:cs="Times New Roman"/>
        </w:rPr>
        <w:t xml:space="preserve"> [2018] FCA 1030 </w:t>
      </w:r>
      <w:r w:rsidRPr="002D1860">
        <w:rPr>
          <w:rFonts w:ascii="Times New Roman" w:hAnsi="Times New Roman" w:cs="Times New Roman"/>
        </w:rPr>
        <w:t>(</w:t>
      </w:r>
      <w:r w:rsidRPr="002D1860">
        <w:rPr>
          <w:rFonts w:ascii="Times New Roman" w:hAnsi="Times New Roman" w:cs="Times New Roman"/>
          <w:b/>
          <w:i/>
        </w:rPr>
        <w:t>Money Max Settlement Approval</w:t>
      </w:r>
      <w:r w:rsidRPr="002D1860">
        <w:rPr>
          <w:rFonts w:ascii="Times New Roman" w:hAnsi="Times New Roman" w:cs="Times New Roman"/>
        </w:rPr>
        <w:t>)</w:t>
      </w:r>
      <w:r>
        <w:rPr>
          <w:rFonts w:ascii="Times New Roman" w:hAnsi="Times New Roman" w:cs="Times New Roman"/>
        </w:rPr>
        <w:t xml:space="preserve"> at [160]-[180]</w:t>
      </w:r>
      <w:r>
        <w:rPr>
          <w:rFonts w:ascii="Times New Roman" w:hAnsi="Times New Roman" w:cs="Times New Roman"/>
          <w:i/>
        </w:rPr>
        <w:t>.</w:t>
      </w:r>
    </w:p>
  </w:endnote>
  <w:endnote w:id="22">
    <w:p w14:paraId="319581EA" w14:textId="6B2004D3" w:rsidR="00BA31BB" w:rsidRPr="00DD57F1" w:rsidRDefault="00BA31BB" w:rsidP="005021E8">
      <w:pPr>
        <w:pStyle w:val="EndnoteText"/>
        <w:rPr>
          <w:rFonts w:ascii="Times New Roman" w:hAnsi="Times New Roman" w:cs="Times New Roman"/>
        </w:rPr>
      </w:pPr>
      <w:r w:rsidRPr="00DD57F1">
        <w:rPr>
          <w:rStyle w:val="EndnoteReference"/>
          <w:rFonts w:ascii="Times New Roman" w:hAnsi="Times New Roman" w:cs="Times New Roman"/>
        </w:rPr>
        <w:endnoteRef/>
      </w:r>
      <w:r w:rsidRPr="00DD57F1">
        <w:rPr>
          <w:rFonts w:ascii="Times New Roman" w:hAnsi="Times New Roman" w:cs="Times New Roman"/>
        </w:rPr>
        <w:t xml:space="preserve"> </w:t>
      </w:r>
      <w:r w:rsidRPr="00DD57F1">
        <w:rPr>
          <w:rFonts w:ascii="Times New Roman" w:hAnsi="Times New Roman" w:cs="Times New Roman"/>
          <w:i/>
        </w:rPr>
        <w:t>Peters</w:t>
      </w:r>
      <w:r>
        <w:rPr>
          <w:rFonts w:ascii="Times New Roman" w:hAnsi="Times New Roman" w:cs="Times New Roman"/>
          <w:i/>
        </w:rPr>
        <w:t>e</w:t>
      </w:r>
      <w:r w:rsidRPr="00DD57F1">
        <w:rPr>
          <w:rFonts w:ascii="Times New Roman" w:hAnsi="Times New Roman" w:cs="Times New Roman"/>
          <w:i/>
        </w:rPr>
        <w:t>n v Bank of Queensland</w:t>
      </w:r>
      <w:r w:rsidRPr="00DD57F1">
        <w:rPr>
          <w:rFonts w:ascii="Times New Roman" w:hAnsi="Times New Roman" w:cs="Times New Roman"/>
        </w:rPr>
        <w:t xml:space="preserve">; </w:t>
      </w:r>
      <w:r w:rsidRPr="00DD57F1">
        <w:rPr>
          <w:rFonts w:ascii="Times New Roman" w:hAnsi="Times New Roman" w:cs="Times New Roman"/>
          <w:i/>
        </w:rPr>
        <w:t>Clarke v Sandhurst Trustees Limited (No 2)</w:t>
      </w:r>
      <w:r w:rsidRPr="00DD57F1">
        <w:rPr>
          <w:rFonts w:ascii="Times New Roman" w:hAnsi="Times New Roman" w:cs="Times New Roman"/>
        </w:rPr>
        <w:t xml:space="preserve"> [2018] FCA 511</w:t>
      </w:r>
      <w:r>
        <w:rPr>
          <w:rFonts w:ascii="Times New Roman" w:hAnsi="Times New Roman" w:cs="Times New Roman"/>
        </w:rPr>
        <w:t>.</w:t>
      </w:r>
    </w:p>
  </w:endnote>
  <w:endnote w:id="23">
    <w:p w14:paraId="4FA5AFCB" w14:textId="78F8A105" w:rsidR="00BA31BB" w:rsidRPr="00DD57F1" w:rsidRDefault="00BA31BB" w:rsidP="00221D9E">
      <w:pPr>
        <w:pStyle w:val="EndnoteText"/>
        <w:rPr>
          <w:rFonts w:ascii="Times New Roman" w:hAnsi="Times New Roman" w:cs="Times New Roman"/>
        </w:rPr>
      </w:pPr>
      <w:r w:rsidRPr="00DD57F1">
        <w:rPr>
          <w:rStyle w:val="EndnoteReference"/>
          <w:rFonts w:ascii="Times New Roman" w:hAnsi="Times New Roman" w:cs="Times New Roman"/>
        </w:rPr>
        <w:endnoteRef/>
      </w:r>
      <w:r w:rsidRPr="00DD57F1">
        <w:rPr>
          <w:rFonts w:ascii="Times New Roman" w:hAnsi="Times New Roman" w:cs="Times New Roman"/>
        </w:rPr>
        <w:t xml:space="preserve"> </w:t>
      </w:r>
      <w:r w:rsidRPr="00DD57F1">
        <w:rPr>
          <w:rFonts w:ascii="Times New Roman" w:hAnsi="Times New Roman" w:cs="Times New Roman"/>
          <w:i/>
        </w:rPr>
        <w:t xml:space="preserve">Caason </w:t>
      </w:r>
      <w:r w:rsidRPr="00DD57F1">
        <w:rPr>
          <w:rFonts w:ascii="Times New Roman" w:hAnsi="Times New Roman" w:cs="Times New Roman"/>
        </w:rPr>
        <w:t>at [157]</w:t>
      </w:r>
      <w:r>
        <w:rPr>
          <w:rFonts w:ascii="Times New Roman" w:hAnsi="Times New Roman" w:cs="Times New Roman"/>
        </w:rPr>
        <w:t>.</w:t>
      </w:r>
    </w:p>
  </w:endnote>
  <w:endnote w:id="24">
    <w:p w14:paraId="7EDD6FEE" w14:textId="77777777" w:rsidR="00BA31BB" w:rsidRPr="00DD57F1" w:rsidRDefault="00BA31BB">
      <w:pPr>
        <w:pStyle w:val="EndnoteText"/>
        <w:rPr>
          <w:rFonts w:ascii="Times New Roman" w:hAnsi="Times New Roman" w:cs="Times New Roman"/>
        </w:rPr>
      </w:pPr>
      <w:r w:rsidRPr="00DD57F1">
        <w:rPr>
          <w:rStyle w:val="EndnoteReference"/>
          <w:rFonts w:ascii="Times New Roman" w:hAnsi="Times New Roman" w:cs="Times New Roman"/>
        </w:rPr>
        <w:endnoteRef/>
      </w:r>
      <w:r w:rsidRPr="00DD57F1">
        <w:rPr>
          <w:rFonts w:ascii="Times New Roman" w:hAnsi="Times New Roman" w:cs="Times New Roman"/>
        </w:rPr>
        <w:t xml:space="preserve"> Australian Law Reform Commission, </w:t>
      </w:r>
      <w:r w:rsidRPr="00DD57F1">
        <w:rPr>
          <w:rFonts w:ascii="Times New Roman" w:hAnsi="Times New Roman" w:cs="Times New Roman"/>
          <w:i/>
        </w:rPr>
        <w:t>Grouped Proceedings in the Federal Court</w:t>
      </w:r>
      <w:r w:rsidRPr="00DD57F1">
        <w:rPr>
          <w:rFonts w:ascii="Times New Roman" w:hAnsi="Times New Roman" w:cs="Times New Roman"/>
        </w:rPr>
        <w:t>, Report No 46, 1988, at [318].</w:t>
      </w:r>
    </w:p>
  </w:endnote>
  <w:endnote w:id="25">
    <w:p w14:paraId="1A0DB4E5" w14:textId="4120AF5F" w:rsidR="00BA31BB" w:rsidRPr="00DD57F1" w:rsidRDefault="00BA31BB">
      <w:pPr>
        <w:pStyle w:val="EndnoteText"/>
        <w:rPr>
          <w:rFonts w:ascii="Times New Roman" w:hAnsi="Times New Roman" w:cs="Times New Roman"/>
        </w:rPr>
      </w:pPr>
      <w:r w:rsidRPr="00DD57F1">
        <w:rPr>
          <w:rStyle w:val="EndnoteReference"/>
          <w:rFonts w:ascii="Times New Roman" w:hAnsi="Times New Roman" w:cs="Times New Roman"/>
        </w:rPr>
        <w:endnoteRef/>
      </w:r>
      <w:r w:rsidRPr="00DD57F1">
        <w:rPr>
          <w:rFonts w:ascii="Times New Roman" w:hAnsi="Times New Roman" w:cs="Times New Roman"/>
        </w:rPr>
        <w:t xml:space="preserve"> </w:t>
      </w:r>
      <w:r w:rsidRPr="00DD57F1">
        <w:rPr>
          <w:rFonts w:ascii="Times New Roman" w:hAnsi="Times New Roman" w:cs="Times New Roman"/>
          <w:i/>
        </w:rPr>
        <w:t>Money Max</w:t>
      </w:r>
      <w:r w:rsidRPr="00DD57F1">
        <w:rPr>
          <w:rFonts w:ascii="Times New Roman" w:hAnsi="Times New Roman" w:cs="Times New Roman"/>
        </w:rPr>
        <w:t xml:space="preserve"> [2016] FCAFC 148 at [193], citing </w:t>
      </w:r>
      <w:r w:rsidRPr="00DD57F1">
        <w:rPr>
          <w:rFonts w:ascii="Times New Roman" w:hAnsi="Times New Roman" w:cs="Times New Roman"/>
          <w:i/>
        </w:rPr>
        <w:t>Multiplex Funds Management Ltd v P Dawson Nominees Pty Ltd</w:t>
      </w:r>
      <w:r w:rsidRPr="00DD57F1">
        <w:rPr>
          <w:rFonts w:ascii="Times New Roman" w:hAnsi="Times New Roman" w:cs="Times New Roman"/>
        </w:rPr>
        <w:t xml:space="preserve"> </w:t>
      </w:r>
      <w:r w:rsidRPr="0063360A">
        <w:rPr>
          <w:rFonts w:ascii="Times New Roman" w:hAnsi="Times New Roman" w:cs="Times New Roman"/>
        </w:rPr>
        <w:t>[2007] FCAFC 200</w:t>
      </w:r>
      <w:r>
        <w:rPr>
          <w:rFonts w:ascii="Times New Roman" w:hAnsi="Times New Roman" w:cs="Times New Roman"/>
        </w:rPr>
        <w:t>;</w:t>
      </w:r>
      <w:r w:rsidRPr="0063360A">
        <w:rPr>
          <w:rFonts w:ascii="Times New Roman" w:hAnsi="Times New Roman" w:cs="Times New Roman"/>
        </w:rPr>
        <w:t xml:space="preserve"> </w:t>
      </w:r>
      <w:r w:rsidRPr="00DD57F1">
        <w:rPr>
          <w:rFonts w:ascii="Times New Roman" w:hAnsi="Times New Roman" w:cs="Times New Roman"/>
        </w:rPr>
        <w:t>(2007) 164 FCR 275 at [116]-[117] (Jacobson J).</w:t>
      </w:r>
    </w:p>
  </w:endnote>
  <w:endnote w:id="26">
    <w:p w14:paraId="1AE166CC" w14:textId="30682051" w:rsidR="00BA31BB" w:rsidRPr="00DD57F1" w:rsidRDefault="00BA31BB" w:rsidP="004B7EF3">
      <w:pPr>
        <w:pStyle w:val="EndnoteText"/>
        <w:rPr>
          <w:rFonts w:ascii="Times New Roman" w:hAnsi="Times New Roman" w:cs="Times New Roman"/>
        </w:rPr>
      </w:pPr>
      <w:r w:rsidRPr="00DD57F1">
        <w:rPr>
          <w:rStyle w:val="EndnoteReference"/>
          <w:rFonts w:ascii="Times New Roman" w:hAnsi="Times New Roman" w:cs="Times New Roman"/>
        </w:rPr>
        <w:endnoteRef/>
      </w:r>
      <w:r w:rsidRPr="00DD57F1">
        <w:rPr>
          <w:rFonts w:ascii="Times New Roman" w:hAnsi="Times New Roman" w:cs="Times New Roman"/>
        </w:rPr>
        <w:t xml:space="preserve"> </w:t>
      </w:r>
      <w:r w:rsidRPr="00DD57F1">
        <w:rPr>
          <w:rFonts w:ascii="Times New Roman" w:hAnsi="Times New Roman" w:cs="Times New Roman"/>
          <w:i/>
        </w:rPr>
        <w:t>Money Max</w:t>
      </w:r>
      <w:r w:rsidRPr="00DD57F1">
        <w:rPr>
          <w:rFonts w:ascii="Times New Roman" w:hAnsi="Times New Roman" w:cs="Times New Roman"/>
        </w:rPr>
        <w:t xml:space="preserve"> [2016] FCAFC 148 at [14]</w:t>
      </w:r>
      <w:r>
        <w:rPr>
          <w:rFonts w:ascii="Times New Roman" w:hAnsi="Times New Roman" w:cs="Times New Roman"/>
        </w:rPr>
        <w:t>.</w:t>
      </w:r>
    </w:p>
  </w:endnote>
  <w:endnote w:id="27">
    <w:p w14:paraId="04CAA2DF" w14:textId="1C898E22" w:rsidR="00BA31BB" w:rsidRPr="00DD57F1" w:rsidRDefault="00BA31BB">
      <w:pPr>
        <w:pStyle w:val="EndnoteText"/>
        <w:rPr>
          <w:rFonts w:ascii="Times New Roman" w:hAnsi="Times New Roman" w:cs="Times New Roman"/>
        </w:rPr>
      </w:pPr>
      <w:r w:rsidRPr="00DD57F1">
        <w:rPr>
          <w:rStyle w:val="EndnoteReference"/>
          <w:rFonts w:ascii="Times New Roman" w:hAnsi="Times New Roman" w:cs="Times New Roman"/>
        </w:rPr>
        <w:endnoteRef/>
      </w:r>
      <w:r w:rsidRPr="00DD57F1">
        <w:rPr>
          <w:rFonts w:ascii="Times New Roman" w:hAnsi="Times New Roman" w:cs="Times New Roman"/>
        </w:rPr>
        <w:t xml:space="preserve"> </w:t>
      </w:r>
      <w:r>
        <w:rPr>
          <w:rFonts w:ascii="Times New Roman" w:hAnsi="Times New Roman" w:cs="Times New Roman"/>
        </w:rPr>
        <w:t xml:space="preserve">Morabito, V, </w:t>
      </w:r>
      <w:r>
        <w:rPr>
          <w:rFonts w:ascii="Times New Roman" w:hAnsi="Times New Roman" w:cs="Times New Roman"/>
          <w:i/>
        </w:rPr>
        <w:t xml:space="preserve">Closed Class Actions, Open Class Actions and Access to Justice </w:t>
      </w:r>
      <w:r>
        <w:rPr>
          <w:rFonts w:ascii="Times New Roman" w:hAnsi="Times New Roman" w:cs="Times New Roman"/>
        </w:rPr>
        <w:t>(</w:t>
      </w:r>
      <w:r w:rsidRPr="00DD57F1">
        <w:rPr>
          <w:rFonts w:ascii="Times New Roman" w:hAnsi="Times New Roman" w:cs="Times New Roman"/>
        </w:rPr>
        <w:t>Seventh Empirical Report</w:t>
      </w:r>
      <w:r>
        <w:rPr>
          <w:rFonts w:ascii="Times New Roman" w:hAnsi="Times New Roman" w:cs="Times New Roman"/>
        </w:rPr>
        <w:t>)</w:t>
      </w:r>
      <w:r w:rsidRPr="00DD57F1">
        <w:rPr>
          <w:rFonts w:ascii="Times New Roman" w:hAnsi="Times New Roman" w:cs="Times New Roman"/>
        </w:rPr>
        <w:t>, 9-10</w:t>
      </w:r>
      <w:r>
        <w:rPr>
          <w:rFonts w:ascii="Times New Roman" w:hAnsi="Times New Roman" w:cs="Times New Roman"/>
        </w:rPr>
        <w:t>.</w:t>
      </w:r>
    </w:p>
  </w:endnote>
  <w:endnote w:id="28">
    <w:p w14:paraId="1F953287" w14:textId="1093EBDB" w:rsidR="00BA31BB" w:rsidRPr="00DD57F1" w:rsidRDefault="00BA31BB" w:rsidP="00232116">
      <w:pPr>
        <w:pStyle w:val="EndnoteText"/>
        <w:rPr>
          <w:rFonts w:ascii="Times New Roman" w:hAnsi="Times New Roman" w:cs="Times New Roman"/>
        </w:rPr>
      </w:pPr>
      <w:r w:rsidRPr="00DD57F1">
        <w:rPr>
          <w:rStyle w:val="EndnoteReference"/>
          <w:rFonts w:ascii="Times New Roman" w:hAnsi="Times New Roman" w:cs="Times New Roman"/>
        </w:rPr>
        <w:endnoteRef/>
      </w:r>
      <w:r w:rsidRPr="00DD57F1">
        <w:rPr>
          <w:rFonts w:ascii="Times New Roman" w:hAnsi="Times New Roman" w:cs="Times New Roman"/>
        </w:rPr>
        <w:t xml:space="preserve"> (2017) 355 ALR 392; [2017] FCAFC 98 at [75]-[76]</w:t>
      </w:r>
      <w:r>
        <w:rPr>
          <w:rFonts w:ascii="Times New Roman" w:hAnsi="Times New Roman" w:cs="Times New Roman"/>
        </w:rPr>
        <w:t>.</w:t>
      </w:r>
    </w:p>
  </w:endnote>
  <w:endnote w:id="29">
    <w:p w14:paraId="4624E6CD" w14:textId="540EC7CD" w:rsidR="00BA31BB" w:rsidRPr="00DD57F1" w:rsidRDefault="00BA31BB" w:rsidP="00760C37">
      <w:pPr>
        <w:pStyle w:val="EndnoteText"/>
        <w:rPr>
          <w:rFonts w:ascii="Times New Roman" w:hAnsi="Times New Roman" w:cs="Times New Roman"/>
        </w:rPr>
      </w:pPr>
      <w:r w:rsidRPr="00DD57F1">
        <w:rPr>
          <w:rStyle w:val="EndnoteReference"/>
          <w:rFonts w:ascii="Times New Roman" w:hAnsi="Times New Roman" w:cs="Times New Roman"/>
        </w:rPr>
        <w:endnoteRef/>
      </w:r>
      <w:r w:rsidRPr="00DD57F1">
        <w:rPr>
          <w:rFonts w:ascii="Times New Roman" w:hAnsi="Times New Roman" w:cs="Times New Roman"/>
        </w:rPr>
        <w:t xml:space="preserve"> [2018] FCA 1467 at [13]</w:t>
      </w:r>
      <w:r>
        <w:rPr>
          <w:rFonts w:ascii="Times New Roman" w:hAnsi="Times New Roman" w:cs="Times New Roman"/>
        </w:rPr>
        <w:t>.</w:t>
      </w:r>
    </w:p>
  </w:endnote>
  <w:endnote w:id="30">
    <w:p w14:paraId="1DB6C716" w14:textId="2A876544" w:rsidR="00BA31BB" w:rsidRPr="00DD57F1" w:rsidRDefault="00BA31BB" w:rsidP="004D725F">
      <w:pPr>
        <w:pStyle w:val="EndnoteText"/>
        <w:rPr>
          <w:rFonts w:ascii="Times New Roman" w:hAnsi="Times New Roman" w:cs="Times New Roman"/>
        </w:rPr>
      </w:pPr>
      <w:r w:rsidRPr="00DD57F1">
        <w:rPr>
          <w:rStyle w:val="EndnoteReference"/>
          <w:rFonts w:ascii="Times New Roman" w:hAnsi="Times New Roman" w:cs="Times New Roman"/>
        </w:rPr>
        <w:endnoteRef/>
      </w:r>
      <w:r w:rsidRPr="00DD57F1">
        <w:rPr>
          <w:rFonts w:ascii="Times New Roman" w:hAnsi="Times New Roman" w:cs="Times New Roman"/>
        </w:rPr>
        <w:t xml:space="preserve"> </w:t>
      </w:r>
      <w:r w:rsidRPr="00DD57F1">
        <w:rPr>
          <w:rFonts w:ascii="Times New Roman" w:hAnsi="Times New Roman" w:cs="Times New Roman"/>
          <w:i/>
        </w:rPr>
        <w:t>Modtech Engineering Pty Ltd v GPT Management Holdings Ltd</w:t>
      </w:r>
      <w:r w:rsidRPr="00DD57F1">
        <w:rPr>
          <w:rFonts w:ascii="Times New Roman" w:hAnsi="Times New Roman" w:cs="Times New Roman"/>
        </w:rPr>
        <w:t xml:space="preserve"> [2013] FCA 626</w:t>
      </w:r>
      <w:r>
        <w:rPr>
          <w:rFonts w:ascii="Times New Roman" w:hAnsi="Times New Roman" w:cs="Times New Roman"/>
        </w:rPr>
        <w:t xml:space="preserve"> (</w:t>
      </w:r>
      <w:r>
        <w:rPr>
          <w:rFonts w:ascii="Times New Roman" w:hAnsi="Times New Roman" w:cs="Times New Roman"/>
          <w:b/>
          <w:i/>
        </w:rPr>
        <w:t>Modtech</w:t>
      </w:r>
      <w:r>
        <w:rPr>
          <w:rFonts w:ascii="Times New Roman" w:hAnsi="Times New Roman" w:cs="Times New Roman"/>
        </w:rPr>
        <w:t>);</w:t>
      </w:r>
      <w:r w:rsidRPr="00DD57F1">
        <w:rPr>
          <w:rFonts w:ascii="Times New Roman" w:hAnsi="Times New Roman" w:cs="Times New Roman"/>
        </w:rPr>
        <w:t xml:space="preserve"> </w:t>
      </w:r>
      <w:r w:rsidRPr="00DD57F1">
        <w:rPr>
          <w:rFonts w:ascii="Times New Roman" w:hAnsi="Times New Roman" w:cs="Times New Roman"/>
          <w:i/>
        </w:rPr>
        <w:t xml:space="preserve">Matthews v AusNet Electricity Services Pty Ltd </w:t>
      </w:r>
      <w:r w:rsidRPr="00DD57F1">
        <w:rPr>
          <w:rFonts w:ascii="Times New Roman" w:hAnsi="Times New Roman" w:cs="Times New Roman"/>
        </w:rPr>
        <w:t xml:space="preserve">[2014] VSC 663; </w:t>
      </w:r>
      <w:r w:rsidRPr="00DD57F1">
        <w:rPr>
          <w:rFonts w:ascii="Times New Roman" w:hAnsi="Times New Roman" w:cs="Times New Roman"/>
          <w:i/>
        </w:rPr>
        <w:t>Downie v Spiral Foods Pty Ltd</w:t>
      </w:r>
      <w:r w:rsidRPr="00DD57F1">
        <w:rPr>
          <w:rFonts w:ascii="Times New Roman" w:hAnsi="Times New Roman" w:cs="Times New Roman"/>
        </w:rPr>
        <w:t xml:space="preserve"> [2015] VSC 190; </w:t>
      </w:r>
      <w:r w:rsidRPr="002D1860">
        <w:rPr>
          <w:rFonts w:ascii="Times New Roman" w:hAnsi="Times New Roman" w:cs="Times New Roman"/>
          <w:i/>
        </w:rPr>
        <w:t>Kelly No 4</w:t>
      </w:r>
      <w:r w:rsidRPr="00DD57F1">
        <w:rPr>
          <w:rFonts w:ascii="Times New Roman" w:hAnsi="Times New Roman" w:cs="Times New Roman"/>
        </w:rPr>
        <w:t xml:space="preserve"> (2016) 335 ALR 439; </w:t>
      </w:r>
      <w:r w:rsidRPr="00DD57F1">
        <w:rPr>
          <w:rFonts w:ascii="Times New Roman" w:hAnsi="Times New Roman" w:cs="Times New Roman"/>
          <w:i/>
        </w:rPr>
        <w:t>Hodges v Waters (No 7)</w:t>
      </w:r>
      <w:r w:rsidRPr="00DD57F1">
        <w:rPr>
          <w:rFonts w:ascii="Times New Roman" w:hAnsi="Times New Roman" w:cs="Times New Roman"/>
        </w:rPr>
        <w:t xml:space="preserve"> (2015) 232 FCR 97; </w:t>
      </w:r>
      <w:r w:rsidRPr="00DD57F1">
        <w:rPr>
          <w:rFonts w:ascii="Times New Roman" w:hAnsi="Times New Roman" w:cs="Times New Roman"/>
          <w:i/>
        </w:rPr>
        <w:t>Earglow</w:t>
      </w:r>
      <w:r w:rsidRPr="00DD57F1">
        <w:rPr>
          <w:rFonts w:ascii="Times New Roman" w:hAnsi="Times New Roman" w:cs="Times New Roman"/>
        </w:rPr>
        <w:t xml:space="preserve"> [2016] FCA 1433; </w:t>
      </w:r>
      <w:r w:rsidRPr="00DD57F1">
        <w:rPr>
          <w:rFonts w:ascii="Times New Roman" w:hAnsi="Times New Roman" w:cs="Times New Roman"/>
          <w:i/>
        </w:rPr>
        <w:t>Newstart 123 Pty Ltd v Billabong International Ltd</w:t>
      </w:r>
      <w:r w:rsidRPr="00DD57F1">
        <w:rPr>
          <w:rFonts w:ascii="Times New Roman" w:hAnsi="Times New Roman" w:cs="Times New Roman"/>
        </w:rPr>
        <w:t xml:space="preserve"> [2016] FCA 1194; </w:t>
      </w:r>
      <w:r w:rsidRPr="00DD57F1">
        <w:rPr>
          <w:rFonts w:ascii="Times New Roman" w:hAnsi="Times New Roman" w:cs="Times New Roman"/>
          <w:i/>
        </w:rPr>
        <w:t>Stanford v DePuy International Ltd (No 6)</w:t>
      </w:r>
      <w:r w:rsidRPr="00DD57F1">
        <w:rPr>
          <w:rFonts w:ascii="Times New Roman" w:hAnsi="Times New Roman" w:cs="Times New Roman"/>
        </w:rPr>
        <w:t xml:space="preserve"> [2016] FCA 1452.</w:t>
      </w:r>
    </w:p>
  </w:endnote>
  <w:endnote w:id="31">
    <w:p w14:paraId="08005C61" w14:textId="77777777" w:rsidR="00BA31BB" w:rsidRPr="00DD57F1" w:rsidRDefault="00BA31BB" w:rsidP="004D725F">
      <w:pPr>
        <w:pStyle w:val="EndnoteText"/>
        <w:rPr>
          <w:rFonts w:ascii="Times New Roman" w:hAnsi="Times New Roman" w:cs="Times New Roman"/>
        </w:rPr>
      </w:pPr>
      <w:r w:rsidRPr="00DD57F1">
        <w:rPr>
          <w:rStyle w:val="EndnoteReference"/>
          <w:rFonts w:ascii="Times New Roman" w:hAnsi="Times New Roman" w:cs="Times New Roman"/>
        </w:rPr>
        <w:endnoteRef/>
      </w:r>
      <w:r w:rsidRPr="00DD57F1">
        <w:rPr>
          <w:rFonts w:ascii="Times New Roman" w:hAnsi="Times New Roman" w:cs="Times New Roman"/>
        </w:rPr>
        <w:t xml:space="preserve"> </w:t>
      </w:r>
      <w:r w:rsidRPr="00DD57F1">
        <w:rPr>
          <w:rFonts w:ascii="Times New Roman" w:hAnsi="Times New Roman" w:cs="Times New Roman"/>
          <w:i/>
        </w:rPr>
        <w:t xml:space="preserve">Casey v DePuy International Ltd (No 2) </w:t>
      </w:r>
      <w:r w:rsidRPr="00DD57F1">
        <w:rPr>
          <w:rFonts w:ascii="Times New Roman" w:hAnsi="Times New Roman" w:cs="Times New Roman"/>
        </w:rPr>
        <w:t>[2012] FCA 1370 at [15]</w:t>
      </w:r>
      <w:r w:rsidRPr="002D1860">
        <w:rPr>
          <w:rFonts w:ascii="Times New Roman" w:hAnsi="Times New Roman" w:cs="Times New Roman"/>
        </w:rPr>
        <w:t>;</w:t>
      </w:r>
      <w:r w:rsidRPr="00DD57F1">
        <w:rPr>
          <w:rFonts w:ascii="Times New Roman" w:hAnsi="Times New Roman" w:cs="Times New Roman"/>
          <w:i/>
        </w:rPr>
        <w:t xml:space="preserve"> Winterford v Pfizer Australia Pty Ltd </w:t>
      </w:r>
      <w:r w:rsidRPr="00DD57F1">
        <w:rPr>
          <w:rFonts w:ascii="Times New Roman" w:hAnsi="Times New Roman" w:cs="Times New Roman"/>
        </w:rPr>
        <w:t>[2015] FCA 426 at [25]</w:t>
      </w:r>
      <w:r w:rsidRPr="006D6498">
        <w:rPr>
          <w:rFonts w:ascii="Times New Roman" w:hAnsi="Times New Roman" w:cs="Times New Roman"/>
        </w:rPr>
        <w:t>;</w:t>
      </w:r>
      <w:r w:rsidRPr="00DD57F1">
        <w:rPr>
          <w:rFonts w:ascii="Times New Roman" w:hAnsi="Times New Roman" w:cs="Times New Roman"/>
          <w:i/>
        </w:rPr>
        <w:t xml:space="preserve"> Modtech </w:t>
      </w:r>
      <w:r w:rsidRPr="00DD57F1">
        <w:rPr>
          <w:rFonts w:ascii="Times New Roman" w:hAnsi="Times New Roman" w:cs="Times New Roman"/>
        </w:rPr>
        <w:t>[2013] FCA 626</w:t>
      </w:r>
      <w:r w:rsidRPr="0063360A">
        <w:rPr>
          <w:rFonts w:ascii="Times New Roman" w:hAnsi="Times New Roman" w:cs="Times New Roman"/>
        </w:rPr>
        <w:t>;</w:t>
      </w:r>
      <w:r w:rsidRPr="00DD57F1">
        <w:rPr>
          <w:rFonts w:ascii="Times New Roman" w:hAnsi="Times New Roman" w:cs="Times New Roman"/>
          <w:i/>
        </w:rPr>
        <w:t xml:space="preserve"> Kelly No 4 </w:t>
      </w:r>
      <w:r w:rsidRPr="0063360A">
        <w:rPr>
          <w:rFonts w:ascii="Times New Roman" w:hAnsi="Times New Roman" w:cs="Times New Roman"/>
        </w:rPr>
        <w:t>(</w:t>
      </w:r>
      <w:r w:rsidRPr="00DD57F1">
        <w:rPr>
          <w:rFonts w:ascii="Times New Roman" w:hAnsi="Times New Roman" w:cs="Times New Roman"/>
        </w:rPr>
        <w:t>2016) 335 ALR 439</w:t>
      </w:r>
      <w:r w:rsidRPr="006D6498">
        <w:rPr>
          <w:rFonts w:ascii="Times New Roman" w:hAnsi="Times New Roman" w:cs="Times New Roman"/>
        </w:rPr>
        <w:t>;</w:t>
      </w:r>
      <w:r w:rsidRPr="00DD57F1">
        <w:rPr>
          <w:rFonts w:ascii="Times New Roman" w:hAnsi="Times New Roman" w:cs="Times New Roman"/>
          <w:i/>
        </w:rPr>
        <w:t xml:space="preserve"> Earglow </w:t>
      </w:r>
      <w:r w:rsidRPr="00DD57F1">
        <w:rPr>
          <w:rFonts w:ascii="Times New Roman" w:hAnsi="Times New Roman" w:cs="Times New Roman"/>
        </w:rPr>
        <w:t>[2016] FCA 1433.</w:t>
      </w:r>
    </w:p>
  </w:endnote>
  <w:endnote w:id="32">
    <w:p w14:paraId="10E4B05C" w14:textId="34CA3279" w:rsidR="00BA31BB" w:rsidRPr="00DD57F1" w:rsidRDefault="00BA31BB" w:rsidP="004D725F">
      <w:pPr>
        <w:pStyle w:val="EndnoteText"/>
        <w:rPr>
          <w:rFonts w:ascii="Times New Roman" w:hAnsi="Times New Roman" w:cs="Times New Roman"/>
        </w:rPr>
      </w:pPr>
      <w:r w:rsidRPr="00DD57F1">
        <w:rPr>
          <w:rStyle w:val="EndnoteReference"/>
          <w:rFonts w:ascii="Times New Roman" w:hAnsi="Times New Roman" w:cs="Times New Roman"/>
        </w:rPr>
        <w:endnoteRef/>
      </w:r>
      <w:r w:rsidRPr="00DD57F1">
        <w:rPr>
          <w:rFonts w:ascii="Times New Roman" w:hAnsi="Times New Roman" w:cs="Times New Roman"/>
          <w:i/>
        </w:rPr>
        <w:t>Kelly v Willm</w:t>
      </w:r>
      <w:r>
        <w:rPr>
          <w:rFonts w:ascii="Times New Roman" w:hAnsi="Times New Roman" w:cs="Times New Roman"/>
          <w:i/>
        </w:rPr>
        <w:t>ott Forests Ltd (in liquidation)</w:t>
      </w:r>
      <w:r w:rsidRPr="00DD57F1">
        <w:rPr>
          <w:rFonts w:ascii="Times New Roman" w:hAnsi="Times New Roman" w:cs="Times New Roman"/>
          <w:i/>
        </w:rPr>
        <w:t xml:space="preserve"> (No 4)</w:t>
      </w:r>
      <w:r w:rsidRPr="00DD57F1">
        <w:rPr>
          <w:rFonts w:ascii="Times New Roman" w:hAnsi="Times New Roman" w:cs="Times New Roman"/>
        </w:rPr>
        <w:t xml:space="preserve"> (2016) 335 ALR 439 at [4]; </w:t>
      </w:r>
      <w:r w:rsidRPr="00DD57F1">
        <w:rPr>
          <w:rFonts w:ascii="Times New Roman" w:hAnsi="Times New Roman" w:cs="Times New Roman"/>
          <w:i/>
        </w:rPr>
        <w:t xml:space="preserve">Bolitho v Banksia Securities Ltd (in </w:t>
      </w:r>
      <w:r w:rsidRPr="006D6498">
        <w:rPr>
          <w:rFonts w:ascii="Times New Roman" w:hAnsi="Times New Roman" w:cs="Times New Roman"/>
          <w:i/>
        </w:rPr>
        <w:t>liquidation) (receivers</w:t>
      </w:r>
      <w:r w:rsidRPr="00DD57F1">
        <w:rPr>
          <w:rFonts w:ascii="Times New Roman" w:hAnsi="Times New Roman" w:cs="Times New Roman"/>
          <w:i/>
        </w:rPr>
        <w:t xml:space="preserve"> and managers appointed)</w:t>
      </w:r>
      <w:r w:rsidRPr="00DD57F1">
        <w:rPr>
          <w:rFonts w:ascii="Times New Roman" w:hAnsi="Times New Roman" w:cs="Times New Roman"/>
        </w:rPr>
        <w:t xml:space="preserve"> Order 13, Orders of Justice Robson, Supreme Court of Victoria, 2 June 2016</w:t>
      </w:r>
      <w:r>
        <w:rPr>
          <w:rFonts w:ascii="Times New Roman" w:hAnsi="Times New Roman" w:cs="Times New Roman"/>
        </w:rPr>
        <w:t>.</w:t>
      </w:r>
    </w:p>
  </w:endnote>
  <w:endnote w:id="33">
    <w:p w14:paraId="304E78F6" w14:textId="2082F206" w:rsidR="00BA31BB" w:rsidRPr="00DD57F1" w:rsidRDefault="00BA31BB" w:rsidP="004D725F">
      <w:pPr>
        <w:pStyle w:val="EndnoteText"/>
        <w:rPr>
          <w:rFonts w:ascii="Times New Roman" w:hAnsi="Times New Roman" w:cs="Times New Roman"/>
        </w:rPr>
      </w:pPr>
      <w:r w:rsidRPr="00DD57F1">
        <w:rPr>
          <w:rStyle w:val="EndnoteReference"/>
          <w:rFonts w:ascii="Times New Roman" w:hAnsi="Times New Roman" w:cs="Times New Roman"/>
        </w:rPr>
        <w:endnoteRef/>
      </w:r>
      <w:r w:rsidRPr="00DD57F1">
        <w:rPr>
          <w:rFonts w:ascii="Times New Roman" w:hAnsi="Times New Roman" w:cs="Times New Roman"/>
        </w:rPr>
        <w:t xml:space="preserve"> </w:t>
      </w:r>
      <w:r w:rsidRPr="00DD57F1">
        <w:rPr>
          <w:rFonts w:ascii="Times New Roman" w:hAnsi="Times New Roman" w:cs="Times New Roman"/>
          <w:i/>
        </w:rPr>
        <w:t xml:space="preserve">ASIC v Richards </w:t>
      </w:r>
      <w:r w:rsidRPr="00DD57F1">
        <w:rPr>
          <w:rFonts w:ascii="Times New Roman" w:hAnsi="Times New Roman" w:cs="Times New Roman"/>
        </w:rPr>
        <w:t xml:space="preserve">[2013] FCAFC 89; </w:t>
      </w:r>
      <w:r w:rsidRPr="00DD57F1">
        <w:rPr>
          <w:rFonts w:ascii="Times New Roman" w:hAnsi="Times New Roman" w:cs="Times New Roman"/>
          <w:i/>
        </w:rPr>
        <w:t xml:space="preserve">Peterson v Merck Sharp &amp; Dohme (Aust) Pty Ltd (No 6) </w:t>
      </w:r>
      <w:r w:rsidRPr="00DD57F1">
        <w:rPr>
          <w:rFonts w:ascii="Times New Roman" w:hAnsi="Times New Roman" w:cs="Times New Roman"/>
        </w:rPr>
        <w:t xml:space="preserve">[2013] FCA 447; </w:t>
      </w:r>
      <w:r w:rsidRPr="00DD57F1">
        <w:rPr>
          <w:rFonts w:ascii="Times New Roman" w:hAnsi="Times New Roman" w:cs="Times New Roman"/>
          <w:i/>
        </w:rPr>
        <w:t xml:space="preserve">Modtech </w:t>
      </w:r>
      <w:r w:rsidRPr="00DD57F1">
        <w:rPr>
          <w:rFonts w:ascii="Times New Roman" w:hAnsi="Times New Roman" w:cs="Times New Roman"/>
        </w:rPr>
        <w:t xml:space="preserve">[2013] FCA 626; </w:t>
      </w:r>
      <w:r w:rsidRPr="00DD57F1">
        <w:rPr>
          <w:rFonts w:ascii="Times New Roman" w:hAnsi="Times New Roman" w:cs="Times New Roman"/>
          <w:i/>
        </w:rPr>
        <w:t xml:space="preserve">Kelly No 4 </w:t>
      </w:r>
      <w:r w:rsidRPr="00DD57F1">
        <w:rPr>
          <w:rFonts w:ascii="Times New Roman" w:hAnsi="Times New Roman" w:cs="Times New Roman"/>
        </w:rPr>
        <w:t>(2016) 335 ALR 439</w:t>
      </w:r>
      <w:r>
        <w:rPr>
          <w:rFonts w:ascii="Times New Roman" w:hAnsi="Times New Roman" w:cs="Times New Roman"/>
        </w:rPr>
        <w:t>.</w:t>
      </w:r>
    </w:p>
  </w:endnote>
  <w:endnote w:id="34">
    <w:p w14:paraId="10B72CD4" w14:textId="270A3D92" w:rsidR="00BA31BB" w:rsidRPr="00DD57F1" w:rsidRDefault="00BA31BB" w:rsidP="004B71D3">
      <w:pPr>
        <w:pStyle w:val="EndnoteText"/>
        <w:rPr>
          <w:rFonts w:ascii="Times New Roman" w:hAnsi="Times New Roman" w:cs="Times New Roman"/>
        </w:rPr>
      </w:pPr>
      <w:r w:rsidRPr="00DD57F1">
        <w:rPr>
          <w:rStyle w:val="EndnoteReference"/>
          <w:rFonts w:ascii="Times New Roman" w:hAnsi="Times New Roman" w:cs="Times New Roman"/>
        </w:rPr>
        <w:endnoteRef/>
      </w:r>
      <w:r w:rsidRPr="00DD57F1">
        <w:rPr>
          <w:rFonts w:ascii="Times New Roman" w:hAnsi="Times New Roman" w:cs="Times New Roman"/>
        </w:rPr>
        <w:t xml:space="preserve"> </w:t>
      </w:r>
      <w:r w:rsidRPr="00DD57F1">
        <w:rPr>
          <w:rFonts w:ascii="Times New Roman" w:hAnsi="Times New Roman" w:cs="Times New Roman"/>
          <w:i/>
        </w:rPr>
        <w:t>Money Max</w:t>
      </w:r>
      <w:r>
        <w:rPr>
          <w:rFonts w:ascii="Times New Roman" w:hAnsi="Times New Roman" w:cs="Times New Roman"/>
        </w:rPr>
        <w:t xml:space="preserve"> [2016] FCAFC 148</w:t>
      </w:r>
      <w:r w:rsidRPr="00DD57F1">
        <w:rPr>
          <w:rFonts w:ascii="Times New Roman" w:hAnsi="Times New Roman" w:cs="Times New Roman"/>
          <w:i/>
        </w:rPr>
        <w:t xml:space="preserve"> </w:t>
      </w:r>
      <w:r w:rsidRPr="00DD57F1">
        <w:rPr>
          <w:rFonts w:ascii="Times New Roman" w:hAnsi="Times New Roman" w:cs="Times New Roman"/>
        </w:rPr>
        <w:t>at [71]</w:t>
      </w:r>
      <w:r>
        <w:rPr>
          <w:rFonts w:ascii="Times New Roman" w:hAnsi="Times New Roman" w:cs="Times New Roman"/>
        </w:rPr>
        <w:t>.</w:t>
      </w:r>
    </w:p>
  </w:endnote>
  <w:endnote w:id="35">
    <w:p w14:paraId="44170F6D" w14:textId="3BAA678C" w:rsidR="00BA31BB" w:rsidRPr="00DD57F1" w:rsidRDefault="00BA31BB" w:rsidP="00B36630">
      <w:pPr>
        <w:pStyle w:val="EndnoteText"/>
        <w:rPr>
          <w:rFonts w:ascii="Times New Roman" w:hAnsi="Times New Roman" w:cs="Times New Roman"/>
        </w:rPr>
      </w:pPr>
      <w:r w:rsidRPr="00DD57F1">
        <w:rPr>
          <w:rStyle w:val="EndnoteReference"/>
          <w:rFonts w:ascii="Times New Roman" w:hAnsi="Times New Roman" w:cs="Times New Roman"/>
        </w:rPr>
        <w:endnoteRef/>
      </w:r>
      <w:r w:rsidRPr="00DD57F1">
        <w:rPr>
          <w:rFonts w:ascii="Times New Roman" w:hAnsi="Times New Roman" w:cs="Times New Roman"/>
        </w:rPr>
        <w:t xml:space="preserve"> [2016] FCAFC 148 at [82]-[83]</w:t>
      </w:r>
      <w:r>
        <w:rPr>
          <w:rFonts w:ascii="Times New Roman" w:hAnsi="Times New Roman" w:cs="Times New Roman"/>
        </w:rPr>
        <w:t>.</w:t>
      </w:r>
    </w:p>
  </w:endnote>
  <w:endnote w:id="36">
    <w:p w14:paraId="43B7AF06" w14:textId="3411E921" w:rsidR="00BA31BB" w:rsidRPr="00DD57F1" w:rsidRDefault="00BA31BB" w:rsidP="00966129">
      <w:pPr>
        <w:pStyle w:val="EndnoteText"/>
        <w:rPr>
          <w:rFonts w:ascii="Times New Roman" w:hAnsi="Times New Roman" w:cs="Times New Roman"/>
        </w:rPr>
      </w:pPr>
      <w:r w:rsidRPr="00DD57F1">
        <w:rPr>
          <w:rStyle w:val="EndnoteReference"/>
          <w:rFonts w:ascii="Times New Roman" w:hAnsi="Times New Roman" w:cs="Times New Roman"/>
        </w:rPr>
        <w:endnoteRef/>
      </w:r>
      <w:r w:rsidRPr="00DD57F1">
        <w:rPr>
          <w:rFonts w:ascii="Times New Roman" w:hAnsi="Times New Roman" w:cs="Times New Roman"/>
        </w:rPr>
        <w:t xml:space="preserve"> </w:t>
      </w:r>
      <w:r w:rsidRPr="00DD57F1">
        <w:rPr>
          <w:rFonts w:ascii="Times New Roman" w:hAnsi="Times New Roman" w:cs="Times New Roman"/>
          <w:i/>
        </w:rPr>
        <w:t xml:space="preserve">Caason </w:t>
      </w:r>
      <w:r w:rsidRPr="00DD57F1">
        <w:rPr>
          <w:rFonts w:ascii="Times New Roman" w:hAnsi="Times New Roman" w:cs="Times New Roman"/>
        </w:rPr>
        <w:t xml:space="preserve">[2018] FCA 527 at [232]-[250]; </w:t>
      </w:r>
      <w:r w:rsidRPr="00DD57F1">
        <w:rPr>
          <w:rFonts w:ascii="Times New Roman" w:hAnsi="Times New Roman" w:cs="Times New Roman"/>
          <w:i/>
        </w:rPr>
        <w:t>Caason Investments Pty Ltd v International Litigation Partners No.3 Ltd</w:t>
      </w:r>
      <w:r w:rsidRPr="00DD57F1">
        <w:rPr>
          <w:rFonts w:ascii="Times New Roman" w:hAnsi="Times New Roman" w:cs="Times New Roman"/>
        </w:rPr>
        <w:t xml:space="preserve"> [2018] FCAFC 176 at [26].</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25C310" w14:textId="77777777" w:rsidR="00C44640" w:rsidRDefault="00C44640" w:rsidP="00230F73">
      <w:pPr>
        <w:spacing w:after="0" w:line="240" w:lineRule="auto"/>
      </w:pPr>
      <w:r>
        <w:separator/>
      </w:r>
    </w:p>
  </w:footnote>
  <w:footnote w:type="continuationSeparator" w:id="0">
    <w:p w14:paraId="387855E1" w14:textId="77777777" w:rsidR="00C44640" w:rsidRDefault="00C44640" w:rsidP="00230F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02608982"/>
      <w:docPartObj>
        <w:docPartGallery w:val="Page Numbers (Top of Page)"/>
        <w:docPartUnique/>
      </w:docPartObj>
    </w:sdtPr>
    <w:sdtEndPr>
      <w:rPr>
        <w:noProof/>
      </w:rPr>
    </w:sdtEndPr>
    <w:sdtContent>
      <w:p w14:paraId="24C67DE3" w14:textId="412FCE8B" w:rsidR="00BA31BB" w:rsidRDefault="00BA31BB">
        <w:pPr>
          <w:pStyle w:val="Header"/>
          <w:jc w:val="right"/>
        </w:pPr>
        <w:r>
          <w:fldChar w:fldCharType="begin"/>
        </w:r>
        <w:r>
          <w:instrText xml:space="preserve"> PAGE   \* MERGEFORMAT </w:instrText>
        </w:r>
        <w:r>
          <w:fldChar w:fldCharType="separate"/>
        </w:r>
        <w:r w:rsidR="00FF34BD">
          <w:rPr>
            <w:noProof/>
          </w:rPr>
          <w:t>1</w:t>
        </w:r>
        <w:r>
          <w:rPr>
            <w:noProof/>
          </w:rPr>
          <w:fldChar w:fldCharType="end"/>
        </w:r>
      </w:p>
    </w:sdtContent>
  </w:sdt>
  <w:p w14:paraId="6DD820DD" w14:textId="77777777" w:rsidR="00BA31BB" w:rsidRDefault="00BA31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B3575"/>
    <w:multiLevelType w:val="hybridMultilevel"/>
    <w:tmpl w:val="243C76F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D0E02CF"/>
    <w:multiLevelType w:val="hybridMultilevel"/>
    <w:tmpl w:val="46B2A0F8"/>
    <w:lvl w:ilvl="0" w:tplc="0C09000B">
      <w:start w:val="1"/>
      <w:numFmt w:val="bullet"/>
      <w:lvlText w:val=""/>
      <w:lvlJc w:val="left"/>
      <w:pPr>
        <w:ind w:left="779" w:hanging="360"/>
      </w:pPr>
      <w:rPr>
        <w:rFonts w:ascii="Wingdings" w:hAnsi="Wingdings"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2" w15:restartNumberingAfterBreak="0">
    <w:nsid w:val="11F34C17"/>
    <w:multiLevelType w:val="hybridMultilevel"/>
    <w:tmpl w:val="85D00168"/>
    <w:lvl w:ilvl="0" w:tplc="0C09000B">
      <w:start w:val="1"/>
      <w:numFmt w:val="bullet"/>
      <w:lvlText w:val=""/>
      <w:lvlJc w:val="left"/>
      <w:pPr>
        <w:ind w:left="1352" w:hanging="360"/>
      </w:pPr>
      <w:rPr>
        <w:rFonts w:ascii="Wingdings" w:hAnsi="Wingdings" w:hint="default"/>
      </w:rPr>
    </w:lvl>
    <w:lvl w:ilvl="1" w:tplc="0C090003" w:tentative="1">
      <w:start w:val="1"/>
      <w:numFmt w:val="bullet"/>
      <w:lvlText w:val="o"/>
      <w:lvlJc w:val="left"/>
      <w:pPr>
        <w:ind w:left="2072" w:hanging="360"/>
      </w:pPr>
      <w:rPr>
        <w:rFonts w:ascii="Courier New" w:hAnsi="Courier New" w:cs="Courier New" w:hint="default"/>
      </w:rPr>
    </w:lvl>
    <w:lvl w:ilvl="2" w:tplc="0C090005" w:tentative="1">
      <w:start w:val="1"/>
      <w:numFmt w:val="bullet"/>
      <w:lvlText w:val=""/>
      <w:lvlJc w:val="left"/>
      <w:pPr>
        <w:ind w:left="2792" w:hanging="360"/>
      </w:pPr>
      <w:rPr>
        <w:rFonts w:ascii="Wingdings" w:hAnsi="Wingdings" w:hint="default"/>
      </w:rPr>
    </w:lvl>
    <w:lvl w:ilvl="3" w:tplc="0C090001" w:tentative="1">
      <w:start w:val="1"/>
      <w:numFmt w:val="bullet"/>
      <w:lvlText w:val=""/>
      <w:lvlJc w:val="left"/>
      <w:pPr>
        <w:ind w:left="3512" w:hanging="360"/>
      </w:pPr>
      <w:rPr>
        <w:rFonts w:ascii="Symbol" w:hAnsi="Symbol" w:hint="default"/>
      </w:rPr>
    </w:lvl>
    <w:lvl w:ilvl="4" w:tplc="0C090003" w:tentative="1">
      <w:start w:val="1"/>
      <w:numFmt w:val="bullet"/>
      <w:lvlText w:val="o"/>
      <w:lvlJc w:val="left"/>
      <w:pPr>
        <w:ind w:left="4232" w:hanging="360"/>
      </w:pPr>
      <w:rPr>
        <w:rFonts w:ascii="Courier New" w:hAnsi="Courier New" w:cs="Courier New" w:hint="default"/>
      </w:rPr>
    </w:lvl>
    <w:lvl w:ilvl="5" w:tplc="0C090005" w:tentative="1">
      <w:start w:val="1"/>
      <w:numFmt w:val="bullet"/>
      <w:lvlText w:val=""/>
      <w:lvlJc w:val="left"/>
      <w:pPr>
        <w:ind w:left="4952" w:hanging="360"/>
      </w:pPr>
      <w:rPr>
        <w:rFonts w:ascii="Wingdings" w:hAnsi="Wingdings" w:hint="default"/>
      </w:rPr>
    </w:lvl>
    <w:lvl w:ilvl="6" w:tplc="0C090001" w:tentative="1">
      <w:start w:val="1"/>
      <w:numFmt w:val="bullet"/>
      <w:lvlText w:val=""/>
      <w:lvlJc w:val="left"/>
      <w:pPr>
        <w:ind w:left="5672" w:hanging="360"/>
      </w:pPr>
      <w:rPr>
        <w:rFonts w:ascii="Symbol" w:hAnsi="Symbol" w:hint="default"/>
      </w:rPr>
    </w:lvl>
    <w:lvl w:ilvl="7" w:tplc="0C090003" w:tentative="1">
      <w:start w:val="1"/>
      <w:numFmt w:val="bullet"/>
      <w:lvlText w:val="o"/>
      <w:lvlJc w:val="left"/>
      <w:pPr>
        <w:ind w:left="6392" w:hanging="360"/>
      </w:pPr>
      <w:rPr>
        <w:rFonts w:ascii="Courier New" w:hAnsi="Courier New" w:cs="Courier New" w:hint="default"/>
      </w:rPr>
    </w:lvl>
    <w:lvl w:ilvl="8" w:tplc="0C090005" w:tentative="1">
      <w:start w:val="1"/>
      <w:numFmt w:val="bullet"/>
      <w:lvlText w:val=""/>
      <w:lvlJc w:val="left"/>
      <w:pPr>
        <w:ind w:left="7112" w:hanging="360"/>
      </w:pPr>
      <w:rPr>
        <w:rFonts w:ascii="Wingdings" w:hAnsi="Wingdings" w:hint="default"/>
      </w:rPr>
    </w:lvl>
  </w:abstractNum>
  <w:abstractNum w:abstractNumId="3" w15:restartNumberingAfterBreak="0">
    <w:nsid w:val="13E6097C"/>
    <w:multiLevelType w:val="hybridMultilevel"/>
    <w:tmpl w:val="9DA4464C"/>
    <w:lvl w:ilvl="0" w:tplc="0C090005">
      <w:start w:val="1"/>
      <w:numFmt w:val="bullet"/>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146B142C"/>
    <w:multiLevelType w:val="hybridMultilevel"/>
    <w:tmpl w:val="0A388444"/>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15BA3047"/>
    <w:multiLevelType w:val="hybridMultilevel"/>
    <w:tmpl w:val="9AB47318"/>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15E34EBF"/>
    <w:multiLevelType w:val="hybridMultilevel"/>
    <w:tmpl w:val="0A388444"/>
    <w:lvl w:ilvl="0" w:tplc="0C090015">
      <w:start w:val="1"/>
      <w:numFmt w:val="upp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17C81BCF"/>
    <w:multiLevelType w:val="hybridMultilevel"/>
    <w:tmpl w:val="17D81FFA"/>
    <w:lvl w:ilvl="0" w:tplc="0C090003">
      <w:start w:val="1"/>
      <w:numFmt w:val="bullet"/>
      <w:lvlText w:val="o"/>
      <w:lvlJc w:val="left"/>
      <w:pPr>
        <w:ind w:left="1778" w:hanging="360"/>
      </w:pPr>
      <w:rPr>
        <w:rFonts w:ascii="Courier New" w:hAnsi="Courier New" w:cs="Courier New" w:hint="default"/>
      </w:rPr>
    </w:lvl>
    <w:lvl w:ilvl="1" w:tplc="04090003" w:tentative="1">
      <w:start w:val="1"/>
      <w:numFmt w:val="bullet"/>
      <w:lvlText w:val="o"/>
      <w:lvlJc w:val="left"/>
      <w:pPr>
        <w:ind w:left="2498" w:hanging="360"/>
      </w:pPr>
      <w:rPr>
        <w:rFonts w:ascii="Courier New" w:hAnsi="Courier New" w:cs="Courier New" w:hint="default"/>
      </w:rPr>
    </w:lvl>
    <w:lvl w:ilvl="2" w:tplc="04090005" w:tentative="1">
      <w:start w:val="1"/>
      <w:numFmt w:val="bullet"/>
      <w:lvlText w:val=""/>
      <w:lvlJc w:val="left"/>
      <w:pPr>
        <w:ind w:left="3218" w:hanging="360"/>
      </w:pPr>
      <w:rPr>
        <w:rFonts w:ascii="Wingdings" w:hAnsi="Wingdings" w:hint="default"/>
      </w:rPr>
    </w:lvl>
    <w:lvl w:ilvl="3" w:tplc="04090001" w:tentative="1">
      <w:start w:val="1"/>
      <w:numFmt w:val="bullet"/>
      <w:lvlText w:val=""/>
      <w:lvlJc w:val="left"/>
      <w:pPr>
        <w:ind w:left="3938" w:hanging="360"/>
      </w:pPr>
      <w:rPr>
        <w:rFonts w:ascii="Symbol" w:hAnsi="Symbol" w:hint="default"/>
      </w:rPr>
    </w:lvl>
    <w:lvl w:ilvl="4" w:tplc="04090003" w:tentative="1">
      <w:start w:val="1"/>
      <w:numFmt w:val="bullet"/>
      <w:lvlText w:val="o"/>
      <w:lvlJc w:val="left"/>
      <w:pPr>
        <w:ind w:left="4658" w:hanging="360"/>
      </w:pPr>
      <w:rPr>
        <w:rFonts w:ascii="Courier New" w:hAnsi="Courier New" w:cs="Courier New" w:hint="default"/>
      </w:rPr>
    </w:lvl>
    <w:lvl w:ilvl="5" w:tplc="04090005" w:tentative="1">
      <w:start w:val="1"/>
      <w:numFmt w:val="bullet"/>
      <w:lvlText w:val=""/>
      <w:lvlJc w:val="left"/>
      <w:pPr>
        <w:ind w:left="5378" w:hanging="360"/>
      </w:pPr>
      <w:rPr>
        <w:rFonts w:ascii="Wingdings" w:hAnsi="Wingdings" w:hint="default"/>
      </w:rPr>
    </w:lvl>
    <w:lvl w:ilvl="6" w:tplc="04090001" w:tentative="1">
      <w:start w:val="1"/>
      <w:numFmt w:val="bullet"/>
      <w:lvlText w:val=""/>
      <w:lvlJc w:val="left"/>
      <w:pPr>
        <w:ind w:left="6098" w:hanging="360"/>
      </w:pPr>
      <w:rPr>
        <w:rFonts w:ascii="Symbol" w:hAnsi="Symbol" w:hint="default"/>
      </w:rPr>
    </w:lvl>
    <w:lvl w:ilvl="7" w:tplc="04090003" w:tentative="1">
      <w:start w:val="1"/>
      <w:numFmt w:val="bullet"/>
      <w:lvlText w:val="o"/>
      <w:lvlJc w:val="left"/>
      <w:pPr>
        <w:ind w:left="6818" w:hanging="360"/>
      </w:pPr>
      <w:rPr>
        <w:rFonts w:ascii="Courier New" w:hAnsi="Courier New" w:cs="Courier New" w:hint="default"/>
      </w:rPr>
    </w:lvl>
    <w:lvl w:ilvl="8" w:tplc="04090005" w:tentative="1">
      <w:start w:val="1"/>
      <w:numFmt w:val="bullet"/>
      <w:lvlText w:val=""/>
      <w:lvlJc w:val="left"/>
      <w:pPr>
        <w:ind w:left="7538" w:hanging="360"/>
      </w:pPr>
      <w:rPr>
        <w:rFonts w:ascii="Wingdings" w:hAnsi="Wingdings" w:hint="default"/>
      </w:rPr>
    </w:lvl>
  </w:abstractNum>
  <w:abstractNum w:abstractNumId="8" w15:restartNumberingAfterBreak="0">
    <w:nsid w:val="189A01D3"/>
    <w:multiLevelType w:val="singleLevel"/>
    <w:tmpl w:val="42BA5298"/>
    <w:lvl w:ilvl="0">
      <w:start w:val="1"/>
      <w:numFmt w:val="lowerLetter"/>
      <w:lvlText w:val="(%1)"/>
      <w:lvlJc w:val="left"/>
      <w:pPr>
        <w:ind w:left="720" w:hanging="360"/>
      </w:pPr>
      <w:rPr>
        <w:rFonts w:hint="default"/>
      </w:rPr>
    </w:lvl>
  </w:abstractNum>
  <w:abstractNum w:abstractNumId="9" w15:restartNumberingAfterBreak="0">
    <w:nsid w:val="1CAB1613"/>
    <w:multiLevelType w:val="hybridMultilevel"/>
    <w:tmpl w:val="F3161578"/>
    <w:lvl w:ilvl="0" w:tplc="0C09000B">
      <w:start w:val="1"/>
      <w:numFmt w:val="bullet"/>
      <w:lvlText w:val=""/>
      <w:lvlJc w:val="left"/>
      <w:pPr>
        <w:ind w:left="1571" w:hanging="360"/>
      </w:pPr>
      <w:rPr>
        <w:rFonts w:ascii="Wingdings" w:hAnsi="Wingding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10" w15:restartNumberingAfterBreak="0">
    <w:nsid w:val="240635C4"/>
    <w:multiLevelType w:val="hybridMultilevel"/>
    <w:tmpl w:val="3F947310"/>
    <w:lvl w:ilvl="0" w:tplc="98D0F552">
      <w:start w:val="1"/>
      <w:numFmt w:val="decimal"/>
      <w:pStyle w:val="Normalnum"/>
      <w:lvlText w:val="1.%1"/>
      <w:lvlJc w:val="left"/>
      <w:pPr>
        <w:ind w:left="7165" w:hanging="360"/>
      </w:pPr>
      <w:rPr>
        <w:rFonts w:hint="default"/>
      </w:rPr>
    </w:lvl>
    <w:lvl w:ilvl="1" w:tplc="04090019">
      <w:start w:val="1"/>
      <w:numFmt w:val="lowerLetter"/>
      <w:lvlText w:val="%2."/>
      <w:lvlJc w:val="left"/>
      <w:pPr>
        <w:tabs>
          <w:tab w:val="num" w:pos="8245"/>
        </w:tabs>
        <w:ind w:left="8245" w:hanging="360"/>
      </w:pPr>
    </w:lvl>
    <w:lvl w:ilvl="2" w:tplc="0409001B">
      <w:start w:val="1"/>
      <w:numFmt w:val="lowerRoman"/>
      <w:lvlText w:val="%3."/>
      <w:lvlJc w:val="right"/>
      <w:pPr>
        <w:tabs>
          <w:tab w:val="num" w:pos="8965"/>
        </w:tabs>
        <w:ind w:left="8965" w:hanging="180"/>
      </w:pPr>
    </w:lvl>
    <w:lvl w:ilvl="3" w:tplc="0409000F">
      <w:start w:val="1"/>
      <w:numFmt w:val="decimal"/>
      <w:lvlText w:val="%4."/>
      <w:lvlJc w:val="left"/>
      <w:pPr>
        <w:tabs>
          <w:tab w:val="num" w:pos="9685"/>
        </w:tabs>
        <w:ind w:left="9685" w:hanging="360"/>
      </w:pPr>
    </w:lvl>
    <w:lvl w:ilvl="4" w:tplc="04090019">
      <w:start w:val="1"/>
      <w:numFmt w:val="lowerLetter"/>
      <w:lvlText w:val="%5."/>
      <w:lvlJc w:val="left"/>
      <w:pPr>
        <w:tabs>
          <w:tab w:val="num" w:pos="10405"/>
        </w:tabs>
        <w:ind w:left="10405" w:hanging="360"/>
      </w:pPr>
    </w:lvl>
    <w:lvl w:ilvl="5" w:tplc="0409001B">
      <w:start w:val="1"/>
      <w:numFmt w:val="lowerRoman"/>
      <w:lvlText w:val="%6."/>
      <w:lvlJc w:val="right"/>
      <w:pPr>
        <w:tabs>
          <w:tab w:val="num" w:pos="11125"/>
        </w:tabs>
        <w:ind w:left="11125" w:hanging="180"/>
      </w:pPr>
    </w:lvl>
    <w:lvl w:ilvl="6" w:tplc="0409000F">
      <w:start w:val="1"/>
      <w:numFmt w:val="decimal"/>
      <w:lvlText w:val="%7."/>
      <w:lvlJc w:val="left"/>
      <w:pPr>
        <w:tabs>
          <w:tab w:val="num" w:pos="11845"/>
        </w:tabs>
        <w:ind w:left="11845" w:hanging="360"/>
      </w:pPr>
    </w:lvl>
    <w:lvl w:ilvl="7" w:tplc="04090019">
      <w:start w:val="1"/>
      <w:numFmt w:val="lowerLetter"/>
      <w:lvlText w:val="%8."/>
      <w:lvlJc w:val="left"/>
      <w:pPr>
        <w:tabs>
          <w:tab w:val="num" w:pos="12565"/>
        </w:tabs>
        <w:ind w:left="12565" w:hanging="360"/>
      </w:pPr>
    </w:lvl>
    <w:lvl w:ilvl="8" w:tplc="0409001B">
      <w:start w:val="1"/>
      <w:numFmt w:val="lowerRoman"/>
      <w:lvlText w:val="%9."/>
      <w:lvlJc w:val="right"/>
      <w:pPr>
        <w:tabs>
          <w:tab w:val="num" w:pos="13285"/>
        </w:tabs>
        <w:ind w:left="13285" w:hanging="180"/>
      </w:pPr>
    </w:lvl>
  </w:abstractNum>
  <w:abstractNum w:abstractNumId="11" w15:restartNumberingAfterBreak="0">
    <w:nsid w:val="29AE3DD1"/>
    <w:multiLevelType w:val="singleLevel"/>
    <w:tmpl w:val="5C92B9B0"/>
    <w:lvl w:ilvl="0">
      <w:start w:val="1"/>
      <w:numFmt w:val="decimal"/>
      <w:lvlRestart w:val="0"/>
      <w:pStyle w:val="ParaNumbering"/>
      <w:lvlText w:val="%1"/>
      <w:lvlJc w:val="left"/>
      <w:pPr>
        <w:tabs>
          <w:tab w:val="num" w:pos="720"/>
        </w:tabs>
        <w:ind w:left="0" w:hanging="720"/>
      </w:pPr>
      <w:rPr>
        <w:rFonts w:hint="default"/>
        <w:sz w:val="20"/>
      </w:rPr>
    </w:lvl>
  </w:abstractNum>
  <w:abstractNum w:abstractNumId="12" w15:restartNumberingAfterBreak="0">
    <w:nsid w:val="2DD16DE4"/>
    <w:multiLevelType w:val="hybridMultilevel"/>
    <w:tmpl w:val="3D74D5F6"/>
    <w:lvl w:ilvl="0" w:tplc="0C09000B">
      <w:start w:val="1"/>
      <w:numFmt w:val="bullet"/>
      <w:lvlText w:val=""/>
      <w:lvlJc w:val="left"/>
      <w:pPr>
        <w:ind w:left="1287" w:hanging="360"/>
      </w:pPr>
      <w:rPr>
        <w:rFonts w:ascii="Wingdings" w:hAnsi="Wingdings"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 w15:restartNumberingAfterBreak="0">
    <w:nsid w:val="2E77389D"/>
    <w:multiLevelType w:val="hybridMultilevel"/>
    <w:tmpl w:val="8EC0FA98"/>
    <w:lvl w:ilvl="0" w:tplc="7184503C">
      <w:start w:val="1"/>
      <w:numFmt w:val="decimal"/>
      <w:lvlText w:val="%1"/>
      <w:lvlJc w:val="left"/>
      <w:pPr>
        <w:ind w:left="930" w:hanging="570"/>
      </w:pPr>
      <w:rPr>
        <w:rFonts w:hint="default"/>
        <w:u w:val="no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C3E47FF"/>
    <w:multiLevelType w:val="hybridMultilevel"/>
    <w:tmpl w:val="EC0AB9E2"/>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D033C6B"/>
    <w:multiLevelType w:val="hybridMultilevel"/>
    <w:tmpl w:val="10225258"/>
    <w:lvl w:ilvl="0" w:tplc="0C090001">
      <w:start w:val="1"/>
      <w:numFmt w:val="bullet"/>
      <w:lvlText w:val=""/>
      <w:lvlJc w:val="left"/>
      <w:pPr>
        <w:ind w:left="779" w:hanging="360"/>
      </w:pPr>
      <w:rPr>
        <w:rFonts w:ascii="Symbol" w:hAnsi="Symbol" w:hint="default"/>
      </w:rPr>
    </w:lvl>
    <w:lvl w:ilvl="1" w:tplc="0C090003" w:tentative="1">
      <w:start w:val="1"/>
      <w:numFmt w:val="bullet"/>
      <w:lvlText w:val="o"/>
      <w:lvlJc w:val="left"/>
      <w:pPr>
        <w:ind w:left="1499" w:hanging="360"/>
      </w:pPr>
      <w:rPr>
        <w:rFonts w:ascii="Courier New" w:hAnsi="Courier New" w:cs="Courier New" w:hint="default"/>
      </w:rPr>
    </w:lvl>
    <w:lvl w:ilvl="2" w:tplc="0C090005" w:tentative="1">
      <w:start w:val="1"/>
      <w:numFmt w:val="bullet"/>
      <w:lvlText w:val=""/>
      <w:lvlJc w:val="left"/>
      <w:pPr>
        <w:ind w:left="2219" w:hanging="360"/>
      </w:pPr>
      <w:rPr>
        <w:rFonts w:ascii="Wingdings" w:hAnsi="Wingdings" w:hint="default"/>
      </w:rPr>
    </w:lvl>
    <w:lvl w:ilvl="3" w:tplc="0C090001" w:tentative="1">
      <w:start w:val="1"/>
      <w:numFmt w:val="bullet"/>
      <w:lvlText w:val=""/>
      <w:lvlJc w:val="left"/>
      <w:pPr>
        <w:ind w:left="2939" w:hanging="360"/>
      </w:pPr>
      <w:rPr>
        <w:rFonts w:ascii="Symbol" w:hAnsi="Symbol" w:hint="default"/>
      </w:rPr>
    </w:lvl>
    <w:lvl w:ilvl="4" w:tplc="0C090003" w:tentative="1">
      <w:start w:val="1"/>
      <w:numFmt w:val="bullet"/>
      <w:lvlText w:val="o"/>
      <w:lvlJc w:val="left"/>
      <w:pPr>
        <w:ind w:left="3659" w:hanging="360"/>
      </w:pPr>
      <w:rPr>
        <w:rFonts w:ascii="Courier New" w:hAnsi="Courier New" w:cs="Courier New" w:hint="default"/>
      </w:rPr>
    </w:lvl>
    <w:lvl w:ilvl="5" w:tplc="0C090005" w:tentative="1">
      <w:start w:val="1"/>
      <w:numFmt w:val="bullet"/>
      <w:lvlText w:val=""/>
      <w:lvlJc w:val="left"/>
      <w:pPr>
        <w:ind w:left="4379" w:hanging="360"/>
      </w:pPr>
      <w:rPr>
        <w:rFonts w:ascii="Wingdings" w:hAnsi="Wingdings" w:hint="default"/>
      </w:rPr>
    </w:lvl>
    <w:lvl w:ilvl="6" w:tplc="0C090001" w:tentative="1">
      <w:start w:val="1"/>
      <w:numFmt w:val="bullet"/>
      <w:lvlText w:val=""/>
      <w:lvlJc w:val="left"/>
      <w:pPr>
        <w:ind w:left="5099" w:hanging="360"/>
      </w:pPr>
      <w:rPr>
        <w:rFonts w:ascii="Symbol" w:hAnsi="Symbol" w:hint="default"/>
      </w:rPr>
    </w:lvl>
    <w:lvl w:ilvl="7" w:tplc="0C090003" w:tentative="1">
      <w:start w:val="1"/>
      <w:numFmt w:val="bullet"/>
      <w:lvlText w:val="o"/>
      <w:lvlJc w:val="left"/>
      <w:pPr>
        <w:ind w:left="5819" w:hanging="360"/>
      </w:pPr>
      <w:rPr>
        <w:rFonts w:ascii="Courier New" w:hAnsi="Courier New" w:cs="Courier New" w:hint="default"/>
      </w:rPr>
    </w:lvl>
    <w:lvl w:ilvl="8" w:tplc="0C090005" w:tentative="1">
      <w:start w:val="1"/>
      <w:numFmt w:val="bullet"/>
      <w:lvlText w:val=""/>
      <w:lvlJc w:val="left"/>
      <w:pPr>
        <w:ind w:left="6539" w:hanging="360"/>
      </w:pPr>
      <w:rPr>
        <w:rFonts w:ascii="Wingdings" w:hAnsi="Wingdings" w:hint="default"/>
      </w:rPr>
    </w:lvl>
  </w:abstractNum>
  <w:abstractNum w:abstractNumId="16" w15:restartNumberingAfterBreak="0">
    <w:nsid w:val="4F525467"/>
    <w:multiLevelType w:val="hybridMultilevel"/>
    <w:tmpl w:val="10B8A530"/>
    <w:lvl w:ilvl="0" w:tplc="A0D0B3D8">
      <w:start w:val="1"/>
      <w:numFmt w:val="upperRoman"/>
      <w:lvlText w:val="%1."/>
      <w:lvlJc w:val="left"/>
      <w:pPr>
        <w:ind w:left="720" w:hanging="72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52E13EE9"/>
    <w:multiLevelType w:val="hybridMultilevel"/>
    <w:tmpl w:val="966E63D2"/>
    <w:lvl w:ilvl="0" w:tplc="E6C0E2F6">
      <w:start w:val="2"/>
      <w:numFmt w:val="bullet"/>
      <w:lvlText w:val="-"/>
      <w:lvlJc w:val="left"/>
      <w:pPr>
        <w:ind w:left="1080" w:hanging="360"/>
      </w:pPr>
      <w:rPr>
        <w:rFonts w:ascii="Times New Roman" w:eastAsiaTheme="minorHAnsi" w:hAnsi="Times New Roman" w:cs="Times New Roman"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63102B3A"/>
    <w:multiLevelType w:val="hybridMultilevel"/>
    <w:tmpl w:val="86A29B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9442CD5"/>
    <w:multiLevelType w:val="hybridMultilevel"/>
    <w:tmpl w:val="59521A4E"/>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0" w15:restartNumberingAfterBreak="0">
    <w:nsid w:val="6EB61A11"/>
    <w:multiLevelType w:val="hybridMultilevel"/>
    <w:tmpl w:val="77800C16"/>
    <w:lvl w:ilvl="0" w:tplc="0C09000B">
      <w:start w:val="1"/>
      <w:numFmt w:val="bullet"/>
      <w:lvlText w:val=""/>
      <w:lvlJc w:val="left"/>
      <w:pPr>
        <w:ind w:left="1713" w:hanging="360"/>
      </w:pPr>
      <w:rPr>
        <w:rFonts w:ascii="Wingdings" w:hAnsi="Wingdings" w:hint="default"/>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21" w15:restartNumberingAfterBreak="0">
    <w:nsid w:val="6EBF580D"/>
    <w:multiLevelType w:val="hybridMultilevel"/>
    <w:tmpl w:val="60B0AFE2"/>
    <w:lvl w:ilvl="0" w:tplc="F35E087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2173E86"/>
    <w:multiLevelType w:val="hybridMultilevel"/>
    <w:tmpl w:val="319238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77E750E"/>
    <w:multiLevelType w:val="hybridMultilevel"/>
    <w:tmpl w:val="D730CA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AE877AA"/>
    <w:multiLevelType w:val="hybridMultilevel"/>
    <w:tmpl w:val="F88CA46A"/>
    <w:lvl w:ilvl="0" w:tplc="F35E0872">
      <w:start w:val="1"/>
      <w:numFmt w:val="lowerLetter"/>
      <w:lvlText w:val="(%1)"/>
      <w:lvlJc w:val="left"/>
      <w:pPr>
        <w:ind w:left="779" w:hanging="360"/>
      </w:pPr>
    </w:lvl>
    <w:lvl w:ilvl="1" w:tplc="0C090019">
      <w:start w:val="1"/>
      <w:numFmt w:val="lowerLetter"/>
      <w:lvlText w:val="%2."/>
      <w:lvlJc w:val="left"/>
      <w:pPr>
        <w:ind w:left="1499" w:hanging="360"/>
      </w:pPr>
    </w:lvl>
    <w:lvl w:ilvl="2" w:tplc="0C09001B">
      <w:start w:val="1"/>
      <w:numFmt w:val="lowerRoman"/>
      <w:lvlText w:val="%3."/>
      <w:lvlJc w:val="right"/>
      <w:pPr>
        <w:ind w:left="2219" w:hanging="180"/>
      </w:pPr>
    </w:lvl>
    <w:lvl w:ilvl="3" w:tplc="0C09000F">
      <w:start w:val="1"/>
      <w:numFmt w:val="decimal"/>
      <w:lvlText w:val="%4."/>
      <w:lvlJc w:val="left"/>
      <w:pPr>
        <w:ind w:left="2939" w:hanging="360"/>
      </w:pPr>
    </w:lvl>
    <w:lvl w:ilvl="4" w:tplc="0C090019">
      <w:start w:val="1"/>
      <w:numFmt w:val="lowerLetter"/>
      <w:lvlText w:val="%5."/>
      <w:lvlJc w:val="left"/>
      <w:pPr>
        <w:ind w:left="3659" w:hanging="360"/>
      </w:pPr>
    </w:lvl>
    <w:lvl w:ilvl="5" w:tplc="0C09001B">
      <w:start w:val="1"/>
      <w:numFmt w:val="lowerRoman"/>
      <w:lvlText w:val="%6."/>
      <w:lvlJc w:val="right"/>
      <w:pPr>
        <w:ind w:left="4379" w:hanging="180"/>
      </w:pPr>
    </w:lvl>
    <w:lvl w:ilvl="6" w:tplc="0C09000F">
      <w:start w:val="1"/>
      <w:numFmt w:val="decimal"/>
      <w:lvlText w:val="%7."/>
      <w:lvlJc w:val="left"/>
      <w:pPr>
        <w:ind w:left="5099" w:hanging="360"/>
      </w:pPr>
    </w:lvl>
    <w:lvl w:ilvl="7" w:tplc="0C090019">
      <w:start w:val="1"/>
      <w:numFmt w:val="lowerLetter"/>
      <w:lvlText w:val="%8."/>
      <w:lvlJc w:val="left"/>
      <w:pPr>
        <w:ind w:left="5819" w:hanging="360"/>
      </w:pPr>
    </w:lvl>
    <w:lvl w:ilvl="8" w:tplc="0C09001B">
      <w:start w:val="1"/>
      <w:numFmt w:val="lowerRoman"/>
      <w:lvlText w:val="%9."/>
      <w:lvlJc w:val="right"/>
      <w:pPr>
        <w:ind w:left="6539" w:hanging="180"/>
      </w:pPr>
    </w:lvl>
  </w:abstractNum>
  <w:num w:numId="1">
    <w:abstractNumId w:val="23"/>
  </w:num>
  <w:num w:numId="2">
    <w:abstractNumId w:val="15"/>
  </w:num>
  <w:num w:numId="3">
    <w:abstractNumId w:val="10"/>
  </w:num>
  <w:num w:numId="4">
    <w:abstractNumId w:val="7"/>
  </w:num>
  <w:num w:numId="5">
    <w:abstractNumId w:val="10"/>
  </w:num>
  <w:num w:numId="6">
    <w:abstractNumId w:val="11"/>
  </w:num>
  <w:num w:numId="7">
    <w:abstractNumId w:val="13"/>
  </w:num>
  <w:num w:numId="8">
    <w:abstractNumId w:val="19"/>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0"/>
  </w:num>
  <w:num w:numId="12">
    <w:abstractNumId w:val="10"/>
  </w:num>
  <w:num w:numId="13">
    <w:abstractNumId w:val="2"/>
  </w:num>
  <w:num w:numId="14">
    <w:abstractNumId w:val="10"/>
  </w:num>
  <w:num w:numId="15">
    <w:abstractNumId w:val="10"/>
  </w:num>
  <w:num w:numId="16">
    <w:abstractNumId w:val="10"/>
  </w:num>
  <w:num w:numId="17">
    <w:abstractNumId w:val="10"/>
  </w:num>
  <w:num w:numId="18">
    <w:abstractNumId w:val="10"/>
  </w:num>
  <w:num w:numId="19">
    <w:abstractNumId w:val="10"/>
  </w:num>
  <w:num w:numId="20">
    <w:abstractNumId w:val="22"/>
  </w:num>
  <w:num w:numId="21">
    <w:abstractNumId w:val="8"/>
  </w:num>
  <w:num w:numId="22">
    <w:abstractNumId w:val="8"/>
    <w:lvlOverride w:ilvl="0">
      <w:startOverride w:val="1"/>
    </w:lvlOverride>
  </w:num>
  <w:num w:numId="23">
    <w:abstractNumId w:val="12"/>
  </w:num>
  <w:num w:numId="24">
    <w:abstractNumId w:val="14"/>
  </w:num>
  <w:num w:numId="25">
    <w:abstractNumId w:val="3"/>
  </w:num>
  <w:num w:numId="26">
    <w:abstractNumId w:val="17"/>
  </w:num>
  <w:num w:numId="27">
    <w:abstractNumId w:val="20"/>
  </w:num>
  <w:num w:numId="28">
    <w:abstractNumId w:val="5"/>
  </w:num>
  <w:num w:numId="29">
    <w:abstractNumId w:val="11"/>
  </w:num>
  <w:num w:numId="30">
    <w:abstractNumId w:val="9"/>
  </w:num>
  <w:num w:numId="31">
    <w:abstractNumId w:val="0"/>
  </w:num>
  <w:num w:numId="32">
    <w:abstractNumId w:val="18"/>
  </w:num>
  <w:num w:numId="33">
    <w:abstractNumId w:val="21"/>
  </w:num>
  <w:num w:numId="34">
    <w:abstractNumId w:val="7"/>
  </w:num>
  <w:num w:numId="3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
  </w:num>
  <w:num w:numId="37">
    <w:abstractNumId w:val="14"/>
  </w:num>
  <w:num w:numId="38">
    <w:abstractNumId w:val="16"/>
  </w:num>
  <w:num w:numId="39">
    <w:abstractNumId w:val="4"/>
  </w:num>
  <w:num w:numId="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9450C775-767D-4E63-BBB8-EA479C9E4FE0}"/>
    <w:docVar w:name="dgnword-eventsink" w:val="753352928"/>
  </w:docVars>
  <w:rsids>
    <w:rsidRoot w:val="00C42B70"/>
    <w:rsid w:val="00011D87"/>
    <w:rsid w:val="000527A5"/>
    <w:rsid w:val="0006176D"/>
    <w:rsid w:val="00065928"/>
    <w:rsid w:val="00074224"/>
    <w:rsid w:val="0008211E"/>
    <w:rsid w:val="00083AC6"/>
    <w:rsid w:val="00087565"/>
    <w:rsid w:val="00090824"/>
    <w:rsid w:val="00096910"/>
    <w:rsid w:val="000B6D25"/>
    <w:rsid w:val="000F65E0"/>
    <w:rsid w:val="00103772"/>
    <w:rsid w:val="00103B95"/>
    <w:rsid w:val="001066A2"/>
    <w:rsid w:val="00110E4C"/>
    <w:rsid w:val="001357D7"/>
    <w:rsid w:val="00140D67"/>
    <w:rsid w:val="001410DA"/>
    <w:rsid w:val="0014269D"/>
    <w:rsid w:val="00154867"/>
    <w:rsid w:val="001905F1"/>
    <w:rsid w:val="001924E6"/>
    <w:rsid w:val="00194AEC"/>
    <w:rsid w:val="00196A43"/>
    <w:rsid w:val="001B5C22"/>
    <w:rsid w:val="001C2175"/>
    <w:rsid w:val="001C712C"/>
    <w:rsid w:val="00202126"/>
    <w:rsid w:val="00221D9E"/>
    <w:rsid w:val="00230F73"/>
    <w:rsid w:val="00232116"/>
    <w:rsid w:val="00242879"/>
    <w:rsid w:val="002564A8"/>
    <w:rsid w:val="00257424"/>
    <w:rsid w:val="00271BF9"/>
    <w:rsid w:val="00283681"/>
    <w:rsid w:val="00286A5C"/>
    <w:rsid w:val="002931BD"/>
    <w:rsid w:val="002A5482"/>
    <w:rsid w:val="002B7524"/>
    <w:rsid w:val="002D115D"/>
    <w:rsid w:val="002D13AB"/>
    <w:rsid w:val="002D1860"/>
    <w:rsid w:val="002E1051"/>
    <w:rsid w:val="002F7943"/>
    <w:rsid w:val="0031073D"/>
    <w:rsid w:val="0032118C"/>
    <w:rsid w:val="00324689"/>
    <w:rsid w:val="003319FB"/>
    <w:rsid w:val="00335FCD"/>
    <w:rsid w:val="003406B7"/>
    <w:rsid w:val="003416A9"/>
    <w:rsid w:val="00352055"/>
    <w:rsid w:val="00356479"/>
    <w:rsid w:val="00365F6E"/>
    <w:rsid w:val="00377297"/>
    <w:rsid w:val="0038018A"/>
    <w:rsid w:val="00382AF5"/>
    <w:rsid w:val="003A274D"/>
    <w:rsid w:val="003A2D29"/>
    <w:rsid w:val="003C1C7A"/>
    <w:rsid w:val="003D4DB4"/>
    <w:rsid w:val="003D5FF8"/>
    <w:rsid w:val="003F6698"/>
    <w:rsid w:val="00414DAF"/>
    <w:rsid w:val="00415FB7"/>
    <w:rsid w:val="004174E2"/>
    <w:rsid w:val="0044385E"/>
    <w:rsid w:val="00447380"/>
    <w:rsid w:val="0045136C"/>
    <w:rsid w:val="004524FF"/>
    <w:rsid w:val="00454364"/>
    <w:rsid w:val="00456263"/>
    <w:rsid w:val="004B2953"/>
    <w:rsid w:val="004B71D3"/>
    <w:rsid w:val="004B7EF3"/>
    <w:rsid w:val="004C5699"/>
    <w:rsid w:val="004D4371"/>
    <w:rsid w:val="004D725F"/>
    <w:rsid w:val="004E434A"/>
    <w:rsid w:val="005020CC"/>
    <w:rsid w:val="005021E8"/>
    <w:rsid w:val="00510522"/>
    <w:rsid w:val="005501D0"/>
    <w:rsid w:val="00550D4F"/>
    <w:rsid w:val="005632EF"/>
    <w:rsid w:val="0058605E"/>
    <w:rsid w:val="005B42A8"/>
    <w:rsid w:val="005C7D06"/>
    <w:rsid w:val="005D16FE"/>
    <w:rsid w:val="005D68C8"/>
    <w:rsid w:val="005E354C"/>
    <w:rsid w:val="005F3DC7"/>
    <w:rsid w:val="005F77DF"/>
    <w:rsid w:val="005F794E"/>
    <w:rsid w:val="0060470A"/>
    <w:rsid w:val="00607031"/>
    <w:rsid w:val="00613B04"/>
    <w:rsid w:val="0062502F"/>
    <w:rsid w:val="006251FE"/>
    <w:rsid w:val="006274CC"/>
    <w:rsid w:val="00630B27"/>
    <w:rsid w:val="0063360A"/>
    <w:rsid w:val="006368BB"/>
    <w:rsid w:val="006552EA"/>
    <w:rsid w:val="00666DE5"/>
    <w:rsid w:val="00673CA1"/>
    <w:rsid w:val="006A48E0"/>
    <w:rsid w:val="006B47A2"/>
    <w:rsid w:val="006C415F"/>
    <w:rsid w:val="006D4DBD"/>
    <w:rsid w:val="006D6498"/>
    <w:rsid w:val="006F0E88"/>
    <w:rsid w:val="006F3B10"/>
    <w:rsid w:val="007029D4"/>
    <w:rsid w:val="0070352E"/>
    <w:rsid w:val="00717D45"/>
    <w:rsid w:val="00741ADF"/>
    <w:rsid w:val="0074286D"/>
    <w:rsid w:val="00746967"/>
    <w:rsid w:val="007511A6"/>
    <w:rsid w:val="00760C37"/>
    <w:rsid w:val="00770E8E"/>
    <w:rsid w:val="0077127A"/>
    <w:rsid w:val="00787C6C"/>
    <w:rsid w:val="00793ABC"/>
    <w:rsid w:val="007B50DE"/>
    <w:rsid w:val="007B755A"/>
    <w:rsid w:val="007C0E56"/>
    <w:rsid w:val="007E1865"/>
    <w:rsid w:val="007E6D92"/>
    <w:rsid w:val="007F32CB"/>
    <w:rsid w:val="00801DD9"/>
    <w:rsid w:val="008407C3"/>
    <w:rsid w:val="008460A5"/>
    <w:rsid w:val="0085542F"/>
    <w:rsid w:val="00866532"/>
    <w:rsid w:val="00895E2E"/>
    <w:rsid w:val="008C36BE"/>
    <w:rsid w:val="008C446C"/>
    <w:rsid w:val="008E2AE0"/>
    <w:rsid w:val="008E674D"/>
    <w:rsid w:val="00905DF4"/>
    <w:rsid w:val="00906206"/>
    <w:rsid w:val="00913BC8"/>
    <w:rsid w:val="00915E56"/>
    <w:rsid w:val="00916D19"/>
    <w:rsid w:val="0092119F"/>
    <w:rsid w:val="00926AFD"/>
    <w:rsid w:val="009357B5"/>
    <w:rsid w:val="00940866"/>
    <w:rsid w:val="009513C5"/>
    <w:rsid w:val="009578E3"/>
    <w:rsid w:val="009650DB"/>
    <w:rsid w:val="00966129"/>
    <w:rsid w:val="00984BFA"/>
    <w:rsid w:val="00992D00"/>
    <w:rsid w:val="009A73AE"/>
    <w:rsid w:val="009B4FFD"/>
    <w:rsid w:val="009B7926"/>
    <w:rsid w:val="009C1383"/>
    <w:rsid w:val="009C6AF9"/>
    <w:rsid w:val="009D35B9"/>
    <w:rsid w:val="009E0DED"/>
    <w:rsid w:val="00A00E61"/>
    <w:rsid w:val="00A11975"/>
    <w:rsid w:val="00A278EF"/>
    <w:rsid w:val="00A36306"/>
    <w:rsid w:val="00A44A38"/>
    <w:rsid w:val="00A50D4B"/>
    <w:rsid w:val="00A67CB9"/>
    <w:rsid w:val="00A7233E"/>
    <w:rsid w:val="00AA2FCB"/>
    <w:rsid w:val="00AB6A0C"/>
    <w:rsid w:val="00AC14BD"/>
    <w:rsid w:val="00AC1A48"/>
    <w:rsid w:val="00AC62B5"/>
    <w:rsid w:val="00AC6F28"/>
    <w:rsid w:val="00AE1984"/>
    <w:rsid w:val="00AE7C8D"/>
    <w:rsid w:val="00AF318A"/>
    <w:rsid w:val="00AF3F78"/>
    <w:rsid w:val="00B00DEB"/>
    <w:rsid w:val="00B1233B"/>
    <w:rsid w:val="00B33373"/>
    <w:rsid w:val="00B3576B"/>
    <w:rsid w:val="00B36630"/>
    <w:rsid w:val="00B83424"/>
    <w:rsid w:val="00B87328"/>
    <w:rsid w:val="00B924CF"/>
    <w:rsid w:val="00B9601C"/>
    <w:rsid w:val="00BA31BB"/>
    <w:rsid w:val="00BA796D"/>
    <w:rsid w:val="00BC0745"/>
    <w:rsid w:val="00BF2674"/>
    <w:rsid w:val="00C022C2"/>
    <w:rsid w:val="00C025CE"/>
    <w:rsid w:val="00C04A15"/>
    <w:rsid w:val="00C05F4B"/>
    <w:rsid w:val="00C127FE"/>
    <w:rsid w:val="00C37340"/>
    <w:rsid w:val="00C42B70"/>
    <w:rsid w:val="00C44640"/>
    <w:rsid w:val="00C52449"/>
    <w:rsid w:val="00C52519"/>
    <w:rsid w:val="00C576ED"/>
    <w:rsid w:val="00C60D18"/>
    <w:rsid w:val="00C672C9"/>
    <w:rsid w:val="00C92A22"/>
    <w:rsid w:val="00C97C3B"/>
    <w:rsid w:val="00CA2F20"/>
    <w:rsid w:val="00CA405E"/>
    <w:rsid w:val="00CB4906"/>
    <w:rsid w:val="00CC650B"/>
    <w:rsid w:val="00CE14A6"/>
    <w:rsid w:val="00CE1BFC"/>
    <w:rsid w:val="00D10BE3"/>
    <w:rsid w:val="00D10F14"/>
    <w:rsid w:val="00D23182"/>
    <w:rsid w:val="00D31878"/>
    <w:rsid w:val="00D57AF3"/>
    <w:rsid w:val="00D70583"/>
    <w:rsid w:val="00D808BE"/>
    <w:rsid w:val="00D80F71"/>
    <w:rsid w:val="00D9133D"/>
    <w:rsid w:val="00DA00A0"/>
    <w:rsid w:val="00DA6A23"/>
    <w:rsid w:val="00DB5FC9"/>
    <w:rsid w:val="00DC02CB"/>
    <w:rsid w:val="00DC589C"/>
    <w:rsid w:val="00DC6931"/>
    <w:rsid w:val="00DD0B2D"/>
    <w:rsid w:val="00DD3CB4"/>
    <w:rsid w:val="00DD57F1"/>
    <w:rsid w:val="00DE4E51"/>
    <w:rsid w:val="00DF4027"/>
    <w:rsid w:val="00DF5697"/>
    <w:rsid w:val="00E07260"/>
    <w:rsid w:val="00E124D7"/>
    <w:rsid w:val="00E14748"/>
    <w:rsid w:val="00E35858"/>
    <w:rsid w:val="00E37D71"/>
    <w:rsid w:val="00E40CFA"/>
    <w:rsid w:val="00E46D2E"/>
    <w:rsid w:val="00E67E49"/>
    <w:rsid w:val="00E92412"/>
    <w:rsid w:val="00E97702"/>
    <w:rsid w:val="00EA1A82"/>
    <w:rsid w:val="00EB05D7"/>
    <w:rsid w:val="00EB2D49"/>
    <w:rsid w:val="00EB7897"/>
    <w:rsid w:val="00EC3018"/>
    <w:rsid w:val="00ED2707"/>
    <w:rsid w:val="00ED2DCA"/>
    <w:rsid w:val="00EE1C0F"/>
    <w:rsid w:val="00EE7D71"/>
    <w:rsid w:val="00EF1EB1"/>
    <w:rsid w:val="00EF5B51"/>
    <w:rsid w:val="00EF783C"/>
    <w:rsid w:val="00F0318C"/>
    <w:rsid w:val="00F071B4"/>
    <w:rsid w:val="00F46039"/>
    <w:rsid w:val="00F506A4"/>
    <w:rsid w:val="00F506F6"/>
    <w:rsid w:val="00F511A0"/>
    <w:rsid w:val="00F5433B"/>
    <w:rsid w:val="00F61ED9"/>
    <w:rsid w:val="00F8254A"/>
    <w:rsid w:val="00F902BE"/>
    <w:rsid w:val="00F92017"/>
    <w:rsid w:val="00FA13A5"/>
    <w:rsid w:val="00FA14DB"/>
    <w:rsid w:val="00FA7558"/>
    <w:rsid w:val="00FC68EA"/>
    <w:rsid w:val="00FD1A39"/>
    <w:rsid w:val="00FD4E07"/>
    <w:rsid w:val="00FE03BF"/>
    <w:rsid w:val="00FF34BD"/>
    <w:rsid w:val="00FF514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22C70"/>
  <w15:chartTrackingRefBased/>
  <w15:docId w15:val="{3A6D529E-0041-458F-8A10-EF501927D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198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2B70"/>
    <w:pPr>
      <w:ind w:left="720"/>
      <w:contextualSpacing/>
    </w:pPr>
  </w:style>
  <w:style w:type="paragraph" w:styleId="Header">
    <w:name w:val="header"/>
    <w:basedOn w:val="Normal"/>
    <w:link w:val="HeaderChar"/>
    <w:uiPriority w:val="99"/>
    <w:unhideWhenUsed/>
    <w:rsid w:val="008E67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74D"/>
  </w:style>
  <w:style w:type="paragraph" w:styleId="Footer">
    <w:name w:val="footer"/>
    <w:basedOn w:val="Normal"/>
    <w:link w:val="FooterChar"/>
    <w:uiPriority w:val="99"/>
    <w:unhideWhenUsed/>
    <w:rsid w:val="008E67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74D"/>
  </w:style>
  <w:style w:type="paragraph" w:customStyle="1" w:styleId="Normalnum">
    <w:name w:val="Normal num"/>
    <w:basedOn w:val="Normal"/>
    <w:link w:val="NormalnumChar"/>
    <w:qFormat/>
    <w:rsid w:val="003319FB"/>
    <w:pPr>
      <w:numPr>
        <w:numId w:val="3"/>
      </w:numPr>
      <w:tabs>
        <w:tab w:val="left" w:pos="567"/>
        <w:tab w:val="left" w:pos="851"/>
        <w:tab w:val="left" w:pos="1134"/>
        <w:tab w:val="left" w:pos="1418"/>
      </w:tabs>
      <w:spacing w:before="120" w:after="120" w:line="240" w:lineRule="auto"/>
      <w:jc w:val="both"/>
    </w:pPr>
    <w:rPr>
      <w:rFonts w:ascii="Times New Roman" w:eastAsia="Times New Roman" w:hAnsi="Times New Roman" w:cs="Times New Roman"/>
      <w:color w:val="000000"/>
      <w:sz w:val="21"/>
      <w:szCs w:val="23"/>
    </w:rPr>
  </w:style>
  <w:style w:type="character" w:customStyle="1" w:styleId="NormalnumChar">
    <w:name w:val="Normal num Char"/>
    <w:basedOn w:val="DefaultParagraphFont"/>
    <w:link w:val="Normalnum"/>
    <w:rsid w:val="003319FB"/>
    <w:rPr>
      <w:rFonts w:ascii="Times New Roman" w:eastAsia="Times New Roman" w:hAnsi="Times New Roman" w:cs="Times New Roman"/>
      <w:color w:val="000000"/>
      <w:sz w:val="21"/>
      <w:szCs w:val="23"/>
    </w:rPr>
  </w:style>
  <w:style w:type="paragraph" w:customStyle="1" w:styleId="ParaNumbering">
    <w:name w:val="ParaNumbering"/>
    <w:basedOn w:val="Normal"/>
    <w:uiPriority w:val="99"/>
    <w:rsid w:val="006F3B10"/>
    <w:pPr>
      <w:numPr>
        <w:numId w:val="6"/>
      </w:numPr>
      <w:spacing w:before="180" w:after="180" w:line="360" w:lineRule="auto"/>
      <w:jc w:val="both"/>
    </w:pPr>
    <w:rPr>
      <w:rFonts w:ascii="Times New Roman" w:eastAsia="Batang" w:hAnsi="Times New Roman" w:cs="Times New Roman"/>
      <w:sz w:val="24"/>
      <w:szCs w:val="20"/>
    </w:rPr>
  </w:style>
  <w:style w:type="paragraph" w:customStyle="1" w:styleId="MediaNeutralStyle">
    <w:name w:val="Media Neutral Style"/>
    <w:basedOn w:val="Normal"/>
    <w:next w:val="Normal"/>
    <w:semiHidden/>
    <w:rsid w:val="006F3B10"/>
    <w:pPr>
      <w:spacing w:before="20" w:after="20" w:line="360" w:lineRule="auto"/>
      <w:jc w:val="center"/>
    </w:pPr>
    <w:rPr>
      <w:rFonts w:ascii="Times New Roman" w:eastAsia="Batang" w:hAnsi="Times New Roman" w:cs="Times New Roman"/>
      <w:b/>
      <w:sz w:val="26"/>
      <w:szCs w:val="20"/>
    </w:rPr>
  </w:style>
  <w:style w:type="paragraph" w:styleId="EndnoteText">
    <w:name w:val="endnote text"/>
    <w:basedOn w:val="Normal"/>
    <w:link w:val="EndnoteTextChar"/>
    <w:uiPriority w:val="99"/>
    <w:semiHidden/>
    <w:unhideWhenUsed/>
    <w:rsid w:val="00CC650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CC650B"/>
    <w:rPr>
      <w:sz w:val="20"/>
      <w:szCs w:val="20"/>
    </w:rPr>
  </w:style>
  <w:style w:type="character" w:styleId="EndnoteReference">
    <w:name w:val="endnote reference"/>
    <w:basedOn w:val="DefaultParagraphFont"/>
    <w:uiPriority w:val="99"/>
    <w:semiHidden/>
    <w:unhideWhenUsed/>
    <w:rsid w:val="00CC650B"/>
    <w:rPr>
      <w:vertAlign w:val="superscript"/>
    </w:rPr>
  </w:style>
  <w:style w:type="character" w:styleId="FootnoteReference">
    <w:name w:val="footnote reference"/>
    <w:basedOn w:val="DefaultParagraphFont"/>
    <w:unhideWhenUsed/>
    <w:rsid w:val="00741ADF"/>
    <w:rPr>
      <w:vertAlign w:val="superscript"/>
    </w:rPr>
  </w:style>
  <w:style w:type="paragraph" w:styleId="NormalWeb">
    <w:name w:val="Normal (Web)"/>
    <w:basedOn w:val="Normal"/>
    <w:uiPriority w:val="99"/>
    <w:unhideWhenUsed/>
    <w:rsid w:val="00741ADF"/>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ListNo1">
    <w:name w:val="List No 1"/>
    <w:basedOn w:val="Normal"/>
    <w:rsid w:val="0070352E"/>
    <w:pPr>
      <w:spacing w:before="60" w:after="60" w:line="360" w:lineRule="auto"/>
      <w:jc w:val="both"/>
    </w:pPr>
    <w:rPr>
      <w:rFonts w:ascii="Times New Roman" w:eastAsia="Batang" w:hAnsi="Times New Roman" w:cs="Times New Roman"/>
      <w:sz w:val="24"/>
      <w:szCs w:val="20"/>
    </w:rPr>
  </w:style>
  <w:style w:type="paragraph" w:styleId="FootnoteText">
    <w:name w:val="footnote text"/>
    <w:basedOn w:val="Normal"/>
    <w:link w:val="FootnoteTextChar"/>
    <w:unhideWhenUsed/>
    <w:rsid w:val="00C60D18"/>
    <w:pPr>
      <w:keepLines/>
      <w:spacing w:after="60" w:line="240" w:lineRule="auto"/>
      <w:ind w:left="709" w:hanging="709"/>
      <w:jc w:val="both"/>
    </w:pPr>
    <w:rPr>
      <w:rFonts w:ascii="Times New Roman" w:eastAsia="Arial" w:hAnsi="Times New Roman" w:cs="Arial"/>
      <w:sz w:val="16"/>
      <w:szCs w:val="20"/>
      <w:lang w:eastAsia="en-AU"/>
    </w:rPr>
  </w:style>
  <w:style w:type="character" w:customStyle="1" w:styleId="FootnoteTextChar">
    <w:name w:val="Footnote Text Char"/>
    <w:basedOn w:val="DefaultParagraphFont"/>
    <w:link w:val="FootnoteText"/>
    <w:rsid w:val="00C60D18"/>
    <w:rPr>
      <w:rFonts w:ascii="Times New Roman" w:eastAsia="Arial" w:hAnsi="Times New Roman" w:cs="Arial"/>
      <w:sz w:val="16"/>
      <w:szCs w:val="20"/>
      <w:lang w:eastAsia="en-AU"/>
    </w:rPr>
  </w:style>
  <w:style w:type="paragraph" w:customStyle="1" w:styleId="subsection">
    <w:name w:val="subsection"/>
    <w:basedOn w:val="Normal"/>
    <w:rsid w:val="00EB2D49"/>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paragraph">
    <w:name w:val="paragraph"/>
    <w:basedOn w:val="Normal"/>
    <w:rsid w:val="00EB2D49"/>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styleId="BodyText">
    <w:name w:val="Body Text"/>
    <w:basedOn w:val="Normal"/>
    <w:link w:val="BodyTextChar"/>
    <w:uiPriority w:val="1"/>
    <w:qFormat/>
    <w:rsid w:val="00D70583"/>
    <w:pPr>
      <w:spacing w:after="120" w:line="240" w:lineRule="auto"/>
      <w:jc w:val="both"/>
    </w:pPr>
    <w:rPr>
      <w:rFonts w:ascii="Times New Roman" w:eastAsia="Arial" w:hAnsi="Times New Roman" w:cs="Arial"/>
      <w:szCs w:val="20"/>
      <w:lang w:eastAsia="en-AU"/>
    </w:rPr>
  </w:style>
  <w:style w:type="character" w:customStyle="1" w:styleId="BodyTextChar">
    <w:name w:val="Body Text Char"/>
    <w:basedOn w:val="DefaultParagraphFont"/>
    <w:link w:val="BodyText"/>
    <w:uiPriority w:val="1"/>
    <w:rsid w:val="00D70583"/>
    <w:rPr>
      <w:rFonts w:ascii="Times New Roman" w:eastAsia="Arial" w:hAnsi="Times New Roman" w:cs="Arial"/>
      <w:szCs w:val="20"/>
      <w:lang w:eastAsia="en-AU"/>
    </w:rPr>
  </w:style>
  <w:style w:type="paragraph" w:customStyle="1" w:styleId="001b2923">
    <w:name w:val="001b2923"/>
    <w:basedOn w:val="Normal"/>
    <w:rsid w:val="004D4371"/>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styleId="BalloonText">
    <w:name w:val="Balloon Text"/>
    <w:basedOn w:val="Normal"/>
    <w:link w:val="BalloonTextChar"/>
    <w:uiPriority w:val="99"/>
    <w:semiHidden/>
    <w:unhideWhenUsed/>
    <w:rsid w:val="00B366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36630"/>
    <w:rPr>
      <w:rFonts w:ascii="Segoe UI" w:hAnsi="Segoe UI" w:cs="Segoe UI"/>
      <w:sz w:val="18"/>
      <w:szCs w:val="18"/>
    </w:rPr>
  </w:style>
  <w:style w:type="paragraph" w:styleId="Revision">
    <w:name w:val="Revision"/>
    <w:hidden/>
    <w:uiPriority w:val="99"/>
    <w:semiHidden/>
    <w:rsid w:val="00630B27"/>
    <w:pPr>
      <w:spacing w:after="0" w:line="240" w:lineRule="auto"/>
    </w:pPr>
  </w:style>
  <w:style w:type="character" w:styleId="CommentReference">
    <w:name w:val="annotation reference"/>
    <w:basedOn w:val="DefaultParagraphFont"/>
    <w:uiPriority w:val="99"/>
    <w:semiHidden/>
    <w:unhideWhenUsed/>
    <w:rsid w:val="00EB7897"/>
    <w:rPr>
      <w:sz w:val="16"/>
      <w:szCs w:val="16"/>
    </w:rPr>
  </w:style>
  <w:style w:type="paragraph" w:styleId="CommentText">
    <w:name w:val="annotation text"/>
    <w:basedOn w:val="Normal"/>
    <w:link w:val="CommentTextChar"/>
    <w:uiPriority w:val="99"/>
    <w:semiHidden/>
    <w:unhideWhenUsed/>
    <w:rsid w:val="00EB7897"/>
    <w:pPr>
      <w:spacing w:line="240" w:lineRule="auto"/>
    </w:pPr>
    <w:rPr>
      <w:sz w:val="20"/>
      <w:szCs w:val="20"/>
    </w:rPr>
  </w:style>
  <w:style w:type="character" w:customStyle="1" w:styleId="CommentTextChar">
    <w:name w:val="Comment Text Char"/>
    <w:basedOn w:val="DefaultParagraphFont"/>
    <w:link w:val="CommentText"/>
    <w:uiPriority w:val="99"/>
    <w:semiHidden/>
    <w:rsid w:val="00EB7897"/>
    <w:rPr>
      <w:sz w:val="20"/>
      <w:szCs w:val="20"/>
    </w:rPr>
  </w:style>
  <w:style w:type="paragraph" w:styleId="CommentSubject">
    <w:name w:val="annotation subject"/>
    <w:basedOn w:val="CommentText"/>
    <w:next w:val="CommentText"/>
    <w:link w:val="CommentSubjectChar"/>
    <w:uiPriority w:val="99"/>
    <w:semiHidden/>
    <w:unhideWhenUsed/>
    <w:rsid w:val="00EB7897"/>
    <w:rPr>
      <w:b/>
      <w:bCs/>
    </w:rPr>
  </w:style>
  <w:style w:type="character" w:customStyle="1" w:styleId="CommentSubjectChar">
    <w:name w:val="Comment Subject Char"/>
    <w:basedOn w:val="CommentTextChar"/>
    <w:link w:val="CommentSubject"/>
    <w:uiPriority w:val="99"/>
    <w:semiHidden/>
    <w:rsid w:val="00EB78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237993">
      <w:bodyDiv w:val="1"/>
      <w:marLeft w:val="0"/>
      <w:marRight w:val="0"/>
      <w:marTop w:val="0"/>
      <w:marBottom w:val="0"/>
      <w:divBdr>
        <w:top w:val="none" w:sz="0" w:space="0" w:color="auto"/>
        <w:left w:val="none" w:sz="0" w:space="0" w:color="auto"/>
        <w:bottom w:val="none" w:sz="0" w:space="0" w:color="auto"/>
        <w:right w:val="none" w:sz="0" w:space="0" w:color="auto"/>
      </w:divBdr>
    </w:div>
    <w:div w:id="534346803">
      <w:bodyDiv w:val="1"/>
      <w:marLeft w:val="0"/>
      <w:marRight w:val="0"/>
      <w:marTop w:val="0"/>
      <w:marBottom w:val="0"/>
      <w:divBdr>
        <w:top w:val="none" w:sz="0" w:space="0" w:color="auto"/>
        <w:left w:val="none" w:sz="0" w:space="0" w:color="auto"/>
        <w:bottom w:val="none" w:sz="0" w:space="0" w:color="auto"/>
        <w:right w:val="none" w:sz="0" w:space="0" w:color="auto"/>
      </w:divBdr>
    </w:div>
    <w:div w:id="668750284">
      <w:bodyDiv w:val="1"/>
      <w:marLeft w:val="0"/>
      <w:marRight w:val="0"/>
      <w:marTop w:val="0"/>
      <w:marBottom w:val="0"/>
      <w:divBdr>
        <w:top w:val="none" w:sz="0" w:space="0" w:color="auto"/>
        <w:left w:val="none" w:sz="0" w:space="0" w:color="auto"/>
        <w:bottom w:val="none" w:sz="0" w:space="0" w:color="auto"/>
        <w:right w:val="none" w:sz="0" w:space="0" w:color="auto"/>
      </w:divBdr>
    </w:div>
    <w:div w:id="919605854">
      <w:bodyDiv w:val="1"/>
      <w:marLeft w:val="0"/>
      <w:marRight w:val="0"/>
      <w:marTop w:val="0"/>
      <w:marBottom w:val="0"/>
      <w:divBdr>
        <w:top w:val="none" w:sz="0" w:space="0" w:color="auto"/>
        <w:left w:val="none" w:sz="0" w:space="0" w:color="auto"/>
        <w:bottom w:val="none" w:sz="0" w:space="0" w:color="auto"/>
        <w:right w:val="none" w:sz="0" w:space="0" w:color="auto"/>
      </w:divBdr>
    </w:div>
    <w:div w:id="976422639">
      <w:bodyDiv w:val="1"/>
      <w:marLeft w:val="0"/>
      <w:marRight w:val="0"/>
      <w:marTop w:val="0"/>
      <w:marBottom w:val="0"/>
      <w:divBdr>
        <w:top w:val="none" w:sz="0" w:space="0" w:color="auto"/>
        <w:left w:val="none" w:sz="0" w:space="0" w:color="auto"/>
        <w:bottom w:val="none" w:sz="0" w:space="0" w:color="auto"/>
        <w:right w:val="none" w:sz="0" w:space="0" w:color="auto"/>
      </w:divBdr>
      <w:divsChild>
        <w:div w:id="21053946">
          <w:marLeft w:val="0"/>
          <w:marRight w:val="0"/>
          <w:marTop w:val="0"/>
          <w:marBottom w:val="0"/>
          <w:divBdr>
            <w:top w:val="none" w:sz="0" w:space="0" w:color="auto"/>
            <w:left w:val="none" w:sz="0" w:space="0" w:color="auto"/>
            <w:bottom w:val="none" w:sz="0" w:space="0" w:color="auto"/>
            <w:right w:val="none" w:sz="0" w:space="0" w:color="auto"/>
          </w:divBdr>
          <w:divsChild>
            <w:div w:id="1213620794">
              <w:marLeft w:val="0"/>
              <w:marRight w:val="0"/>
              <w:marTop w:val="0"/>
              <w:marBottom w:val="0"/>
              <w:divBdr>
                <w:top w:val="none" w:sz="0" w:space="0" w:color="auto"/>
                <w:left w:val="none" w:sz="0" w:space="0" w:color="auto"/>
                <w:bottom w:val="none" w:sz="0" w:space="0" w:color="auto"/>
                <w:right w:val="none" w:sz="0" w:space="0" w:color="auto"/>
              </w:divBdr>
              <w:divsChild>
                <w:div w:id="1705597333">
                  <w:marLeft w:val="0"/>
                  <w:marRight w:val="0"/>
                  <w:marTop w:val="0"/>
                  <w:marBottom w:val="0"/>
                  <w:divBdr>
                    <w:top w:val="none" w:sz="0" w:space="0" w:color="auto"/>
                    <w:left w:val="none" w:sz="0" w:space="0" w:color="auto"/>
                    <w:bottom w:val="none" w:sz="0" w:space="0" w:color="auto"/>
                    <w:right w:val="none" w:sz="0" w:space="0" w:color="auto"/>
                  </w:divBdr>
                  <w:divsChild>
                    <w:div w:id="1904942745">
                      <w:marLeft w:val="0"/>
                      <w:marRight w:val="0"/>
                      <w:marTop w:val="0"/>
                      <w:marBottom w:val="0"/>
                      <w:divBdr>
                        <w:top w:val="none" w:sz="0" w:space="0" w:color="auto"/>
                        <w:left w:val="none" w:sz="0" w:space="0" w:color="auto"/>
                        <w:bottom w:val="none" w:sz="0" w:space="0" w:color="auto"/>
                        <w:right w:val="none" w:sz="0" w:space="0" w:color="auto"/>
                      </w:divBdr>
                      <w:divsChild>
                        <w:div w:id="64647779">
                          <w:marLeft w:val="0"/>
                          <w:marRight w:val="0"/>
                          <w:marTop w:val="0"/>
                          <w:marBottom w:val="0"/>
                          <w:divBdr>
                            <w:top w:val="none" w:sz="0" w:space="0" w:color="auto"/>
                            <w:left w:val="none" w:sz="0" w:space="0" w:color="auto"/>
                            <w:bottom w:val="none" w:sz="0" w:space="0" w:color="auto"/>
                            <w:right w:val="none" w:sz="0" w:space="0" w:color="auto"/>
                          </w:divBdr>
                          <w:divsChild>
                            <w:div w:id="619845947">
                              <w:marLeft w:val="0"/>
                              <w:marRight w:val="0"/>
                              <w:marTop w:val="0"/>
                              <w:marBottom w:val="0"/>
                              <w:divBdr>
                                <w:top w:val="none" w:sz="0" w:space="0" w:color="auto"/>
                                <w:left w:val="none" w:sz="0" w:space="0" w:color="auto"/>
                                <w:bottom w:val="none" w:sz="0" w:space="0" w:color="auto"/>
                                <w:right w:val="none" w:sz="0" w:space="0" w:color="auto"/>
                              </w:divBdr>
                              <w:divsChild>
                                <w:div w:id="2051146703">
                                  <w:marLeft w:val="0"/>
                                  <w:marRight w:val="0"/>
                                  <w:marTop w:val="0"/>
                                  <w:marBottom w:val="0"/>
                                  <w:divBdr>
                                    <w:top w:val="none" w:sz="0" w:space="0" w:color="auto"/>
                                    <w:left w:val="none" w:sz="0" w:space="0" w:color="auto"/>
                                    <w:bottom w:val="none" w:sz="0" w:space="0" w:color="auto"/>
                                    <w:right w:val="none" w:sz="0" w:space="0" w:color="auto"/>
                                  </w:divBdr>
                                  <w:divsChild>
                                    <w:div w:id="1227915012">
                                      <w:marLeft w:val="0"/>
                                      <w:marRight w:val="0"/>
                                      <w:marTop w:val="0"/>
                                      <w:marBottom w:val="0"/>
                                      <w:divBdr>
                                        <w:top w:val="none" w:sz="0" w:space="0" w:color="auto"/>
                                        <w:left w:val="none" w:sz="0" w:space="0" w:color="auto"/>
                                        <w:bottom w:val="none" w:sz="0" w:space="0" w:color="auto"/>
                                        <w:right w:val="none" w:sz="0" w:space="0" w:color="auto"/>
                                      </w:divBdr>
                                      <w:divsChild>
                                        <w:div w:id="852838020">
                                          <w:marLeft w:val="0"/>
                                          <w:marRight w:val="0"/>
                                          <w:marTop w:val="0"/>
                                          <w:marBottom w:val="0"/>
                                          <w:divBdr>
                                            <w:top w:val="none" w:sz="0" w:space="0" w:color="auto"/>
                                            <w:left w:val="none" w:sz="0" w:space="0" w:color="auto"/>
                                            <w:bottom w:val="none" w:sz="0" w:space="0" w:color="auto"/>
                                            <w:right w:val="none" w:sz="0" w:space="0" w:color="auto"/>
                                          </w:divBdr>
                                          <w:divsChild>
                                            <w:div w:id="1288469807">
                                              <w:marLeft w:val="0"/>
                                              <w:marRight w:val="0"/>
                                              <w:marTop w:val="0"/>
                                              <w:marBottom w:val="0"/>
                                              <w:divBdr>
                                                <w:top w:val="none" w:sz="0" w:space="0" w:color="auto"/>
                                                <w:left w:val="none" w:sz="0" w:space="0" w:color="auto"/>
                                                <w:bottom w:val="none" w:sz="0" w:space="0" w:color="auto"/>
                                                <w:right w:val="none" w:sz="0" w:space="0" w:color="auto"/>
                                              </w:divBdr>
                                              <w:divsChild>
                                                <w:div w:id="19252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6783179">
      <w:bodyDiv w:val="1"/>
      <w:marLeft w:val="0"/>
      <w:marRight w:val="0"/>
      <w:marTop w:val="0"/>
      <w:marBottom w:val="0"/>
      <w:divBdr>
        <w:top w:val="none" w:sz="0" w:space="0" w:color="auto"/>
        <w:left w:val="none" w:sz="0" w:space="0" w:color="auto"/>
        <w:bottom w:val="none" w:sz="0" w:space="0" w:color="auto"/>
        <w:right w:val="none" w:sz="0" w:space="0" w:color="auto"/>
      </w:divBdr>
    </w:div>
    <w:div w:id="1198854740">
      <w:bodyDiv w:val="1"/>
      <w:marLeft w:val="0"/>
      <w:marRight w:val="0"/>
      <w:marTop w:val="0"/>
      <w:marBottom w:val="0"/>
      <w:divBdr>
        <w:top w:val="none" w:sz="0" w:space="0" w:color="auto"/>
        <w:left w:val="none" w:sz="0" w:space="0" w:color="auto"/>
        <w:bottom w:val="none" w:sz="0" w:space="0" w:color="auto"/>
        <w:right w:val="none" w:sz="0" w:space="0" w:color="auto"/>
      </w:divBdr>
    </w:div>
    <w:div w:id="1219129858">
      <w:bodyDiv w:val="1"/>
      <w:marLeft w:val="0"/>
      <w:marRight w:val="0"/>
      <w:marTop w:val="0"/>
      <w:marBottom w:val="0"/>
      <w:divBdr>
        <w:top w:val="none" w:sz="0" w:space="0" w:color="auto"/>
        <w:left w:val="none" w:sz="0" w:space="0" w:color="auto"/>
        <w:bottom w:val="none" w:sz="0" w:space="0" w:color="auto"/>
        <w:right w:val="none" w:sz="0" w:space="0" w:color="auto"/>
      </w:divBdr>
    </w:div>
    <w:div w:id="1574585319">
      <w:bodyDiv w:val="1"/>
      <w:marLeft w:val="0"/>
      <w:marRight w:val="0"/>
      <w:marTop w:val="0"/>
      <w:marBottom w:val="0"/>
      <w:divBdr>
        <w:top w:val="none" w:sz="0" w:space="0" w:color="auto"/>
        <w:left w:val="none" w:sz="0" w:space="0" w:color="auto"/>
        <w:bottom w:val="none" w:sz="0" w:space="0" w:color="auto"/>
        <w:right w:val="none" w:sz="0" w:space="0" w:color="auto"/>
      </w:divBdr>
    </w:div>
    <w:div w:id="1895580576">
      <w:bodyDiv w:val="1"/>
      <w:marLeft w:val="0"/>
      <w:marRight w:val="0"/>
      <w:marTop w:val="0"/>
      <w:marBottom w:val="0"/>
      <w:divBdr>
        <w:top w:val="none" w:sz="0" w:space="0" w:color="auto"/>
        <w:left w:val="none" w:sz="0" w:space="0" w:color="auto"/>
        <w:bottom w:val="none" w:sz="0" w:space="0" w:color="auto"/>
        <w:right w:val="none" w:sz="0" w:space="0" w:color="auto"/>
      </w:divBdr>
    </w:div>
    <w:div w:id="1926651300">
      <w:bodyDiv w:val="1"/>
      <w:marLeft w:val="0"/>
      <w:marRight w:val="0"/>
      <w:marTop w:val="0"/>
      <w:marBottom w:val="0"/>
      <w:divBdr>
        <w:top w:val="none" w:sz="0" w:space="0" w:color="auto"/>
        <w:left w:val="none" w:sz="0" w:space="0" w:color="auto"/>
        <w:bottom w:val="none" w:sz="0" w:space="0" w:color="auto"/>
        <w:right w:val="none" w:sz="0" w:space="0" w:color="auto"/>
      </w:divBdr>
    </w:div>
    <w:div w:id="1943952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047BD3-F2C2-424A-A4B1-1A90946BB6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4278</Words>
  <Characters>24388</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Federal Court of Australia</Company>
  <LinksUpToDate>false</LinksUpToDate>
  <CharactersWithSpaces>28609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Justice Murphy (FCA)</dc:creator>
  <cp:keywords/>
  <dc:description/>
  <cp:lastModifiedBy>Angela Fassoulas</cp:lastModifiedBy>
  <cp:revision>2</cp:revision>
  <cp:lastPrinted>2018-10-26T01:31:00Z</cp:lastPrinted>
  <dcterms:created xsi:type="dcterms:W3CDTF">2018-11-01T03:34:00Z</dcterms:created>
  <dcterms:modified xsi:type="dcterms:W3CDTF">2018-11-01T03:34:00Z</dcterms:modified>
</cp:coreProperties>
</file>