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FF" w:rsidRDefault="005050FF" w:rsidP="005050FF">
      <w:bookmarkStart w:id="0" w:name="_Toc399944800"/>
      <w:bookmarkStart w:id="1" w:name="_GoBack"/>
      <w:bookmarkEnd w:id="1"/>
    </w:p>
    <w:p w:rsidR="005050FF" w:rsidRDefault="005050FF" w:rsidP="005050FF"/>
    <w:p w:rsidR="005050FF" w:rsidRDefault="005050FF" w:rsidP="005050FF"/>
    <w:p w:rsidR="005050FF" w:rsidRPr="00222E46" w:rsidRDefault="005050FF" w:rsidP="005050FF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>
        <w:tab/>
      </w:r>
      <w:r w:rsidRPr="00222E46">
        <w:rPr>
          <w:rFonts w:ascii="Arial Narrow" w:hAnsi="Arial Narrow"/>
          <w:b/>
          <w:i/>
          <w:smallCaps/>
          <w:sz w:val="56"/>
          <w:szCs w:val="68"/>
        </w:rPr>
        <w:t xml:space="preserve">Annual Court Reporting Toolkit - </w:t>
      </w:r>
    </w:p>
    <w:p w:rsidR="005050FF" w:rsidRPr="00222E46" w:rsidRDefault="005050FF" w:rsidP="005050FF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 w:rsidRPr="00222E46">
        <w:rPr>
          <w:rFonts w:ascii="Arial Narrow" w:hAnsi="Arial Narrow"/>
          <w:b/>
          <w:i/>
          <w:smallCaps/>
          <w:sz w:val="56"/>
          <w:szCs w:val="68"/>
        </w:rPr>
        <w:t>Additional Documentation</w:t>
      </w:r>
    </w:p>
    <w:p w:rsidR="005050FF" w:rsidRDefault="005050FF" w:rsidP="005050FF">
      <w:pPr>
        <w:tabs>
          <w:tab w:val="left" w:pos="2579"/>
        </w:tabs>
        <w:spacing w:after="0" w:line="240" w:lineRule="auto"/>
      </w:pPr>
    </w:p>
    <w:p w:rsidR="005050FF" w:rsidRDefault="005050FF" w:rsidP="005050FF">
      <w:pPr>
        <w:tabs>
          <w:tab w:val="left" w:pos="2579"/>
        </w:tabs>
        <w:spacing w:after="0" w:line="240" w:lineRule="auto"/>
      </w:pPr>
    </w:p>
    <w:p w:rsidR="005050FF" w:rsidRDefault="005050FF" w:rsidP="005050FF">
      <w:pPr>
        <w:tabs>
          <w:tab w:val="left" w:pos="2579"/>
        </w:tabs>
        <w:spacing w:after="0" w:line="240" w:lineRule="auto"/>
      </w:pPr>
    </w:p>
    <w:p w:rsidR="005050FF" w:rsidRDefault="005050FF" w:rsidP="005050FF">
      <w:pPr>
        <w:tabs>
          <w:tab w:val="left" w:pos="2579"/>
        </w:tabs>
        <w:spacing w:after="0" w:line="240" w:lineRule="auto"/>
      </w:pPr>
    </w:p>
    <w:p w:rsidR="005050FF" w:rsidRPr="001474F6" w:rsidRDefault="005050FF" w:rsidP="005050FF">
      <w:pPr>
        <w:jc w:val="center"/>
        <w:rPr>
          <w:rFonts w:ascii="Arial Narrow" w:hAnsi="Arial Narrow"/>
          <w:sz w:val="23"/>
          <w:szCs w:val="23"/>
        </w:rPr>
      </w:pP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8" w:history="1">
        <w:r w:rsidRPr="001474F6">
          <w:rPr>
            <w:rStyle w:val="Hyperlink"/>
            <w:rFonts w:ascii="Arial Narrow" w:hAnsi="Arial Narrow"/>
            <w:sz w:val="23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5050FF" w:rsidRPr="00222E46" w:rsidRDefault="005050FF" w:rsidP="005050FF"/>
    <w:p w:rsidR="005050FF" w:rsidRPr="00222E46" w:rsidRDefault="005050FF" w:rsidP="005050FF"/>
    <w:p w:rsidR="005050FF" w:rsidRPr="00222E46" w:rsidRDefault="005050FF" w:rsidP="005050FF"/>
    <w:p w:rsidR="005050FF" w:rsidRPr="00222E46" w:rsidRDefault="005050FF" w:rsidP="005050FF"/>
    <w:p w:rsidR="005050FF" w:rsidRPr="00222E46" w:rsidRDefault="005050FF" w:rsidP="005050FF"/>
    <w:p w:rsidR="005050FF" w:rsidRDefault="005050FF" w:rsidP="005050FF"/>
    <w:p w:rsidR="005050FF" w:rsidRDefault="005050FF" w:rsidP="005050FF"/>
    <w:p w:rsidR="005050FF" w:rsidRDefault="005050FF" w:rsidP="005050FF"/>
    <w:p w:rsidR="005050FF" w:rsidRDefault="005050FF" w:rsidP="005050FF"/>
    <w:p w:rsidR="005050FF" w:rsidRDefault="005050FF" w:rsidP="005050FF"/>
    <w:p w:rsidR="005050FF" w:rsidRDefault="005050FF" w:rsidP="005050FF"/>
    <w:p w:rsidR="005050FF" w:rsidRDefault="005050FF" w:rsidP="005050FF"/>
    <w:p w:rsidR="005050FF" w:rsidRPr="00222E46" w:rsidRDefault="005050FF" w:rsidP="005050FF"/>
    <w:p w:rsidR="005050FF" w:rsidRPr="00222E46" w:rsidRDefault="005050FF" w:rsidP="005050FF"/>
    <w:p w:rsidR="005050FF" w:rsidRPr="001474F6" w:rsidRDefault="005050FF" w:rsidP="005050FF">
      <w:pPr>
        <w:rPr>
          <w:rFonts w:ascii="Arial Narrow" w:hAnsi="Arial Narrow"/>
          <w:sz w:val="23"/>
          <w:szCs w:val="23"/>
        </w:rPr>
      </w:pP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Toolkits are evolving and changes may be made in future versions. For the latest version of </w:t>
      </w: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 xml:space="preserve">this Additional Documentation please </w:t>
      </w: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refer to the website – </w:t>
      </w: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9" w:history="1">
        <w:r w:rsidRPr="001474F6">
          <w:rPr>
            <w:rStyle w:val="Hyperlink"/>
            <w:rFonts w:ascii="Arial Narrow" w:hAnsi="Arial Narrow"/>
            <w:sz w:val="23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5050FF" w:rsidRPr="001474F6" w:rsidRDefault="005050FF" w:rsidP="005050FF">
      <w:pPr>
        <w:spacing w:after="0" w:line="240" w:lineRule="auto"/>
        <w:rPr>
          <w:rFonts w:ascii="Arial Narrow" w:eastAsia="MS ??" w:hAnsi="Arial Narrow" w:cs="Times New Roman"/>
          <w:sz w:val="23"/>
          <w:szCs w:val="23"/>
          <w:lang w:eastAsia="en-AU"/>
        </w:rPr>
      </w:pPr>
    </w:p>
    <w:p w:rsidR="005050FF" w:rsidRPr="001474F6" w:rsidRDefault="005050FF" w:rsidP="005050FF">
      <w:pPr>
        <w:spacing w:after="0" w:line="240" w:lineRule="auto"/>
        <w:rPr>
          <w:rFonts w:ascii="Arial Narrow" w:hAnsi="Arial Narrow"/>
          <w:sz w:val="23"/>
          <w:szCs w:val="23"/>
        </w:rPr>
        <w:sectPr w:rsidR="005050FF" w:rsidRPr="001474F6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>Note: While every effort has been made to produce informative and educative tools, the applicability of these may vary depending on co</w:t>
      </w:r>
      <w:r>
        <w:rPr>
          <w:rFonts w:ascii="Arial Narrow" w:eastAsia="MS ??" w:hAnsi="Arial Narrow" w:cs="Times New Roman"/>
          <w:sz w:val="23"/>
          <w:szCs w:val="23"/>
          <w:lang w:val="en-US" w:eastAsia="en-AU"/>
        </w:rPr>
        <w:t>untry and regional circumstance.</w:t>
      </w:r>
    </w:p>
    <w:p w:rsidR="005050FF" w:rsidRDefault="005050FF" w:rsidP="00317A3E">
      <w:pPr>
        <w:pStyle w:val="Heading1"/>
        <w:spacing w:before="0" w:after="0"/>
        <w:rPr>
          <w:szCs w:val="26"/>
        </w:rPr>
        <w:sectPr w:rsidR="005050FF" w:rsidSect="00BF4193">
          <w:headerReference w:type="default" r:id="rId11"/>
          <w:footerReference w:type="default" r:id="rId12"/>
          <w:pgSz w:w="11906" w:h="16838"/>
          <w:pgMar w:top="1440" w:right="1440" w:bottom="1440" w:left="1440" w:header="426" w:footer="255" w:gutter="0"/>
          <w:cols w:space="708"/>
          <w:docGrid w:linePitch="360"/>
        </w:sectPr>
      </w:pPr>
    </w:p>
    <w:p w:rsidR="00317A3E" w:rsidRDefault="00317A3E" w:rsidP="00317A3E">
      <w:pPr>
        <w:pStyle w:val="Heading1"/>
        <w:spacing w:before="0" w:after="0"/>
        <w:rPr>
          <w:szCs w:val="26"/>
        </w:rPr>
      </w:pPr>
      <w:r w:rsidRPr="00DB6B19">
        <w:rPr>
          <w:szCs w:val="26"/>
        </w:rPr>
        <w:lastRenderedPageBreak/>
        <w:t xml:space="preserve">Annex </w:t>
      </w:r>
      <w:r w:rsidR="008D4B03">
        <w:rPr>
          <w:szCs w:val="26"/>
        </w:rPr>
        <w:t>18</w:t>
      </w:r>
      <w:bookmarkEnd w:id="0"/>
      <w:r w:rsidR="008D4B03">
        <w:rPr>
          <w:szCs w:val="26"/>
        </w:rPr>
        <w:t>: Fiji courts 2011-2017 cases on paclii</w:t>
      </w:r>
      <w:r w:rsidRPr="00DB6B19">
        <w:rPr>
          <w:szCs w:val="26"/>
        </w:rPr>
        <w:t xml:space="preserve"> </w:t>
      </w:r>
    </w:p>
    <w:p w:rsidR="00E36202" w:rsidRDefault="008D4B03">
      <w:r>
        <w:rPr>
          <w:noProof/>
          <w:lang w:eastAsia="en-AU"/>
        </w:rPr>
        <w:drawing>
          <wp:inline distT="0" distB="0" distL="0" distR="0">
            <wp:extent cx="6099483" cy="7600208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716" cy="760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202" w:rsidSect="005050FF">
      <w:headerReference w:type="default" r:id="rId14"/>
      <w:footerReference w:type="default" r:id="rId15"/>
      <w:pgSz w:w="11906" w:h="16838"/>
      <w:pgMar w:top="1440" w:right="1440" w:bottom="1440" w:left="1440" w:header="42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7E" w:rsidRDefault="005C1D7E" w:rsidP="00222E46">
      <w:pPr>
        <w:spacing w:after="0" w:line="240" w:lineRule="auto"/>
      </w:pPr>
      <w:r>
        <w:separator/>
      </w:r>
    </w:p>
  </w:endnote>
  <w:endnote w:type="continuationSeparator" w:id="0">
    <w:p w:rsidR="005C1D7E" w:rsidRDefault="005C1D7E" w:rsidP="002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Default="00222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5" w:type="dxa"/>
      <w:tblInd w:w="-927" w:type="dxa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8950"/>
      <w:gridCol w:w="2205"/>
    </w:tblGrid>
    <w:tr w:rsidR="005050FF" w:rsidRPr="00545917" w:rsidTr="00623ADF">
      <w:trPr>
        <w:trHeight w:val="140"/>
      </w:trPr>
      <w:tc>
        <w:tcPr>
          <w:tcW w:w="8950" w:type="dxa"/>
          <w:tcBorders>
            <w:top w:val="single" w:sz="18" w:space="0" w:color="0E6060"/>
          </w:tcBorders>
        </w:tcPr>
        <w:p w:rsidR="005050FF" w:rsidRPr="00545917" w:rsidRDefault="005050FF" w:rsidP="00545917">
          <w:pPr>
            <w:snapToGrid w:val="0"/>
            <w:spacing w:before="120" w:after="0" w:line="240" w:lineRule="auto"/>
            <w:ind w:left="819"/>
            <w:rPr>
              <w:rFonts w:ascii="Arial Narrow" w:eastAsia="MS Mincho" w:hAnsi="Arial Narrow" w:cs="Calibri"/>
              <w:i/>
              <w:sz w:val="20"/>
              <w:szCs w:val="32"/>
              <w:lang w:eastAsia="en-AU"/>
            </w:rPr>
          </w:pPr>
          <w:r w:rsidRPr="00545917">
            <w:rPr>
              <w:rFonts w:ascii="Arial Narrow" w:eastAsia="MS ??" w:hAnsi="Arial Narrow" w:cs="Times New Roman"/>
              <w:i/>
              <w:sz w:val="20"/>
              <w:szCs w:val="20"/>
              <w:lang w:eastAsia="en-AU"/>
            </w:rPr>
            <w:t>PJDP is funded by the Government of New Zealand and managed by the Federal Court of Australia</w:t>
          </w:r>
        </w:p>
      </w:tc>
      <w:tc>
        <w:tcPr>
          <w:tcW w:w="2205" w:type="dxa"/>
          <w:tcBorders>
            <w:top w:val="single" w:sz="18" w:space="0" w:color="0E6060"/>
          </w:tcBorders>
          <w:vAlign w:val="bottom"/>
        </w:tcPr>
        <w:p w:rsidR="005050FF" w:rsidRPr="00545917" w:rsidRDefault="005050FF" w:rsidP="00545917">
          <w:pPr>
            <w:autoSpaceDE w:val="0"/>
            <w:autoSpaceDN w:val="0"/>
            <w:adjustRightInd w:val="0"/>
            <w:spacing w:after="0" w:line="240" w:lineRule="auto"/>
            <w:ind w:left="195" w:right="44"/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</w:pP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 xml:space="preserve">  A</w:t>
          </w:r>
          <w:r w:rsidR="008D4B03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18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-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begin"/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instrText xml:space="preserve"> PAGE </w:instrTex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separate"/>
          </w:r>
          <w:r w:rsidR="007152EB">
            <w:rPr>
              <w:rFonts w:ascii="Cambria" w:eastAsia="MS Mincho" w:hAnsi="Cambria" w:cs="Times New Roman"/>
              <w:noProof/>
              <w:color w:val="0E6060"/>
              <w:sz w:val="40"/>
              <w:szCs w:val="44"/>
              <w:lang w:eastAsia="en-AU"/>
            </w:rPr>
            <w:t>1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end"/>
          </w:r>
        </w:p>
        <w:p w:rsidR="005050FF" w:rsidRPr="00545917" w:rsidRDefault="005050FF" w:rsidP="00545917">
          <w:pPr>
            <w:spacing w:after="0" w:line="240" w:lineRule="auto"/>
            <w:rPr>
              <w:rFonts w:ascii="Arial Narrow" w:eastAsia="MS ??" w:hAnsi="Arial Narrow" w:cs="Times New Roman"/>
              <w:color w:val="0E6060"/>
              <w:sz w:val="5"/>
              <w:szCs w:val="24"/>
              <w:lang w:eastAsia="en-AU"/>
            </w:rPr>
          </w:pPr>
        </w:p>
      </w:tc>
    </w:tr>
  </w:tbl>
  <w:p w:rsidR="005050FF" w:rsidRDefault="00505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7E" w:rsidRDefault="005C1D7E" w:rsidP="00222E46">
      <w:pPr>
        <w:spacing w:after="0" w:line="240" w:lineRule="auto"/>
      </w:pPr>
      <w:r>
        <w:separator/>
      </w:r>
    </w:p>
  </w:footnote>
  <w:footnote w:type="continuationSeparator" w:id="0">
    <w:p w:rsidR="005C1D7E" w:rsidRDefault="005C1D7E" w:rsidP="0022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FF" w:rsidRPr="00B44902" w:rsidRDefault="005050FF" w:rsidP="00222E46">
    <w:pPr>
      <w:pStyle w:val="Header"/>
      <w:rPr>
        <w:szCs w:val="12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BA2753C" wp14:editId="32785843">
          <wp:simplePos x="0" y="0"/>
          <wp:positionH relativeFrom="column">
            <wp:posOffset>-918845</wp:posOffset>
          </wp:positionH>
          <wp:positionV relativeFrom="paragraph">
            <wp:posOffset>23967</wp:posOffset>
          </wp:positionV>
          <wp:extent cx="7580630" cy="594995"/>
          <wp:effectExtent l="0" t="0" r="1270" b="0"/>
          <wp:wrapNone/>
          <wp:docPr id="9" name="Picture 9" descr="FCA Colour Bar (Horizontal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CA Colour Bar (Horizontal).bmp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FF" w:rsidRPr="000E14AE" w:rsidRDefault="005050FF" w:rsidP="00222E4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ED788" wp14:editId="78FF6A66">
              <wp:simplePos x="0" y="0"/>
              <wp:positionH relativeFrom="column">
                <wp:posOffset>-918845</wp:posOffset>
              </wp:positionH>
              <wp:positionV relativeFrom="paragraph">
                <wp:posOffset>4236248</wp:posOffset>
              </wp:positionV>
              <wp:extent cx="7667625" cy="492760"/>
              <wp:effectExtent l="0" t="0" r="9525" b="254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7625" cy="492760"/>
                      </a:xfrm>
                      <a:prstGeom prst="rect">
                        <a:avLst/>
                      </a:prstGeom>
                      <a:solidFill>
                        <a:srgbClr val="0E606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43F9E" id="Rectangle 5" o:spid="_x0000_s1026" style="position:absolute;margin-left:-72.35pt;margin-top:333.55pt;width:603.7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" fillcolor="#0e6060" stroked="f" strokeweight="2pt">
              <v:path arrowok="t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1BDC4" wp14:editId="4CFA0C00">
              <wp:simplePos x="0" y="0"/>
              <wp:positionH relativeFrom="column">
                <wp:posOffset>-918210</wp:posOffset>
              </wp:positionH>
              <wp:positionV relativeFrom="paragraph">
                <wp:posOffset>4681855</wp:posOffset>
              </wp:positionV>
              <wp:extent cx="7580630" cy="5613400"/>
              <wp:effectExtent l="0" t="0" r="1270" b="63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5613400"/>
                      </a:xfrm>
                      <a:prstGeom prst="rect">
                        <a:avLst/>
                      </a:prstGeom>
                      <a:solidFill>
                        <a:srgbClr val="CBDCE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2FDC9" id="Rectangle 6" o:spid="_x0000_s1026" style="position:absolute;margin-left:-72.3pt;margin-top:368.65pt;width:596.9pt;height:4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" fillcolor="#cbdce1" stroked="f" strokecolor="white"/>
          </w:pict>
        </mc:Fallback>
      </mc:AlternateContent>
    </w:r>
  </w:p>
  <w:p w:rsidR="005050FF" w:rsidRDefault="00505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Default="00222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70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0"/>
      <w:gridCol w:w="10350"/>
    </w:tblGrid>
    <w:tr w:rsidR="005050FF" w:rsidRPr="00545917" w:rsidTr="00623ADF">
      <w:trPr>
        <w:trHeight w:val="782"/>
        <w:jc w:val="center"/>
      </w:trPr>
      <w:tc>
        <w:tcPr>
          <w:tcW w:w="920" w:type="dxa"/>
          <w:tcBorders>
            <w:bottom w:val="nil"/>
          </w:tcBorders>
          <w:vAlign w:val="bottom"/>
        </w:tcPr>
        <w:p w:rsidR="005050FF" w:rsidRPr="00545917" w:rsidRDefault="005050FF" w:rsidP="00545917">
          <w:pPr>
            <w:spacing w:after="0" w:line="240" w:lineRule="auto"/>
            <w:rPr>
              <w:rFonts w:ascii="Arial Narrow" w:eastAsia="MS ??" w:hAnsi="Arial Narrow" w:cs="Times New Roman"/>
              <w:sz w:val="5"/>
              <w:szCs w:val="24"/>
              <w:lang w:eastAsia="en-AU"/>
            </w:rPr>
          </w:pPr>
        </w:p>
      </w:tc>
      <w:tc>
        <w:tcPr>
          <w:tcW w:w="10350" w:type="dxa"/>
          <w:tcBorders>
            <w:bottom w:val="nil"/>
          </w:tcBorders>
          <w:vAlign w:val="bottom"/>
        </w:tcPr>
        <w:p w:rsidR="005050FF" w:rsidRPr="00545917" w:rsidRDefault="005050FF" w:rsidP="00545917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</w:pPr>
          <w:r w:rsidRPr="00545917"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  <w:t>Pacific Judicial Development Programme</w:t>
          </w:r>
        </w:p>
        <w:p w:rsidR="005050FF" w:rsidRPr="00545917" w:rsidRDefault="005050FF" w:rsidP="00545917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Arial"/>
              <w:sz w:val="20"/>
              <w:szCs w:val="20"/>
              <w:lang w:eastAsia="en-AU"/>
            </w:rPr>
          </w:pPr>
          <w:r w:rsidRPr="00545917"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 xml:space="preserve">Annual Court Reporting Toolkit </w:t>
          </w:r>
        </w:p>
      </w:tc>
    </w:tr>
    <w:tr w:rsidR="005050FF" w:rsidRPr="00545917" w:rsidTr="00623ADF">
      <w:trPr>
        <w:trHeight w:val="286"/>
        <w:jc w:val="center"/>
      </w:trPr>
      <w:tc>
        <w:tcPr>
          <w:tcW w:w="11270" w:type="dxa"/>
          <w:gridSpan w:val="2"/>
          <w:tcBorders>
            <w:top w:val="nil"/>
            <w:bottom w:val="nil"/>
          </w:tcBorders>
        </w:tcPr>
        <w:p w:rsidR="005050FF" w:rsidRPr="00545917" w:rsidRDefault="005050FF" w:rsidP="00545917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right"/>
            <w:rPr>
              <w:rFonts w:ascii="Arial Narrow" w:eastAsia="MS Mincho" w:hAnsi="Arial Narrow" w:cs="Arial"/>
              <w:sz w:val="23"/>
              <w:szCs w:val="24"/>
              <w:lang w:eastAsia="en-AU"/>
            </w:rPr>
          </w:pPr>
          <w:r w:rsidRPr="00545917">
            <w:rPr>
              <w:rFonts w:ascii="Arial Narrow" w:eastAsia="MS Mincho" w:hAnsi="Arial Narrow" w:cs="Arial"/>
              <w:noProof/>
              <w:sz w:val="4"/>
              <w:szCs w:val="19"/>
              <w:lang w:eastAsia="en-AU"/>
            </w:rPr>
            <w:drawing>
              <wp:inline distT="0" distB="0" distL="0" distR="0" wp14:anchorId="7FE11804" wp14:editId="796342AB">
                <wp:extent cx="7150100" cy="165100"/>
                <wp:effectExtent l="0" t="0" r="0" b="6350"/>
                <wp:docPr id="22" name="Picture 22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50FF" w:rsidRDefault="00505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487"/>
    <w:multiLevelType w:val="hybridMultilevel"/>
    <w:tmpl w:val="27D0BB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747"/>
    <w:multiLevelType w:val="hybridMultilevel"/>
    <w:tmpl w:val="BE3CB5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427"/>
    <w:multiLevelType w:val="hybridMultilevel"/>
    <w:tmpl w:val="473679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0202"/>
    <w:multiLevelType w:val="hybridMultilevel"/>
    <w:tmpl w:val="7BB2BE1E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118D"/>
    <w:multiLevelType w:val="hybridMultilevel"/>
    <w:tmpl w:val="F31CFF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0B47"/>
    <w:multiLevelType w:val="hybridMultilevel"/>
    <w:tmpl w:val="57BAFC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301E"/>
    <w:multiLevelType w:val="hybridMultilevel"/>
    <w:tmpl w:val="E752D2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1D1E"/>
    <w:multiLevelType w:val="hybridMultilevel"/>
    <w:tmpl w:val="5CD6030C"/>
    <w:lvl w:ilvl="0" w:tplc="58448EA2">
      <w:start w:val="1"/>
      <w:numFmt w:val="upperRoman"/>
      <w:lvlText w:val="%1."/>
      <w:lvlJc w:val="left"/>
      <w:pPr>
        <w:ind w:left="54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3073A7"/>
    <w:multiLevelType w:val="hybridMultilevel"/>
    <w:tmpl w:val="4A8AEC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D4145"/>
    <w:multiLevelType w:val="hybridMultilevel"/>
    <w:tmpl w:val="4D5C5AB4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6E7C"/>
    <w:multiLevelType w:val="hybridMultilevel"/>
    <w:tmpl w:val="7EE47B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2207"/>
    <w:multiLevelType w:val="hybridMultilevel"/>
    <w:tmpl w:val="BECE9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A513A"/>
    <w:multiLevelType w:val="hybridMultilevel"/>
    <w:tmpl w:val="DCAE81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E0014"/>
    <w:multiLevelType w:val="hybridMultilevel"/>
    <w:tmpl w:val="38E29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CC5BF8"/>
    <w:multiLevelType w:val="hybridMultilevel"/>
    <w:tmpl w:val="0C2A0D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21F2A"/>
    <w:multiLevelType w:val="hybridMultilevel"/>
    <w:tmpl w:val="E24067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66D8E"/>
    <w:multiLevelType w:val="hybridMultilevel"/>
    <w:tmpl w:val="2B1C33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E3F00"/>
    <w:multiLevelType w:val="hybridMultilevel"/>
    <w:tmpl w:val="7EE47B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2"/>
  </w:num>
  <w:num w:numId="7">
    <w:abstractNumId w:val="1"/>
  </w:num>
  <w:num w:numId="8">
    <w:abstractNumId w:val="11"/>
  </w:num>
  <w:num w:numId="9">
    <w:abstractNumId w:val="6"/>
  </w:num>
  <w:num w:numId="10">
    <w:abstractNumId w:val="4"/>
  </w:num>
  <w:num w:numId="11">
    <w:abstractNumId w:val="14"/>
  </w:num>
  <w:num w:numId="12">
    <w:abstractNumId w:val="16"/>
  </w:num>
  <w:num w:numId="13">
    <w:abstractNumId w:val="15"/>
  </w:num>
  <w:num w:numId="14">
    <w:abstractNumId w:val="5"/>
  </w:num>
  <w:num w:numId="15">
    <w:abstractNumId w:val="10"/>
  </w:num>
  <w:num w:numId="16">
    <w:abstractNumId w:val="2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46"/>
    <w:rsid w:val="000337E1"/>
    <w:rsid w:val="00054BFF"/>
    <w:rsid w:val="00222E46"/>
    <w:rsid w:val="00317A3E"/>
    <w:rsid w:val="005050FF"/>
    <w:rsid w:val="005318AF"/>
    <w:rsid w:val="00545917"/>
    <w:rsid w:val="005C1D7E"/>
    <w:rsid w:val="007152EB"/>
    <w:rsid w:val="008D4B03"/>
    <w:rsid w:val="00BD20E3"/>
    <w:rsid w:val="00BF4193"/>
    <w:rsid w:val="00C32251"/>
    <w:rsid w:val="00E36202"/>
    <w:rsid w:val="00F3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FC163CC-14E6-4A76-9581-D442944E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34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33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37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3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37E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37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37E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33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court.gov.au/pjdp/pjdp-toolkit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dcourt.gov.au/pjdp/pjdp-toolkit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ED85-2ACD-427C-A57D-19136129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Court Reporting Toolkit Annex 6</vt:lpstr>
    </vt:vector>
  </TitlesOfParts>
  <Company>Federal Court of Australia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Court Reporting Toolkit Annex 6</dc:title>
  <dc:creator>Sladjana Rstic</dc:creator>
  <cp:lastModifiedBy>Isere Meaney</cp:lastModifiedBy>
  <cp:revision>2</cp:revision>
  <dcterms:created xsi:type="dcterms:W3CDTF">2018-05-29T23:59:00Z</dcterms:created>
  <dcterms:modified xsi:type="dcterms:W3CDTF">2018-05-29T23:59:00Z</dcterms:modified>
</cp:coreProperties>
</file>