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5313" w14:textId="2839E4D5" w:rsidR="00497EED" w:rsidRPr="00497EED" w:rsidRDefault="00497EED" w:rsidP="00497EED">
      <w:pPr>
        <w:jc w:val="center"/>
        <w:rPr>
          <w:rFonts w:ascii="Arial" w:hAnsi="Arial" w:cs="Arial"/>
          <w:b/>
          <w:sz w:val="26"/>
          <w:szCs w:val="26"/>
        </w:rPr>
      </w:pPr>
      <w:bookmarkStart w:id="0" w:name="_GoBack"/>
      <w:bookmarkEnd w:id="0"/>
      <w:r w:rsidRPr="00497EED">
        <w:rPr>
          <w:rFonts w:ascii="Arial" w:hAnsi="Arial" w:cs="Arial"/>
          <w:b/>
          <w:sz w:val="26"/>
          <w:szCs w:val="26"/>
        </w:rPr>
        <w:t>[ANNEXURE A – Settlement Notice]</w:t>
      </w:r>
    </w:p>
    <w:p w14:paraId="500C8AD5" w14:textId="77777777" w:rsidR="00497EED" w:rsidRPr="00497EED" w:rsidRDefault="00497EED" w:rsidP="00497EED">
      <w:pPr>
        <w:jc w:val="center"/>
        <w:rPr>
          <w:rFonts w:ascii="Arial" w:hAnsi="Arial" w:cs="Arial"/>
          <w:b/>
          <w:sz w:val="32"/>
          <w:szCs w:val="32"/>
        </w:rPr>
      </w:pPr>
    </w:p>
    <w:p w14:paraId="18CED52C" w14:textId="77777777" w:rsidR="00497EED" w:rsidRPr="00497EED" w:rsidRDefault="00497EED" w:rsidP="00497EED">
      <w:pPr>
        <w:jc w:val="center"/>
        <w:rPr>
          <w:rFonts w:ascii="Arial" w:hAnsi="Arial" w:cs="Arial"/>
          <w:b/>
          <w:sz w:val="4"/>
          <w:szCs w:val="4"/>
        </w:rPr>
      </w:pPr>
    </w:p>
    <w:p w14:paraId="51D4C795" w14:textId="77777777" w:rsidR="00497EED" w:rsidRPr="00497EED" w:rsidRDefault="00497EED" w:rsidP="00497EED">
      <w:pPr>
        <w:adjustRightInd w:val="0"/>
        <w:jc w:val="center"/>
        <w:rPr>
          <w:rFonts w:ascii="Arial" w:hAnsi="Arial" w:cs="Arial"/>
          <w:b/>
          <w:bCs/>
          <w:sz w:val="34"/>
          <w:szCs w:val="34"/>
        </w:rPr>
      </w:pPr>
      <w:r w:rsidRPr="00497EED">
        <w:rPr>
          <w:rFonts w:ascii="Arial" w:hAnsi="Arial" w:cs="Arial"/>
          <w:b/>
          <w:bCs/>
          <w:sz w:val="34"/>
          <w:szCs w:val="34"/>
        </w:rPr>
        <w:t>FEDERAL COURT OF AUSTRALIA</w:t>
      </w:r>
    </w:p>
    <w:p w14:paraId="6AF98DB9" w14:textId="77777777" w:rsidR="00497EED" w:rsidRPr="00497EED" w:rsidRDefault="00497EED" w:rsidP="00497EED">
      <w:pPr>
        <w:adjustRightInd w:val="0"/>
        <w:jc w:val="center"/>
        <w:rPr>
          <w:rFonts w:ascii="Arial" w:hAnsi="Arial" w:cs="Arial"/>
          <w:b/>
          <w:bCs/>
          <w:sz w:val="34"/>
          <w:szCs w:val="34"/>
        </w:rPr>
      </w:pPr>
      <w:r w:rsidRPr="00497EED">
        <w:rPr>
          <w:rFonts w:ascii="Arial" w:hAnsi="Arial" w:cs="Arial"/>
          <w:b/>
          <w:bCs/>
          <w:sz w:val="34"/>
          <w:szCs w:val="34"/>
        </w:rPr>
        <w:t>NOTICE AS TO PROPOSED SETTLEMENT OF THE EXCEL TEXEL CLASS ACTION AGAINST QUINTIS LTD</w:t>
      </w:r>
    </w:p>
    <w:p w14:paraId="02BECFF2" w14:textId="77777777" w:rsidR="00497EED" w:rsidRDefault="00497EED" w:rsidP="00497EED">
      <w:pPr>
        <w:jc w:val="center"/>
        <w:rPr>
          <w:b/>
        </w:rPr>
      </w:pPr>
    </w:p>
    <w:p w14:paraId="6D3C3361" w14:textId="77777777" w:rsidR="00497EED" w:rsidRPr="00E7561E" w:rsidRDefault="00497EED" w:rsidP="00497EED">
      <w:pPr>
        <w:pStyle w:val="NumberedPara1"/>
        <w:numPr>
          <w:ilvl w:val="0"/>
          <w:numId w:val="0"/>
        </w:numPr>
        <w:ind w:left="709" w:hanging="709"/>
        <w:jc w:val="both"/>
        <w:rPr>
          <w:rFonts w:cs="Arial"/>
          <w:b/>
        </w:rPr>
      </w:pPr>
      <w:r w:rsidRPr="00E7561E">
        <w:rPr>
          <w:rFonts w:cs="Arial"/>
          <w:b/>
        </w:rPr>
        <w:t>A.</w:t>
      </w:r>
      <w:r w:rsidRPr="00E7561E">
        <w:rPr>
          <w:rFonts w:cs="Arial"/>
          <w:b/>
        </w:rPr>
        <w:tab/>
        <w:t xml:space="preserve">IMPORTANT INFORMATION </w:t>
      </w:r>
    </w:p>
    <w:p w14:paraId="398C007C" w14:textId="77777777" w:rsidR="00497EED" w:rsidRPr="00E7561E"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E7561E">
        <w:rPr>
          <w:rFonts w:cs="Arial"/>
          <w:bCs/>
          <w:szCs w:val="20"/>
        </w:rPr>
        <w:t>This notice has been published because a settlement has been reached with Quintis Ltd (</w:t>
      </w:r>
      <w:r w:rsidRPr="00E7561E">
        <w:rPr>
          <w:rFonts w:cs="Arial"/>
          <w:b/>
          <w:szCs w:val="20"/>
        </w:rPr>
        <w:t>Quintis</w:t>
      </w:r>
      <w:r w:rsidRPr="00E7561E">
        <w:rPr>
          <w:rFonts w:cs="Arial"/>
          <w:bCs/>
          <w:szCs w:val="20"/>
        </w:rPr>
        <w:t>) in relation to two shareholder class actions brought against it.</w:t>
      </w:r>
    </w:p>
    <w:p w14:paraId="4AFB6359" w14:textId="77777777" w:rsidR="00497EED" w:rsidRPr="00E7561E" w:rsidRDefault="00497EED" w:rsidP="00497EED">
      <w:pPr>
        <w:pStyle w:val="ListParagraph"/>
        <w:spacing w:before="252" w:line="252" w:lineRule="exact"/>
        <w:ind w:left="709"/>
        <w:jc w:val="both"/>
        <w:textAlignment w:val="baseline"/>
        <w:rPr>
          <w:rFonts w:cs="Arial"/>
          <w:bCs/>
          <w:szCs w:val="20"/>
        </w:rPr>
      </w:pPr>
    </w:p>
    <w:p w14:paraId="291F200E" w14:textId="77777777" w:rsidR="00497EED" w:rsidRPr="00E7561E"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E7561E">
        <w:rPr>
          <w:rFonts w:cs="Arial"/>
          <w:bCs/>
          <w:szCs w:val="20"/>
        </w:rPr>
        <w:t>The two shareholder class actions are:</w:t>
      </w:r>
    </w:p>
    <w:p w14:paraId="2A1D80F2" w14:textId="77777777" w:rsidR="00497EED" w:rsidRPr="00E7561E" w:rsidRDefault="00497EED" w:rsidP="00497EED">
      <w:pPr>
        <w:pStyle w:val="NumberedPara2"/>
        <w:numPr>
          <w:ilvl w:val="1"/>
          <w:numId w:val="5"/>
        </w:numPr>
        <w:jc w:val="both"/>
        <w:rPr>
          <w:rFonts w:cs="Arial"/>
          <w:bCs/>
        </w:rPr>
      </w:pPr>
      <w:r w:rsidRPr="007A69AA">
        <w:rPr>
          <w:rFonts w:cs="Arial"/>
          <w:bCs/>
        </w:rPr>
        <w:t>Geoffrey Peter Davis v Quintis which has been brought on behalf of persons who acquired an interest in ordinary shares in Quintis in the period comme</w:t>
      </w:r>
      <w:r w:rsidRPr="000831AA">
        <w:rPr>
          <w:rFonts w:cs="Arial"/>
          <w:bCs/>
        </w:rPr>
        <w:t>ncing on 31 August 2015 and concluding on 15 May 2017, including those persons who already had an interest in ordinary shares in Quintis before 31 August 2015 (</w:t>
      </w:r>
      <w:r w:rsidRPr="00E7561E">
        <w:rPr>
          <w:rFonts w:cs="Arial"/>
          <w:b/>
        </w:rPr>
        <w:t>Davis Class Action</w:t>
      </w:r>
      <w:r w:rsidRPr="00E7561E">
        <w:rPr>
          <w:rFonts w:cs="Arial"/>
          <w:bCs/>
        </w:rPr>
        <w:t>); and</w:t>
      </w:r>
    </w:p>
    <w:p w14:paraId="48E87ECF" w14:textId="77777777" w:rsidR="00497EED" w:rsidRPr="00E7561E" w:rsidRDefault="00497EED" w:rsidP="00497EED">
      <w:pPr>
        <w:pStyle w:val="NumberedPara2"/>
        <w:numPr>
          <w:ilvl w:val="1"/>
          <w:numId w:val="5"/>
        </w:numPr>
        <w:jc w:val="both"/>
        <w:rPr>
          <w:rFonts w:cs="Arial"/>
          <w:bCs/>
        </w:rPr>
      </w:pPr>
      <w:r w:rsidRPr="00E7561E">
        <w:rPr>
          <w:rFonts w:cs="Arial"/>
          <w:bCs/>
        </w:rPr>
        <w:t xml:space="preserve">Excel Texel Pty Ltd v Quintis which has been brought on behalf of </w:t>
      </w:r>
      <w:r>
        <w:rPr>
          <w:rFonts w:cs="Arial"/>
          <w:bCs/>
        </w:rPr>
        <w:t xml:space="preserve">a </w:t>
      </w:r>
      <w:r w:rsidRPr="00E7561E">
        <w:rPr>
          <w:rFonts w:cs="Arial"/>
          <w:bCs/>
        </w:rPr>
        <w:t>subset of persons who acquired an interest in ordinary shares in Quintis between 1 July 2015 and 10 May 2017 (</w:t>
      </w:r>
      <w:r w:rsidRPr="00E7561E">
        <w:rPr>
          <w:rFonts w:cs="Arial"/>
          <w:b/>
        </w:rPr>
        <w:t>Excel Texel Class Action</w:t>
      </w:r>
      <w:r w:rsidRPr="00E7561E">
        <w:rPr>
          <w:rFonts w:cs="Arial"/>
          <w:bCs/>
        </w:rPr>
        <w:t>).</w:t>
      </w:r>
    </w:p>
    <w:p w14:paraId="1A559C33" w14:textId="77777777"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785A3D">
        <w:rPr>
          <w:rFonts w:cs="Arial"/>
          <w:szCs w:val="20"/>
        </w:rPr>
        <w:t>This is being sent to</w:t>
      </w:r>
      <w:r w:rsidRPr="00785A3D">
        <w:rPr>
          <w:rFonts w:eastAsia="Arial" w:cs="Arial"/>
          <w:color w:val="000000"/>
          <w:szCs w:val="20"/>
        </w:rPr>
        <w:t xml:space="preserve"> </w:t>
      </w:r>
      <w:r w:rsidRPr="00785A3D">
        <w:rPr>
          <w:rFonts w:cs="Arial"/>
          <w:szCs w:val="20"/>
        </w:rPr>
        <w:t xml:space="preserve">group members in the </w:t>
      </w:r>
      <w:r w:rsidRPr="00E7561E">
        <w:rPr>
          <w:rFonts w:cs="Arial"/>
          <w:szCs w:val="20"/>
        </w:rPr>
        <w:t>Excel Texel Class Action</w:t>
      </w:r>
      <w:r>
        <w:rPr>
          <w:rFonts w:cs="Arial"/>
          <w:szCs w:val="20"/>
        </w:rPr>
        <w:t xml:space="preserve">. </w:t>
      </w:r>
      <w:r w:rsidRPr="00785A3D">
        <w:rPr>
          <w:rFonts w:cs="Arial"/>
          <w:bCs/>
          <w:szCs w:val="20"/>
        </w:rPr>
        <w:t xml:space="preserve">The lawyers conducting the Excel Texel Class Action are </w:t>
      </w:r>
      <w:r w:rsidRPr="00785A3D">
        <w:rPr>
          <w:rFonts w:cs="Arial"/>
          <w:b/>
          <w:szCs w:val="20"/>
        </w:rPr>
        <w:t>Gadens</w:t>
      </w:r>
      <w:r w:rsidRPr="00785A3D">
        <w:rPr>
          <w:rFonts w:cs="Arial"/>
          <w:bCs/>
          <w:szCs w:val="20"/>
        </w:rPr>
        <w:t xml:space="preserve">, and litigation funding is being provided by </w:t>
      </w:r>
      <w:r>
        <w:rPr>
          <w:rFonts w:cs="Arial"/>
          <w:bCs/>
          <w:szCs w:val="20"/>
        </w:rPr>
        <w:t>a company called Ironbark Funding Navy Pty Ltd (</w:t>
      </w:r>
      <w:r w:rsidRPr="00785A3D">
        <w:rPr>
          <w:rFonts w:cs="Arial"/>
          <w:b/>
          <w:szCs w:val="20"/>
        </w:rPr>
        <w:t>Ironbark</w:t>
      </w:r>
      <w:r>
        <w:rPr>
          <w:rFonts w:cs="Arial"/>
          <w:szCs w:val="20"/>
        </w:rPr>
        <w:t>)</w:t>
      </w:r>
      <w:r w:rsidRPr="00785A3D">
        <w:rPr>
          <w:rFonts w:cs="Arial"/>
          <w:bCs/>
          <w:szCs w:val="20"/>
        </w:rPr>
        <w:t>.</w:t>
      </w:r>
    </w:p>
    <w:p w14:paraId="61561190" w14:textId="77777777" w:rsidR="00497EED" w:rsidRPr="00E7561E" w:rsidRDefault="00497EED" w:rsidP="00497EED">
      <w:pPr>
        <w:pStyle w:val="ListParagraph"/>
        <w:spacing w:before="252" w:line="252" w:lineRule="exact"/>
        <w:ind w:left="709" w:hanging="709"/>
        <w:jc w:val="both"/>
        <w:textAlignment w:val="baseline"/>
        <w:rPr>
          <w:rFonts w:cs="Arial"/>
          <w:bCs/>
          <w:szCs w:val="20"/>
        </w:rPr>
      </w:pPr>
    </w:p>
    <w:p w14:paraId="3DECB4A1" w14:textId="77777777" w:rsidR="00497EED" w:rsidRPr="00E7561E"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785A3D">
        <w:rPr>
          <w:rFonts w:eastAsia="Arial" w:cs="Arial"/>
          <w:color w:val="000000"/>
          <w:szCs w:val="20"/>
        </w:rPr>
        <w:t>You are a Group Member in the Excel Texel Class Action if you are receiving this notice, because it is only being sent to persons who have registered wi</w:t>
      </w:r>
      <w:r>
        <w:rPr>
          <w:rFonts w:eastAsia="Arial" w:cs="Arial"/>
          <w:color w:val="000000"/>
          <w:szCs w:val="20"/>
        </w:rPr>
        <w:t>th the Excel Texel Class Action.</w:t>
      </w:r>
    </w:p>
    <w:p w14:paraId="3CDA4CDF" w14:textId="77777777" w:rsidR="00497EED" w:rsidRPr="00E7561E" w:rsidRDefault="00497EED" w:rsidP="00497EED">
      <w:pPr>
        <w:pStyle w:val="ListParagraph"/>
        <w:spacing w:before="252" w:line="252" w:lineRule="exact"/>
        <w:ind w:left="709" w:hanging="709"/>
        <w:jc w:val="both"/>
        <w:textAlignment w:val="baseline"/>
        <w:rPr>
          <w:rFonts w:cs="Arial"/>
          <w:bCs/>
          <w:szCs w:val="20"/>
        </w:rPr>
      </w:pPr>
    </w:p>
    <w:p w14:paraId="1DC3CC53" w14:textId="77777777" w:rsidR="00497EED" w:rsidRPr="00785A3D" w:rsidRDefault="00497EED" w:rsidP="00497EED">
      <w:pPr>
        <w:pStyle w:val="ListParagraph"/>
        <w:numPr>
          <w:ilvl w:val="0"/>
          <w:numId w:val="6"/>
        </w:numPr>
        <w:spacing w:before="252" w:after="200" w:line="252" w:lineRule="exact"/>
        <w:ind w:left="709" w:hanging="709"/>
        <w:jc w:val="both"/>
        <w:textAlignment w:val="baseline"/>
        <w:rPr>
          <w:rFonts w:eastAsia="Arial" w:cs="Arial"/>
          <w:color w:val="000000"/>
          <w:szCs w:val="20"/>
        </w:rPr>
      </w:pPr>
      <w:r w:rsidRPr="00785A3D">
        <w:rPr>
          <w:rFonts w:cs="Arial"/>
          <w:color w:val="000000"/>
          <w:szCs w:val="20"/>
        </w:rPr>
        <w:t>Because this is a class action, a judge of the Federal Court</w:t>
      </w:r>
      <w:r>
        <w:rPr>
          <w:rFonts w:cs="Arial"/>
          <w:color w:val="000000"/>
          <w:szCs w:val="20"/>
        </w:rPr>
        <w:t xml:space="preserve"> of Australia (</w:t>
      </w:r>
      <w:r w:rsidRPr="0034293E">
        <w:rPr>
          <w:rFonts w:cs="Arial"/>
          <w:b/>
          <w:color w:val="000000"/>
          <w:szCs w:val="20"/>
        </w:rPr>
        <w:t>Federal Court</w:t>
      </w:r>
      <w:r>
        <w:rPr>
          <w:rFonts w:cs="Arial"/>
          <w:color w:val="000000"/>
          <w:szCs w:val="20"/>
        </w:rPr>
        <w:t>)</w:t>
      </w:r>
      <w:r w:rsidRPr="00785A3D">
        <w:rPr>
          <w:rFonts w:cs="Arial"/>
          <w:color w:val="000000"/>
          <w:szCs w:val="20"/>
        </w:rPr>
        <w:t xml:space="preserve"> must decide whether it is a fair </w:t>
      </w:r>
      <w:r w:rsidRPr="00785A3D">
        <w:rPr>
          <w:rFonts w:cs="Arial"/>
          <w:bCs/>
          <w:szCs w:val="20"/>
        </w:rPr>
        <w:t>settlement</w:t>
      </w:r>
      <w:r w:rsidRPr="00785A3D">
        <w:rPr>
          <w:rFonts w:cs="Arial"/>
          <w:color w:val="000000"/>
          <w:szCs w:val="20"/>
        </w:rPr>
        <w:t xml:space="preserve"> for the class members.  The judge will have a hearing to decide whe</w:t>
      </w:r>
      <w:r>
        <w:rPr>
          <w:rFonts w:cs="Arial"/>
          <w:color w:val="000000"/>
          <w:szCs w:val="20"/>
        </w:rPr>
        <w:t>ther the settlement is fair at 10:15</w:t>
      </w:r>
      <w:r w:rsidRPr="00785A3D">
        <w:rPr>
          <w:rFonts w:cs="Arial"/>
          <w:color w:val="000000"/>
          <w:szCs w:val="20"/>
        </w:rPr>
        <w:t>am on 7 May 2020.</w:t>
      </w:r>
    </w:p>
    <w:p w14:paraId="7B82404D" w14:textId="77777777" w:rsidR="00497EED" w:rsidRPr="00785A3D" w:rsidRDefault="00497EED" w:rsidP="00497EED">
      <w:pPr>
        <w:pStyle w:val="ListParagraph"/>
        <w:spacing w:before="252" w:line="252" w:lineRule="exact"/>
        <w:ind w:left="709" w:hanging="709"/>
        <w:jc w:val="both"/>
        <w:textAlignment w:val="baseline"/>
        <w:rPr>
          <w:rFonts w:cs="Arial"/>
          <w:bCs/>
          <w:szCs w:val="20"/>
        </w:rPr>
      </w:pPr>
    </w:p>
    <w:p w14:paraId="4EE9B3FF" w14:textId="77777777"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785A3D">
        <w:rPr>
          <w:rFonts w:cs="Arial"/>
          <w:bCs/>
          <w:szCs w:val="20"/>
        </w:rPr>
        <w:t>This notice is approved by the Court and explains some things about the settlement to allow you to work out whether you agree or disagree with it.</w:t>
      </w:r>
    </w:p>
    <w:p w14:paraId="76AB185F" w14:textId="77777777" w:rsidR="00497EED" w:rsidRPr="00E7561E" w:rsidRDefault="00497EED" w:rsidP="00497EED">
      <w:pPr>
        <w:pStyle w:val="NumberedPara1"/>
        <w:keepNext/>
        <w:numPr>
          <w:ilvl w:val="0"/>
          <w:numId w:val="0"/>
        </w:numPr>
        <w:jc w:val="both"/>
        <w:rPr>
          <w:rFonts w:cs="Arial"/>
          <w:b/>
        </w:rPr>
      </w:pPr>
      <w:r w:rsidRPr="00E7561E">
        <w:rPr>
          <w:rFonts w:eastAsia="Arial" w:cs="Arial"/>
          <w:b/>
          <w:color w:val="000000"/>
        </w:rPr>
        <w:t xml:space="preserve">B. </w:t>
      </w:r>
      <w:r w:rsidRPr="00E7561E">
        <w:rPr>
          <w:rFonts w:eastAsia="Arial" w:cs="Arial"/>
          <w:b/>
          <w:color w:val="000000"/>
        </w:rPr>
        <w:tab/>
        <w:t xml:space="preserve">PROPOSED SETTLEMENT OF THE CLASS ACTION </w:t>
      </w:r>
    </w:p>
    <w:p w14:paraId="1CD2F371" w14:textId="77777777" w:rsidR="00497EED" w:rsidRPr="00E7561E" w:rsidRDefault="00497EED" w:rsidP="00497EED">
      <w:pPr>
        <w:pStyle w:val="NumberedPara1"/>
        <w:keepNext/>
        <w:numPr>
          <w:ilvl w:val="0"/>
          <w:numId w:val="0"/>
        </w:numPr>
        <w:ind w:left="709" w:hanging="709"/>
        <w:rPr>
          <w:rFonts w:cs="Arial"/>
          <w:b/>
        </w:rPr>
      </w:pPr>
      <w:r w:rsidRPr="00E7561E">
        <w:rPr>
          <w:rFonts w:cs="Arial"/>
          <w:b/>
        </w:rPr>
        <w:t>B.1</w:t>
      </w:r>
      <w:r w:rsidRPr="00E7561E">
        <w:rPr>
          <w:rFonts w:cs="Arial"/>
          <w:b/>
        </w:rPr>
        <w:tab/>
        <w:t>Settlement Sum</w:t>
      </w:r>
    </w:p>
    <w:p w14:paraId="63D20480" w14:textId="77777777"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E7561E">
        <w:rPr>
          <w:rFonts w:cs="Arial"/>
          <w:bCs/>
          <w:szCs w:val="20"/>
        </w:rPr>
        <w:t>Quintis has agreed to pay the balance remaining of the sublimit of Quintis’ insurance to settle both the Davis Class Action and the Excel Texel Class Action, which is approximately $4.37 million (</w:t>
      </w:r>
      <w:r w:rsidRPr="00E7561E">
        <w:rPr>
          <w:rFonts w:cs="Arial"/>
          <w:b/>
          <w:szCs w:val="20"/>
        </w:rPr>
        <w:t>Settlement Sum</w:t>
      </w:r>
      <w:r w:rsidRPr="00E7561E">
        <w:rPr>
          <w:rFonts w:cs="Arial"/>
          <w:bCs/>
          <w:szCs w:val="20"/>
        </w:rPr>
        <w:t xml:space="preserve">).  The Settlement Sum is the only available asset of Quintis to meet the claims of the Davis Class Action and the Excel Texel Class Action.  </w:t>
      </w:r>
    </w:p>
    <w:p w14:paraId="0B038329" w14:textId="77777777" w:rsidR="00497EED" w:rsidRPr="00E7561E" w:rsidRDefault="00497EED" w:rsidP="00497EED">
      <w:pPr>
        <w:pStyle w:val="ListParagraph"/>
        <w:spacing w:before="252" w:line="252" w:lineRule="exact"/>
        <w:ind w:left="709"/>
        <w:jc w:val="both"/>
        <w:textAlignment w:val="baseline"/>
        <w:rPr>
          <w:rFonts w:cs="Arial"/>
          <w:bCs/>
          <w:szCs w:val="20"/>
        </w:rPr>
      </w:pPr>
    </w:p>
    <w:p w14:paraId="20CB7B83" w14:textId="77777777" w:rsidR="00497EED" w:rsidRPr="00E7561E"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785A3D">
        <w:rPr>
          <w:rFonts w:cs="Arial"/>
          <w:bCs/>
          <w:szCs w:val="20"/>
        </w:rPr>
        <w:t>If the settlement is approved</w:t>
      </w:r>
      <w:r>
        <w:rPr>
          <w:rFonts w:cs="Arial"/>
          <w:bCs/>
          <w:szCs w:val="20"/>
        </w:rPr>
        <w:t xml:space="preserve"> by the Court, the Excel Texel p</w:t>
      </w:r>
      <w:r w:rsidRPr="00785A3D">
        <w:rPr>
          <w:rFonts w:cs="Arial"/>
          <w:bCs/>
          <w:szCs w:val="20"/>
        </w:rPr>
        <w:t>roceeding will continue against Wilson, but will not continue against Quintis.</w:t>
      </w:r>
    </w:p>
    <w:p w14:paraId="394E0C3C" w14:textId="77777777" w:rsidR="00497EED" w:rsidRPr="00E7561E" w:rsidRDefault="00497EED" w:rsidP="00497EED">
      <w:pPr>
        <w:pStyle w:val="NumberedPara1"/>
        <w:keepNext/>
        <w:numPr>
          <w:ilvl w:val="0"/>
          <w:numId w:val="0"/>
        </w:numPr>
        <w:ind w:left="709" w:hanging="709"/>
        <w:rPr>
          <w:rFonts w:cs="Arial"/>
          <w:b/>
        </w:rPr>
      </w:pPr>
      <w:r w:rsidRPr="00E7561E">
        <w:rPr>
          <w:rFonts w:cs="Arial"/>
          <w:b/>
        </w:rPr>
        <w:lastRenderedPageBreak/>
        <w:t>B.2</w:t>
      </w:r>
      <w:r w:rsidRPr="00E7561E">
        <w:rPr>
          <w:rFonts w:cs="Arial"/>
          <w:b/>
        </w:rPr>
        <w:tab/>
        <w:t>Distribution of the Settlement Sum</w:t>
      </w:r>
    </w:p>
    <w:p w14:paraId="023823C1" w14:textId="6C72BCDF"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szCs w:val="20"/>
        </w:rPr>
      </w:pPr>
      <w:r w:rsidRPr="00785A3D">
        <w:rPr>
          <w:rFonts w:cs="Arial"/>
          <w:szCs w:val="20"/>
        </w:rPr>
        <w:t>The Settlement Deed does not specify how the Settlement Sum will be divided between the Group Members in the Excel Texel Class Action and the Davis Class</w:t>
      </w:r>
      <w:r w:rsidR="001C056A">
        <w:rPr>
          <w:rFonts w:cs="Arial"/>
          <w:szCs w:val="20"/>
        </w:rPr>
        <w:t xml:space="preserve"> Action. </w:t>
      </w:r>
      <w:r w:rsidRPr="00785A3D">
        <w:rPr>
          <w:rFonts w:cs="Arial"/>
          <w:szCs w:val="20"/>
        </w:rPr>
        <w:t>It does not guarantee that any amount will be allocated to the Excel Texel Class Action.</w:t>
      </w:r>
    </w:p>
    <w:p w14:paraId="3EC0614E" w14:textId="77777777" w:rsidR="00497EED" w:rsidRPr="00E7561E" w:rsidRDefault="00497EED" w:rsidP="00497EED">
      <w:pPr>
        <w:pStyle w:val="ListParagraph"/>
        <w:spacing w:before="252" w:line="252" w:lineRule="exact"/>
        <w:ind w:left="709" w:hanging="709"/>
        <w:jc w:val="both"/>
        <w:textAlignment w:val="baseline"/>
        <w:rPr>
          <w:rFonts w:cs="Arial"/>
          <w:szCs w:val="20"/>
        </w:rPr>
      </w:pPr>
    </w:p>
    <w:p w14:paraId="7561BE08" w14:textId="1D490B42"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szCs w:val="20"/>
        </w:rPr>
      </w:pPr>
      <w:r>
        <w:rPr>
          <w:rFonts w:cs="Arial"/>
          <w:szCs w:val="20"/>
        </w:rPr>
        <w:t>The Excel Texel a</w:t>
      </w:r>
      <w:r w:rsidRPr="00785A3D">
        <w:rPr>
          <w:rFonts w:cs="Arial"/>
          <w:szCs w:val="20"/>
        </w:rPr>
        <w:t>pplicants</w:t>
      </w:r>
      <w:r w:rsidRPr="00785A3D" w:rsidDel="00223792">
        <w:rPr>
          <w:rFonts w:cs="Arial"/>
          <w:szCs w:val="20"/>
        </w:rPr>
        <w:t xml:space="preserve"> </w:t>
      </w:r>
      <w:r w:rsidRPr="00785A3D">
        <w:rPr>
          <w:rFonts w:cs="Arial"/>
          <w:szCs w:val="20"/>
        </w:rPr>
        <w:t>(and those acting for them) cons</w:t>
      </w:r>
      <w:r w:rsidR="00257B73">
        <w:rPr>
          <w:rFonts w:cs="Arial"/>
          <w:szCs w:val="20"/>
        </w:rPr>
        <w:t>ider it is in the interests of group m</w:t>
      </w:r>
      <w:r w:rsidRPr="00785A3D">
        <w:rPr>
          <w:rFonts w:cs="Arial"/>
          <w:szCs w:val="20"/>
        </w:rPr>
        <w:t>embers in the Excel Texel Class Action for a substantial amount to be allocated from the Settlement Sum to the Excel Texel Class Action.</w:t>
      </w:r>
    </w:p>
    <w:p w14:paraId="41C441CD" w14:textId="77777777" w:rsidR="00497EED" w:rsidRPr="00785A3D" w:rsidRDefault="00497EED" w:rsidP="00497EED">
      <w:pPr>
        <w:pStyle w:val="ListParagraph"/>
        <w:ind w:hanging="709"/>
        <w:rPr>
          <w:rFonts w:cs="Arial"/>
          <w:szCs w:val="20"/>
        </w:rPr>
      </w:pPr>
    </w:p>
    <w:p w14:paraId="211D29EB" w14:textId="77777777" w:rsidR="00497EED" w:rsidRPr="00E7561E"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Pr>
          <w:rFonts w:cs="Arial"/>
          <w:bCs/>
          <w:szCs w:val="20"/>
        </w:rPr>
        <w:t>What the Excel Texel a</w:t>
      </w:r>
      <w:r w:rsidRPr="00785A3D">
        <w:rPr>
          <w:rFonts w:cs="Arial"/>
          <w:bCs/>
          <w:szCs w:val="20"/>
        </w:rPr>
        <w:t xml:space="preserve">pplicants </w:t>
      </w:r>
      <w:r w:rsidRPr="00785A3D">
        <w:rPr>
          <w:rFonts w:cs="Arial"/>
          <w:b/>
          <w:szCs w:val="20"/>
          <w:u w:val="single"/>
        </w:rPr>
        <w:t>propose and will ask the Court to approve</w:t>
      </w:r>
      <w:r w:rsidRPr="00785A3D">
        <w:rPr>
          <w:rFonts w:cs="Arial"/>
          <w:bCs/>
          <w:szCs w:val="20"/>
        </w:rPr>
        <w:t xml:space="preserve"> is the </w:t>
      </w:r>
      <w:r w:rsidRPr="00785A3D">
        <w:rPr>
          <w:rFonts w:cs="Arial"/>
          <w:szCs w:val="20"/>
        </w:rPr>
        <w:t>following</w:t>
      </w:r>
      <w:r w:rsidRPr="00785A3D">
        <w:rPr>
          <w:rFonts w:cs="Arial"/>
          <w:bCs/>
          <w:szCs w:val="20"/>
        </w:rPr>
        <w:t>:</w:t>
      </w:r>
    </w:p>
    <w:p w14:paraId="76DDEB0B" w14:textId="77777777" w:rsidR="00497EED" w:rsidRPr="00FD44DB" w:rsidRDefault="00497EED" w:rsidP="00497EED">
      <w:pPr>
        <w:pStyle w:val="NumberedPara2"/>
        <w:numPr>
          <w:ilvl w:val="1"/>
          <w:numId w:val="5"/>
        </w:numPr>
        <w:rPr>
          <w:rFonts w:cs="Arial"/>
          <w:bCs/>
        </w:rPr>
      </w:pPr>
      <w:r w:rsidRPr="007A69AA">
        <w:rPr>
          <w:rFonts w:cs="Arial"/>
          <w:bCs/>
        </w:rPr>
        <w:t>that 50% of the Settlement Sum be “allocated” to the Excel Texel Class Action;</w:t>
      </w:r>
    </w:p>
    <w:p w14:paraId="3A8EFA8F" w14:textId="77777777" w:rsidR="00497EED" w:rsidRPr="000831AA" w:rsidRDefault="00497EED" w:rsidP="00497EED">
      <w:pPr>
        <w:pStyle w:val="NumberedPara2"/>
        <w:numPr>
          <w:ilvl w:val="1"/>
          <w:numId w:val="4"/>
        </w:numPr>
        <w:rPr>
          <w:rFonts w:cs="Arial"/>
          <w:bCs/>
        </w:rPr>
      </w:pPr>
      <w:r w:rsidRPr="000831AA">
        <w:rPr>
          <w:rFonts w:cs="Arial"/>
          <w:bCs/>
        </w:rPr>
        <w:t>that of that amount:</w:t>
      </w:r>
    </w:p>
    <w:p w14:paraId="1A2F19A4" w14:textId="77777777" w:rsidR="00497EED" w:rsidRPr="005F1112" w:rsidRDefault="00497EED" w:rsidP="00497EED">
      <w:pPr>
        <w:pStyle w:val="NumberedPara3"/>
        <w:numPr>
          <w:ilvl w:val="2"/>
          <w:numId w:val="4"/>
        </w:numPr>
        <w:rPr>
          <w:rFonts w:cs="Arial"/>
          <w:bCs/>
        </w:rPr>
      </w:pPr>
      <w:r w:rsidRPr="00E7561E">
        <w:rPr>
          <w:rFonts w:cs="Arial"/>
          <w:bCs/>
        </w:rPr>
        <w:t xml:space="preserve">40% be held for distribution to </w:t>
      </w:r>
      <w:r>
        <w:rPr>
          <w:rFonts w:cs="Arial"/>
          <w:bCs/>
        </w:rPr>
        <w:t>group m</w:t>
      </w:r>
      <w:r w:rsidRPr="005F1112">
        <w:rPr>
          <w:rFonts w:cs="Arial"/>
          <w:bCs/>
        </w:rPr>
        <w:t>embers at an appropriate time, including by way of interim distribution; and</w:t>
      </w:r>
    </w:p>
    <w:p w14:paraId="1BF76C51" w14:textId="77777777" w:rsidR="00497EED" w:rsidRPr="005F1112" w:rsidRDefault="00497EED" w:rsidP="00497EED">
      <w:pPr>
        <w:pStyle w:val="NumberedPara3"/>
        <w:numPr>
          <w:ilvl w:val="2"/>
          <w:numId w:val="4"/>
        </w:numPr>
        <w:rPr>
          <w:rFonts w:cs="Arial"/>
          <w:bCs/>
        </w:rPr>
      </w:pPr>
      <w:r w:rsidRPr="005F1112">
        <w:rPr>
          <w:rFonts w:cs="Arial"/>
          <w:bCs/>
        </w:rPr>
        <w:t>60% be held to fund current and future legal costs incurred in prosecuting the Excel Texel Class Action against parties other than Quintis.</w:t>
      </w:r>
    </w:p>
    <w:p w14:paraId="7E031AB1" w14:textId="77777777" w:rsidR="00497EED" w:rsidRPr="005F1112" w:rsidRDefault="00497EED" w:rsidP="00497EED">
      <w:pPr>
        <w:pStyle w:val="ListParagraph"/>
        <w:numPr>
          <w:ilvl w:val="0"/>
          <w:numId w:val="6"/>
        </w:numPr>
        <w:spacing w:before="252" w:after="200" w:line="252" w:lineRule="exact"/>
        <w:ind w:left="709" w:hanging="709"/>
        <w:jc w:val="both"/>
        <w:textAlignment w:val="baseline"/>
        <w:rPr>
          <w:rFonts w:cs="Arial"/>
          <w:szCs w:val="20"/>
        </w:rPr>
      </w:pPr>
      <w:r w:rsidRPr="005F1112">
        <w:rPr>
          <w:rFonts w:cs="Arial"/>
          <w:bCs/>
          <w:szCs w:val="20"/>
        </w:rPr>
        <w:t xml:space="preserve">In obtaining court approval, it is necessary for the lawyers acting for the Excel Texel applicants (including Gadens and counsel) to give the Court an opinion as to whether the settlement is a fair settlement.  </w:t>
      </w:r>
      <w:r w:rsidRPr="005F1112">
        <w:rPr>
          <w:rFonts w:cs="Arial"/>
          <w:szCs w:val="20"/>
        </w:rPr>
        <w:t>Although the Excel Texel applicants</w:t>
      </w:r>
      <w:r w:rsidRPr="005F1112" w:rsidDel="00223792">
        <w:rPr>
          <w:rFonts w:cs="Arial"/>
          <w:szCs w:val="20"/>
        </w:rPr>
        <w:t xml:space="preserve"> </w:t>
      </w:r>
      <w:r w:rsidRPr="005F1112">
        <w:rPr>
          <w:rFonts w:cs="Arial"/>
          <w:szCs w:val="20"/>
        </w:rPr>
        <w:t xml:space="preserve">will ask the Court to approve the settlement, because there is no guarantee at the moment that any amount of the Settlement Sum will be allocated to </w:t>
      </w:r>
      <w:r>
        <w:rPr>
          <w:rFonts w:cs="Arial"/>
          <w:bCs/>
          <w:szCs w:val="20"/>
        </w:rPr>
        <w:t>group m</w:t>
      </w:r>
      <w:r w:rsidRPr="005F1112">
        <w:rPr>
          <w:rFonts w:cs="Arial"/>
          <w:bCs/>
          <w:szCs w:val="20"/>
        </w:rPr>
        <w:t>embers in the Excel Texel Class Action, all the lawyers for the Excel Texel Class Action may not be able to support the settlement contained in the Settlement Deed as being a fair settlement, unless a substantial amount of the settlement is allocated to the Excel Texel Class Action</w:t>
      </w:r>
      <w:r w:rsidRPr="005F1112">
        <w:rPr>
          <w:rFonts w:cs="Arial"/>
          <w:szCs w:val="20"/>
        </w:rPr>
        <w:t xml:space="preserve"> per the above proposal.  </w:t>
      </w:r>
    </w:p>
    <w:p w14:paraId="5823EC24" w14:textId="77777777" w:rsidR="00497EED" w:rsidRPr="005F1112" w:rsidRDefault="00497EED" w:rsidP="00497EED">
      <w:pPr>
        <w:pStyle w:val="NumberedPara1"/>
        <w:keepNext/>
        <w:numPr>
          <w:ilvl w:val="0"/>
          <w:numId w:val="0"/>
        </w:numPr>
        <w:ind w:left="709" w:hanging="709"/>
        <w:rPr>
          <w:rFonts w:cs="Arial"/>
          <w:b/>
        </w:rPr>
      </w:pPr>
      <w:r w:rsidRPr="005F1112">
        <w:rPr>
          <w:rFonts w:cs="Arial"/>
          <w:b/>
        </w:rPr>
        <w:t>B.3</w:t>
      </w:r>
      <w:r w:rsidRPr="005F1112">
        <w:rPr>
          <w:rFonts w:cs="Arial"/>
          <w:b/>
        </w:rPr>
        <w:tab/>
        <w:t>Costs of the Excel Texel Class Action to date</w:t>
      </w:r>
    </w:p>
    <w:p w14:paraId="7526F405" w14:textId="77777777" w:rsidR="00497EED" w:rsidRPr="005F1112"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5F1112">
        <w:rPr>
          <w:rFonts w:cs="Arial"/>
          <w:bCs/>
          <w:szCs w:val="20"/>
        </w:rPr>
        <w:t>Ironbark has been funding the legal costs involved in running the Excel Texel Class Action.  The Excel Texel applicants</w:t>
      </w:r>
      <w:r w:rsidRPr="005F1112" w:rsidDel="0050523F">
        <w:rPr>
          <w:rFonts w:cs="Arial"/>
          <w:bCs/>
          <w:szCs w:val="20"/>
        </w:rPr>
        <w:t xml:space="preserve"> </w:t>
      </w:r>
      <w:r w:rsidRPr="005F1112">
        <w:rPr>
          <w:rFonts w:cs="Arial"/>
          <w:bCs/>
          <w:szCs w:val="20"/>
        </w:rPr>
        <w:t xml:space="preserve">would have been unable to commence or continue the Excel Texel Class Action without that funding.  </w:t>
      </w:r>
    </w:p>
    <w:p w14:paraId="726C66F0" w14:textId="77777777" w:rsidR="00497EED" w:rsidRPr="005F1112" w:rsidRDefault="00497EED" w:rsidP="00497EED">
      <w:pPr>
        <w:pStyle w:val="ListParagraph"/>
        <w:ind w:left="709" w:hanging="709"/>
        <w:rPr>
          <w:rFonts w:cs="Arial"/>
          <w:bCs/>
          <w:szCs w:val="20"/>
        </w:rPr>
      </w:pPr>
    </w:p>
    <w:p w14:paraId="43B60098" w14:textId="77777777" w:rsidR="00497EED" w:rsidRPr="00785A3D" w:rsidRDefault="00497EED" w:rsidP="00497EED">
      <w:pPr>
        <w:pStyle w:val="ListParagraph"/>
        <w:numPr>
          <w:ilvl w:val="0"/>
          <w:numId w:val="6"/>
        </w:numPr>
        <w:spacing w:before="252" w:after="200" w:line="252" w:lineRule="exact"/>
        <w:ind w:left="709" w:hanging="709"/>
        <w:jc w:val="both"/>
        <w:textAlignment w:val="baseline"/>
        <w:rPr>
          <w:rFonts w:cs="Arial"/>
          <w:bCs/>
          <w:szCs w:val="20"/>
        </w:rPr>
      </w:pPr>
      <w:r w:rsidRPr="005F1112">
        <w:rPr>
          <w:rFonts w:cs="Arial"/>
          <w:bCs/>
          <w:szCs w:val="20"/>
        </w:rPr>
        <w:t>Ironbark has agreed not to seek reimbursement at this time of all of its legal costs incurred in funding the Excel Texel Class Action even if 60% of the propo</w:t>
      </w:r>
      <w:r>
        <w:rPr>
          <w:rFonts w:cs="Arial"/>
          <w:bCs/>
          <w:szCs w:val="20"/>
        </w:rPr>
        <w:t>rtion allocated to Excel Texel group m</w:t>
      </w:r>
      <w:r w:rsidRPr="005F1112">
        <w:rPr>
          <w:rFonts w:cs="Arial"/>
          <w:bCs/>
          <w:szCs w:val="20"/>
        </w:rPr>
        <w:t>embers is insufficient to cov</w:t>
      </w:r>
      <w:r>
        <w:rPr>
          <w:rFonts w:cs="Arial"/>
          <w:bCs/>
          <w:szCs w:val="20"/>
        </w:rPr>
        <w:t xml:space="preserve">er all costs incurred to date. </w:t>
      </w:r>
      <w:r w:rsidRPr="005F1112">
        <w:rPr>
          <w:rFonts w:cs="Arial"/>
          <w:bCs/>
          <w:szCs w:val="20"/>
        </w:rPr>
        <w:t>This ensures that an amount is held for d</w:t>
      </w:r>
      <w:r>
        <w:rPr>
          <w:rFonts w:cs="Arial"/>
          <w:bCs/>
          <w:szCs w:val="20"/>
        </w:rPr>
        <w:t>istribution to the Excel Texel group m</w:t>
      </w:r>
      <w:r w:rsidRPr="005F1112">
        <w:rPr>
          <w:rFonts w:cs="Arial"/>
          <w:bCs/>
          <w:szCs w:val="20"/>
        </w:rPr>
        <w:t>embers from</w:t>
      </w:r>
      <w:r w:rsidRPr="00785A3D">
        <w:rPr>
          <w:rFonts w:cs="Arial"/>
          <w:bCs/>
          <w:szCs w:val="20"/>
        </w:rPr>
        <w:t xml:space="preserve"> the settlement with Quintis.</w:t>
      </w:r>
    </w:p>
    <w:p w14:paraId="3841A75A" w14:textId="77777777" w:rsidR="00497EED" w:rsidRPr="00785A3D" w:rsidRDefault="00497EED" w:rsidP="00497EED">
      <w:pPr>
        <w:pStyle w:val="ListParagraph"/>
        <w:spacing w:before="252" w:line="252" w:lineRule="exact"/>
        <w:ind w:left="709"/>
        <w:jc w:val="both"/>
        <w:textAlignment w:val="baseline"/>
        <w:rPr>
          <w:rFonts w:cs="Arial"/>
          <w:bCs/>
          <w:szCs w:val="20"/>
        </w:rPr>
      </w:pPr>
    </w:p>
    <w:p w14:paraId="49BE0342" w14:textId="77777777" w:rsidR="00497EED" w:rsidRPr="00E7561E" w:rsidRDefault="00497EED" w:rsidP="00497EED">
      <w:pPr>
        <w:pStyle w:val="NumberedPara1"/>
        <w:keepNext/>
        <w:numPr>
          <w:ilvl w:val="0"/>
          <w:numId w:val="0"/>
        </w:numPr>
        <w:jc w:val="both"/>
        <w:rPr>
          <w:rFonts w:eastAsia="Arial" w:cs="Arial"/>
          <w:b/>
          <w:caps/>
          <w:color w:val="000000"/>
        </w:rPr>
      </w:pPr>
      <w:r w:rsidRPr="00E7561E">
        <w:rPr>
          <w:rFonts w:eastAsia="Arial" w:cs="Arial"/>
          <w:b/>
          <w:caps/>
          <w:color w:val="000000"/>
        </w:rPr>
        <w:t>C.</w:t>
      </w:r>
      <w:r w:rsidRPr="00E7561E">
        <w:rPr>
          <w:rFonts w:eastAsia="Arial" w:cs="Arial"/>
          <w:b/>
          <w:caps/>
          <w:color w:val="000000"/>
        </w:rPr>
        <w:tab/>
        <w:t xml:space="preserve">What do you need to do? </w:t>
      </w:r>
    </w:p>
    <w:p w14:paraId="198FD378" w14:textId="77777777" w:rsidR="00497EED" w:rsidRPr="00E7561E" w:rsidRDefault="00497EED" w:rsidP="00497EED">
      <w:pPr>
        <w:pStyle w:val="BodyText"/>
        <w:keepNext/>
        <w:jc w:val="both"/>
        <w:rPr>
          <w:rFonts w:cs="Arial"/>
          <w:szCs w:val="20"/>
        </w:rPr>
      </w:pPr>
    </w:p>
    <w:tbl>
      <w:tblPr>
        <w:tblStyle w:val="TableGrid"/>
        <w:tblW w:w="0" w:type="auto"/>
        <w:tblInd w:w="704" w:type="dxa"/>
        <w:tblLook w:val="04A0" w:firstRow="1" w:lastRow="0" w:firstColumn="1" w:lastColumn="0" w:noHBand="0" w:noVBand="1"/>
      </w:tblPr>
      <w:tblGrid>
        <w:gridCol w:w="2164"/>
        <w:gridCol w:w="6148"/>
      </w:tblGrid>
      <w:tr w:rsidR="00497EED" w:rsidRPr="00785A3D" w14:paraId="47AAC22D" w14:textId="77777777" w:rsidTr="00DA4B80">
        <w:tc>
          <w:tcPr>
            <w:tcW w:w="2231" w:type="dxa"/>
          </w:tcPr>
          <w:p w14:paraId="3DB069ED" w14:textId="77777777" w:rsidR="00497EED" w:rsidRPr="00785A3D" w:rsidRDefault="00497EED" w:rsidP="00DA4B80">
            <w:pPr>
              <w:pStyle w:val="ListParagraph"/>
              <w:tabs>
                <w:tab w:val="left" w:pos="3773"/>
              </w:tabs>
              <w:adjustRightInd w:val="0"/>
              <w:ind w:left="0" w:right="146"/>
              <w:rPr>
                <w:rFonts w:cs="Arial"/>
                <w:i/>
                <w:color w:val="000000"/>
                <w:szCs w:val="20"/>
              </w:rPr>
            </w:pPr>
            <w:r w:rsidRPr="00785A3D">
              <w:rPr>
                <w:rFonts w:cs="Arial"/>
                <w:i/>
                <w:color w:val="000000"/>
                <w:szCs w:val="20"/>
              </w:rPr>
              <w:t xml:space="preserve">If you </w:t>
            </w:r>
            <w:r w:rsidRPr="00785A3D">
              <w:rPr>
                <w:rFonts w:cs="Arial"/>
                <w:i/>
                <w:color w:val="000000"/>
                <w:szCs w:val="20"/>
                <w:u w:val="single"/>
              </w:rPr>
              <w:t>support</w:t>
            </w:r>
            <w:r w:rsidRPr="00785A3D">
              <w:rPr>
                <w:rFonts w:cs="Arial"/>
                <w:i/>
                <w:color w:val="000000"/>
                <w:szCs w:val="20"/>
              </w:rPr>
              <w:t xml:space="preserve"> the proposed settlement</w:t>
            </w:r>
          </w:p>
          <w:p w14:paraId="33DC7FF1" w14:textId="77777777" w:rsidR="00497EED" w:rsidRPr="00785A3D" w:rsidRDefault="00497EED" w:rsidP="00DA4B80">
            <w:pPr>
              <w:pStyle w:val="ListParagraph"/>
              <w:tabs>
                <w:tab w:val="left" w:pos="3773"/>
              </w:tabs>
              <w:adjustRightInd w:val="0"/>
              <w:ind w:left="0" w:right="146"/>
              <w:rPr>
                <w:rFonts w:cs="Arial"/>
                <w:i/>
                <w:color w:val="000000"/>
                <w:szCs w:val="20"/>
              </w:rPr>
            </w:pPr>
          </w:p>
        </w:tc>
        <w:tc>
          <w:tcPr>
            <w:tcW w:w="6412" w:type="dxa"/>
          </w:tcPr>
          <w:p w14:paraId="2D250809" w14:textId="77777777" w:rsidR="00497EED" w:rsidRPr="00785A3D" w:rsidRDefault="00497EED" w:rsidP="00497EED">
            <w:pPr>
              <w:pStyle w:val="ListParagraph"/>
              <w:numPr>
                <w:ilvl w:val="0"/>
                <w:numId w:val="7"/>
              </w:numPr>
              <w:adjustRightInd w:val="0"/>
              <w:spacing w:before="0"/>
              <w:contextualSpacing w:val="0"/>
              <w:jc w:val="both"/>
              <w:rPr>
                <w:rFonts w:cs="Arial"/>
                <w:color w:val="000000"/>
                <w:szCs w:val="20"/>
              </w:rPr>
            </w:pPr>
            <w:r w:rsidRPr="00785A3D">
              <w:rPr>
                <w:rFonts w:cs="Arial"/>
                <w:color w:val="000000"/>
                <w:szCs w:val="20"/>
              </w:rPr>
              <w:t xml:space="preserve">You do not have to do anything, and you will get the money payable to you once it has been finally calculated </w:t>
            </w:r>
            <w:r w:rsidRPr="00E7561E">
              <w:rPr>
                <w:rFonts w:cs="Arial"/>
                <w:color w:val="000000"/>
                <w:szCs w:val="20"/>
                <w:u w:val="single"/>
              </w:rPr>
              <w:t>if</w:t>
            </w:r>
            <w:r w:rsidRPr="00E7561E">
              <w:rPr>
                <w:rFonts w:cs="Arial"/>
                <w:color w:val="000000"/>
                <w:szCs w:val="20"/>
              </w:rPr>
              <w:t xml:space="preserve"> the Cou</w:t>
            </w:r>
            <w:r>
              <w:rPr>
                <w:rFonts w:cs="Arial"/>
                <w:color w:val="000000"/>
                <w:szCs w:val="20"/>
              </w:rPr>
              <w:t>rt agrees with the Excel Texel a</w:t>
            </w:r>
            <w:r w:rsidRPr="00E7561E">
              <w:rPr>
                <w:rFonts w:cs="Arial"/>
                <w:color w:val="000000"/>
                <w:szCs w:val="20"/>
              </w:rPr>
              <w:t>pplicants’ proposal to allocate some of that money to the Excel Texel Class Action.</w:t>
            </w:r>
          </w:p>
          <w:p w14:paraId="00B1FFB0" w14:textId="77777777" w:rsidR="00497EED" w:rsidRPr="00785A3D" w:rsidRDefault="00497EED" w:rsidP="00DA4B80">
            <w:pPr>
              <w:pStyle w:val="ListParagraph"/>
              <w:adjustRightInd w:val="0"/>
              <w:ind w:left="360"/>
              <w:jc w:val="both"/>
              <w:rPr>
                <w:rFonts w:cs="Arial"/>
                <w:color w:val="000000"/>
                <w:szCs w:val="20"/>
              </w:rPr>
            </w:pPr>
          </w:p>
        </w:tc>
      </w:tr>
      <w:tr w:rsidR="00497EED" w:rsidRPr="00497EED" w14:paraId="1DDE1D76" w14:textId="77777777" w:rsidTr="00DA4B80">
        <w:tc>
          <w:tcPr>
            <w:tcW w:w="2231" w:type="dxa"/>
          </w:tcPr>
          <w:p w14:paraId="7CE81DE0" w14:textId="77777777" w:rsidR="00497EED" w:rsidRPr="00497EED" w:rsidRDefault="00497EED" w:rsidP="00DA4B80">
            <w:pPr>
              <w:pStyle w:val="ListParagraph"/>
              <w:tabs>
                <w:tab w:val="left" w:pos="3773"/>
              </w:tabs>
              <w:adjustRightInd w:val="0"/>
              <w:ind w:left="0" w:right="146"/>
              <w:rPr>
                <w:rFonts w:cs="Arial"/>
                <w:i/>
                <w:color w:val="000000"/>
                <w:szCs w:val="20"/>
              </w:rPr>
            </w:pPr>
            <w:r w:rsidRPr="00497EED">
              <w:rPr>
                <w:rFonts w:cs="Arial"/>
                <w:i/>
                <w:color w:val="000000"/>
                <w:szCs w:val="20"/>
              </w:rPr>
              <w:t xml:space="preserve">If you </w:t>
            </w:r>
            <w:r w:rsidRPr="00497EED">
              <w:rPr>
                <w:rFonts w:cs="Arial"/>
                <w:i/>
                <w:color w:val="000000"/>
                <w:szCs w:val="20"/>
                <w:u w:val="single"/>
              </w:rPr>
              <w:t>disagree with</w:t>
            </w:r>
            <w:r w:rsidRPr="00497EED">
              <w:rPr>
                <w:rFonts w:cs="Arial"/>
                <w:i/>
                <w:color w:val="000000"/>
                <w:szCs w:val="20"/>
              </w:rPr>
              <w:t xml:space="preserve"> the proposed settlement (or how it </w:t>
            </w:r>
            <w:r w:rsidRPr="00497EED">
              <w:rPr>
                <w:rFonts w:cs="Arial"/>
                <w:i/>
                <w:color w:val="000000"/>
                <w:szCs w:val="20"/>
              </w:rPr>
              <w:lastRenderedPageBreak/>
              <w:t>is proposed to be distributed)</w:t>
            </w:r>
          </w:p>
          <w:p w14:paraId="6FCF0465" w14:textId="77777777" w:rsidR="00497EED" w:rsidRPr="00497EED" w:rsidRDefault="00497EED" w:rsidP="00DA4B80">
            <w:pPr>
              <w:pStyle w:val="ListParagraph"/>
              <w:tabs>
                <w:tab w:val="left" w:pos="3773"/>
              </w:tabs>
              <w:adjustRightInd w:val="0"/>
              <w:ind w:left="0" w:right="146"/>
              <w:rPr>
                <w:rFonts w:cs="Arial"/>
                <w:color w:val="000000"/>
                <w:szCs w:val="20"/>
                <w:u w:val="single"/>
              </w:rPr>
            </w:pPr>
          </w:p>
        </w:tc>
        <w:tc>
          <w:tcPr>
            <w:tcW w:w="6412" w:type="dxa"/>
          </w:tcPr>
          <w:p w14:paraId="73E897CA" w14:textId="77777777" w:rsidR="00497EED" w:rsidRPr="00497EED" w:rsidRDefault="00497EED" w:rsidP="00497EED">
            <w:pPr>
              <w:pStyle w:val="ListParagraph"/>
              <w:numPr>
                <w:ilvl w:val="0"/>
                <w:numId w:val="7"/>
              </w:numPr>
              <w:adjustRightInd w:val="0"/>
              <w:spacing w:before="0"/>
              <w:contextualSpacing w:val="0"/>
              <w:jc w:val="both"/>
              <w:rPr>
                <w:rFonts w:cs="Arial"/>
                <w:color w:val="000000"/>
                <w:szCs w:val="20"/>
              </w:rPr>
            </w:pPr>
            <w:r w:rsidRPr="00497EED">
              <w:rPr>
                <w:rFonts w:cs="Arial"/>
                <w:color w:val="000000"/>
                <w:szCs w:val="20"/>
              </w:rPr>
              <w:lastRenderedPageBreak/>
              <w:t>You should tell the Judge and the parties why.</w:t>
            </w:r>
          </w:p>
          <w:p w14:paraId="3D141F63" w14:textId="77777777" w:rsidR="00497EED" w:rsidRPr="00497EED" w:rsidRDefault="00497EED" w:rsidP="00497EED">
            <w:pPr>
              <w:pStyle w:val="ListParagraph"/>
              <w:numPr>
                <w:ilvl w:val="0"/>
                <w:numId w:val="7"/>
              </w:numPr>
              <w:adjustRightInd w:val="0"/>
              <w:spacing w:before="0"/>
              <w:contextualSpacing w:val="0"/>
              <w:jc w:val="both"/>
              <w:rPr>
                <w:rFonts w:cs="Arial"/>
                <w:color w:val="000000"/>
                <w:szCs w:val="20"/>
              </w:rPr>
            </w:pPr>
            <w:r w:rsidRPr="00497EED">
              <w:rPr>
                <w:rFonts w:cs="Arial"/>
                <w:color w:val="000000"/>
                <w:szCs w:val="20"/>
              </w:rPr>
              <w:t xml:space="preserve">This is best done by sending written material for the Court to consider well before the hearing. This should be done by sending the material to </w:t>
            </w:r>
            <w:r w:rsidRPr="00497EED">
              <w:rPr>
                <w:rFonts w:cs="Arial"/>
                <w:b/>
                <w:bCs/>
                <w:color w:val="000000"/>
                <w:szCs w:val="20"/>
              </w:rPr>
              <w:t>nswdr@fedcourt.gov.au</w:t>
            </w:r>
            <w:r w:rsidRPr="00497EED">
              <w:rPr>
                <w:rFonts w:cs="Arial"/>
                <w:color w:val="000000"/>
                <w:szCs w:val="20"/>
              </w:rPr>
              <w:t xml:space="preserve">, and the court </w:t>
            </w:r>
            <w:r w:rsidRPr="00497EED">
              <w:rPr>
                <w:rFonts w:cs="Arial"/>
                <w:color w:val="000000"/>
                <w:szCs w:val="20"/>
              </w:rPr>
              <w:lastRenderedPageBreak/>
              <w:t xml:space="preserve">would prefer if this was sent by </w:t>
            </w:r>
            <w:r w:rsidRPr="00497EED">
              <w:rPr>
                <w:rFonts w:cs="Arial"/>
                <w:b/>
                <w:bCs/>
                <w:color w:val="000000"/>
                <w:szCs w:val="20"/>
              </w:rPr>
              <w:t>27 April 2020</w:t>
            </w:r>
            <w:r w:rsidRPr="00497EED">
              <w:rPr>
                <w:rFonts w:cs="Arial"/>
                <w:color w:val="000000"/>
                <w:szCs w:val="20"/>
              </w:rPr>
              <w:t xml:space="preserve">. You can also tell the Court your concerns at the hearing.  Arrangements will be made to allow you do this if you want.  Due to the coronavirus, a hearing will probably not happen in a courtroom where people come along in person, and if you want to speak, this will likely involve providing you with a video link or telephone link.  If you want to speak to the Judge about the settlement at the hearing this can be arranged by you sending an email to </w:t>
            </w:r>
            <w:r w:rsidRPr="00497EED">
              <w:rPr>
                <w:rFonts w:cs="Arial"/>
                <w:b/>
                <w:bCs/>
                <w:color w:val="000000"/>
                <w:szCs w:val="20"/>
              </w:rPr>
              <w:t>nswdr@fedcourt.gov.au</w:t>
            </w:r>
            <w:r w:rsidRPr="00497EED">
              <w:rPr>
                <w:rFonts w:cs="Arial"/>
                <w:color w:val="000000"/>
                <w:szCs w:val="20"/>
              </w:rPr>
              <w:t>.</w:t>
            </w:r>
          </w:p>
          <w:p w14:paraId="4804EE4F" w14:textId="77777777" w:rsidR="00497EED" w:rsidRPr="00497EED" w:rsidRDefault="00497EED" w:rsidP="00DA4B80">
            <w:pPr>
              <w:adjustRightInd w:val="0"/>
              <w:jc w:val="both"/>
              <w:rPr>
                <w:rFonts w:ascii="Arial" w:hAnsi="Arial" w:cs="Arial"/>
                <w:color w:val="000000"/>
                <w:sz w:val="20"/>
                <w:szCs w:val="20"/>
              </w:rPr>
            </w:pPr>
          </w:p>
          <w:p w14:paraId="00372246" w14:textId="77777777" w:rsidR="00497EED" w:rsidRPr="00497EED" w:rsidRDefault="00497EED" w:rsidP="00DA4B80">
            <w:pPr>
              <w:adjustRightInd w:val="0"/>
              <w:jc w:val="both"/>
              <w:rPr>
                <w:rFonts w:ascii="Arial" w:hAnsi="Arial" w:cs="Arial"/>
                <w:color w:val="000000"/>
                <w:sz w:val="20"/>
                <w:szCs w:val="20"/>
              </w:rPr>
            </w:pPr>
            <w:r w:rsidRPr="00497EED">
              <w:rPr>
                <w:rFonts w:ascii="Arial" w:hAnsi="Arial" w:cs="Arial"/>
                <w:color w:val="000000"/>
                <w:sz w:val="20"/>
                <w:szCs w:val="20"/>
              </w:rPr>
              <w:t xml:space="preserve">Please note, even if you object, you will still receive money from the settlement if it goes ahead </w:t>
            </w:r>
            <w:r w:rsidRPr="00497EED">
              <w:rPr>
                <w:rFonts w:ascii="Arial" w:hAnsi="Arial" w:cs="Arial"/>
                <w:color w:val="000000"/>
                <w:sz w:val="20"/>
                <w:szCs w:val="20"/>
                <w:u w:val="single"/>
              </w:rPr>
              <w:t>and if</w:t>
            </w:r>
            <w:r w:rsidRPr="00497EED">
              <w:rPr>
                <w:rFonts w:ascii="Arial" w:hAnsi="Arial" w:cs="Arial"/>
                <w:color w:val="000000"/>
                <w:sz w:val="20"/>
                <w:szCs w:val="20"/>
              </w:rPr>
              <w:t xml:space="preserve"> the Court agrees with the Excel Texel applicants’ proposal to allocate some of that money to the Excel Texel Class Action.</w:t>
            </w:r>
          </w:p>
          <w:p w14:paraId="5E2A752D" w14:textId="77777777" w:rsidR="00497EED" w:rsidRPr="00497EED" w:rsidRDefault="00497EED" w:rsidP="00DA4B80">
            <w:pPr>
              <w:adjustRightInd w:val="0"/>
              <w:jc w:val="both"/>
              <w:rPr>
                <w:rFonts w:ascii="Arial" w:hAnsi="Arial" w:cs="Arial"/>
                <w:color w:val="000000"/>
                <w:sz w:val="20"/>
                <w:szCs w:val="20"/>
              </w:rPr>
            </w:pPr>
          </w:p>
        </w:tc>
      </w:tr>
    </w:tbl>
    <w:p w14:paraId="0C743E81" w14:textId="2918E251" w:rsidR="00497EED" w:rsidRPr="00497EED" w:rsidRDefault="00497EED" w:rsidP="001C056A">
      <w:pPr>
        <w:pStyle w:val="NumberedPara1"/>
        <w:keepNext/>
        <w:numPr>
          <w:ilvl w:val="0"/>
          <w:numId w:val="0"/>
        </w:numPr>
        <w:ind w:left="709" w:hanging="709"/>
        <w:rPr>
          <w:rFonts w:cs="Arial"/>
          <w:b/>
        </w:rPr>
      </w:pPr>
      <w:r w:rsidRPr="00497EED">
        <w:rPr>
          <w:rFonts w:cs="Arial"/>
          <w:b/>
          <w:bCs/>
        </w:rPr>
        <w:lastRenderedPageBreak/>
        <w:t>E</w:t>
      </w:r>
      <w:r w:rsidRPr="00497EED">
        <w:rPr>
          <w:rFonts w:cs="Arial"/>
          <w:b/>
        </w:rPr>
        <w:t>.</w:t>
      </w:r>
      <w:r w:rsidRPr="00497EED">
        <w:rPr>
          <w:rFonts w:cs="Arial"/>
          <w:b/>
        </w:rPr>
        <w:tab/>
        <w:t xml:space="preserve">WHERE TO GET MORE INFORMATION </w:t>
      </w:r>
    </w:p>
    <w:p w14:paraId="38609AF0" w14:textId="726263E8" w:rsidR="001C056A" w:rsidRDefault="00497EED" w:rsidP="001C056A">
      <w:pPr>
        <w:pStyle w:val="ListParagraph"/>
        <w:numPr>
          <w:ilvl w:val="0"/>
          <w:numId w:val="6"/>
        </w:numPr>
        <w:spacing w:before="252" w:after="200" w:line="252" w:lineRule="exact"/>
        <w:ind w:left="709" w:hanging="709"/>
        <w:jc w:val="both"/>
        <w:textAlignment w:val="baseline"/>
        <w:rPr>
          <w:rFonts w:cs="Arial"/>
          <w:bCs/>
          <w:szCs w:val="20"/>
        </w:rPr>
      </w:pPr>
      <w:r w:rsidRPr="00497EED">
        <w:rPr>
          <w:rFonts w:eastAsia="Calibri" w:cs="Arial"/>
          <w:bCs/>
          <w:szCs w:val="20"/>
        </w:rPr>
        <w:t xml:space="preserve">If you want any more information or documents, do not contact the Court, but instead </w:t>
      </w:r>
      <w:r w:rsidRPr="00497EED">
        <w:rPr>
          <w:rFonts w:cs="Arial"/>
          <w:bCs/>
          <w:szCs w:val="20"/>
        </w:rPr>
        <w:t>download documents from the website (</w:t>
      </w:r>
      <w:hyperlink r:id="rId12" w:history="1">
        <w:r w:rsidRPr="00497EED">
          <w:rPr>
            <w:rFonts w:cs="Arial"/>
            <w:bCs/>
            <w:szCs w:val="20"/>
          </w:rPr>
          <w:t>https://classactions.gadens.com/Actions/Details/8</w:t>
        </w:r>
      </w:hyperlink>
      <w:r w:rsidRPr="00497EED">
        <w:rPr>
          <w:rFonts w:cs="Arial"/>
          <w:bCs/>
          <w:szCs w:val="20"/>
        </w:rPr>
        <w:t xml:space="preserve">), telephone Gadens on (03) 9617 8520 or email </w:t>
      </w:r>
      <w:hyperlink r:id="rId13" w:history="1">
        <w:r w:rsidRPr="00497EED">
          <w:rPr>
            <w:rFonts w:cs="Arial"/>
            <w:bCs/>
            <w:szCs w:val="20"/>
          </w:rPr>
          <w:t>simon.theodore@gadens.com</w:t>
        </w:r>
      </w:hyperlink>
      <w:r w:rsidR="00257B73">
        <w:rPr>
          <w:rFonts w:cs="Arial"/>
          <w:bCs/>
          <w:szCs w:val="20"/>
        </w:rPr>
        <w:t>.</w:t>
      </w:r>
    </w:p>
    <w:p w14:paraId="439FBEDB" w14:textId="77777777" w:rsidR="001C056A" w:rsidRDefault="001C056A" w:rsidP="001C056A">
      <w:pPr>
        <w:pStyle w:val="ListParagraph"/>
        <w:spacing w:before="252" w:after="200" w:line="252" w:lineRule="exact"/>
        <w:ind w:left="709"/>
        <w:jc w:val="both"/>
        <w:textAlignment w:val="baseline"/>
        <w:rPr>
          <w:rFonts w:cs="Arial"/>
          <w:bCs/>
          <w:szCs w:val="20"/>
        </w:rPr>
      </w:pPr>
    </w:p>
    <w:p w14:paraId="5E9C6BC0" w14:textId="0FBD06A6" w:rsidR="00497EED" w:rsidRPr="001C056A" w:rsidRDefault="00497EED" w:rsidP="001C056A">
      <w:pPr>
        <w:pStyle w:val="ListParagraph"/>
        <w:numPr>
          <w:ilvl w:val="0"/>
          <w:numId w:val="6"/>
        </w:numPr>
        <w:spacing w:before="252" w:after="200" w:line="252" w:lineRule="exact"/>
        <w:ind w:left="709" w:hanging="709"/>
        <w:jc w:val="both"/>
        <w:textAlignment w:val="baseline"/>
        <w:rPr>
          <w:rFonts w:cs="Arial"/>
          <w:bCs/>
          <w:szCs w:val="20"/>
        </w:rPr>
      </w:pPr>
      <w:r w:rsidRPr="001C056A">
        <w:rPr>
          <w:rFonts w:eastAsia="Calibri" w:cs="Arial"/>
          <w:bCs/>
          <w:szCs w:val="20"/>
        </w:rPr>
        <w:t>Please consider the above matters carefully. If there is anything of which you are unsure, you should contact Gadens, or seek your own legal advice.  Please bear in mind that while you should contact Gadens for further information as necessary, if you do not require further assistance, it is in the interests of all class members to keep any further costs to a minimum</w:t>
      </w:r>
      <w:r w:rsidR="001C056A">
        <w:rPr>
          <w:rFonts w:eastAsia="Calibri" w:cs="Arial"/>
          <w:bCs/>
          <w:szCs w:val="20"/>
        </w:rPr>
        <w:t>.</w:t>
      </w:r>
    </w:p>
    <w:sectPr w:rsidR="00497EED" w:rsidRPr="001C056A" w:rsidSect="007D42F5">
      <w:headerReference w:type="default" r:id="rId14"/>
      <w:footerReference w:type="default" r:id="rId15"/>
      <w:footerReference w:type="first" r:id="rId16"/>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DFEC" w14:textId="77777777" w:rsidR="003363AE" w:rsidRDefault="003363AE">
      <w:r>
        <w:separator/>
      </w:r>
    </w:p>
  </w:endnote>
  <w:endnote w:type="continuationSeparator" w:id="0">
    <w:p w14:paraId="6AF4E300" w14:textId="77777777" w:rsidR="003363AE" w:rsidRDefault="0033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3363AE"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A075E8">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A075E8">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3363AE"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A075E8">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A075E8">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0B90" w14:textId="77777777" w:rsidR="003363AE" w:rsidRDefault="003363AE">
      <w:r>
        <w:separator/>
      </w:r>
    </w:p>
  </w:footnote>
  <w:footnote w:type="continuationSeparator" w:id="0">
    <w:p w14:paraId="4505D1E6" w14:textId="77777777" w:rsidR="003363AE" w:rsidRDefault="0033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0123695A" w:rsidR="00C368DC" w:rsidRDefault="00C368DC" w:rsidP="00C368DC">
    <w:pPr>
      <w:pStyle w:val="Header"/>
      <w:jc w:val="center"/>
    </w:pPr>
    <w:r>
      <w:t xml:space="preserve">- </w:t>
    </w:r>
    <w:sdt>
      <w:sdtPr>
        <w:id w:val="1301344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C7ED2">
          <w:rPr>
            <w:noProof/>
          </w:rPr>
          <w:t>3</w:t>
        </w:r>
        <w:r>
          <w:rPr>
            <w:noProof/>
          </w:rPr>
          <w:fldChar w:fldCharType="end"/>
        </w:r>
      </w:sdtContent>
    </w:sdt>
    <w:r>
      <w:rPr>
        <w:noProof/>
      </w:rPr>
      <w:t xml:space="preserve"> -</w:t>
    </w:r>
  </w:p>
  <w:p w14:paraId="58622AD4" w14:textId="77777777" w:rsidR="003D5CA3" w:rsidRPr="00C368DC" w:rsidRDefault="003D5CA3" w:rsidP="00C3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64A69"/>
    <w:multiLevelType w:val="hybridMultilevel"/>
    <w:tmpl w:val="9F26EB0C"/>
    <w:lvl w:ilvl="0" w:tplc="DA9AE2EE">
      <w:start w:val="1"/>
      <w:numFmt w:val="decimal"/>
      <w:lvlText w:val="%1."/>
      <w:lvlJc w:val="left"/>
      <w:pPr>
        <w:ind w:left="1429" w:hanging="360"/>
      </w:pPr>
      <w:rPr>
        <w:rFonts w:ascii="Arial" w:hAnsi="Arial" w:cs="Aria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379349EA"/>
    <w:multiLevelType w:val="multilevel"/>
    <w:tmpl w:val="85A0BC64"/>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7087332B"/>
    <w:multiLevelType w:val="hybridMultilevel"/>
    <w:tmpl w:val="55A062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3"/>
  </w:num>
  <w:num w:numId="4">
    <w:abstractNumId w:val="3"/>
    <w:lvlOverride w:ilvl="0">
      <w:lvl w:ilvl="0">
        <w:start w:val="1"/>
        <w:numFmt w:val="decimal"/>
        <w:pStyle w:val="NumberedPara1"/>
        <w:lvlText w:val="%1."/>
        <w:lvlJc w:val="left"/>
        <w:pPr>
          <w:ind w:left="709" w:hanging="709"/>
        </w:pPr>
        <w:rPr>
          <w:rFonts w:hint="default"/>
        </w:rPr>
      </w:lvl>
    </w:lvlOverride>
    <w:lvlOverride w:ilvl="1">
      <w:lvl w:ilvl="1">
        <w:start w:val="1"/>
        <w:numFmt w:val="lowerLetter"/>
        <w:pStyle w:val="NumberedPara2"/>
        <w:lvlText w:val="(%2)"/>
        <w:lvlJc w:val="left"/>
        <w:pPr>
          <w:ind w:left="1418" w:hanging="709"/>
        </w:pPr>
        <w:rPr>
          <w:rFonts w:hint="default"/>
        </w:rPr>
      </w:lvl>
    </w:lvlOverride>
    <w:lvlOverride w:ilvl="2">
      <w:lvl w:ilvl="2">
        <w:start w:val="1"/>
        <w:numFmt w:val="lowerRoman"/>
        <w:pStyle w:val="NumberedPara3"/>
        <w:lvlText w:val="(%3)"/>
        <w:lvlJc w:val="left"/>
        <w:pPr>
          <w:ind w:left="2127" w:hanging="709"/>
        </w:pPr>
        <w:rPr>
          <w:rFonts w:hint="default"/>
        </w:rPr>
      </w:lvl>
    </w:lvlOverride>
    <w:lvlOverride w:ilvl="3">
      <w:lvl w:ilvl="3">
        <w:start w:val="1"/>
        <w:numFmt w:val="upperLetter"/>
        <w:pStyle w:val="NumberedPara4"/>
        <w:lvlText w:val="(%4)"/>
        <w:lvlJc w:val="left"/>
        <w:pPr>
          <w:ind w:left="2836" w:hanging="709"/>
        </w:pPr>
        <w:rPr>
          <w:rFonts w:hint="default"/>
        </w:rPr>
      </w:lvl>
    </w:lvlOverride>
    <w:lvlOverride w:ilvl="4">
      <w:lvl w:ilvl="4">
        <w:start w:val="1"/>
        <w:numFmt w:val="decimal"/>
        <w:pStyle w:val="NumberedPara5"/>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5">
    <w:abstractNumId w:val="3"/>
    <w:lvlOverride w:ilvl="0">
      <w:startOverride w:val="1"/>
      <w:lvl w:ilvl="0">
        <w:start w:val="1"/>
        <w:numFmt w:val="decimal"/>
        <w:pStyle w:val="NumberedPara1"/>
        <w:lvlText w:val="%1."/>
        <w:lvlJc w:val="left"/>
        <w:pPr>
          <w:ind w:left="709" w:hanging="709"/>
        </w:pPr>
        <w:rPr>
          <w:rFonts w:hint="default"/>
        </w:rPr>
      </w:lvl>
    </w:lvlOverride>
    <w:lvlOverride w:ilvl="1">
      <w:startOverride w:val="1"/>
      <w:lvl w:ilvl="1">
        <w:start w:val="1"/>
        <w:numFmt w:val="lowerLetter"/>
        <w:pStyle w:val="NumberedPara2"/>
        <w:lvlText w:val="(%2)"/>
        <w:lvlJc w:val="left"/>
        <w:pPr>
          <w:ind w:left="1418" w:hanging="709"/>
        </w:pPr>
        <w:rPr>
          <w:rFonts w:hint="default"/>
        </w:rPr>
      </w:lvl>
    </w:lvlOverride>
    <w:lvlOverride w:ilvl="2">
      <w:startOverride w:val="1"/>
      <w:lvl w:ilvl="2">
        <w:start w:val="1"/>
        <w:numFmt w:val="lowerRoman"/>
        <w:pStyle w:val="NumberedPara3"/>
        <w:lvlText w:val="(%3)"/>
        <w:lvlJc w:val="left"/>
        <w:pPr>
          <w:ind w:left="2127" w:hanging="709"/>
        </w:pPr>
        <w:rPr>
          <w:rFonts w:hint="default"/>
        </w:rPr>
      </w:lvl>
    </w:lvlOverride>
    <w:lvlOverride w:ilvl="3">
      <w:startOverride w:val="1"/>
      <w:lvl w:ilvl="3">
        <w:start w:val="1"/>
        <w:numFmt w:val="upperLetter"/>
        <w:pStyle w:val="NumberedPara4"/>
        <w:lvlText w:val="(%4)"/>
        <w:lvlJc w:val="left"/>
        <w:pPr>
          <w:ind w:left="2836" w:hanging="709"/>
        </w:pPr>
        <w:rPr>
          <w:rFonts w:hint="default"/>
        </w:rPr>
      </w:lvl>
    </w:lvlOverride>
    <w:lvlOverride w:ilvl="4">
      <w:startOverride w:val="1"/>
      <w:lvl w:ilvl="4">
        <w:start w:val="1"/>
        <w:numFmt w:val="decimal"/>
        <w:pStyle w:val="NumberedPara5"/>
        <w:lvlText w:val="(%5)"/>
        <w:lvlJc w:val="left"/>
        <w:pPr>
          <w:ind w:left="3545" w:hanging="709"/>
        </w:pPr>
        <w:rPr>
          <w:rFonts w:hint="default"/>
        </w:rPr>
      </w:lvl>
    </w:lvlOverride>
    <w:lvlOverride w:ilvl="5">
      <w:startOverride w:val="1"/>
      <w:lvl w:ilvl="5">
        <w:start w:val="1"/>
        <w:numFmt w:val="lowerRoman"/>
        <w:lvlText w:val="(%6)"/>
        <w:lvlJc w:val="left"/>
        <w:pPr>
          <w:ind w:left="4254" w:hanging="709"/>
        </w:pPr>
        <w:rPr>
          <w:rFonts w:hint="default"/>
        </w:rPr>
      </w:lvl>
    </w:lvlOverride>
    <w:lvlOverride w:ilvl="6">
      <w:startOverride w:val="1"/>
      <w:lvl w:ilvl="6">
        <w:start w:val="1"/>
        <w:numFmt w:val="decimal"/>
        <w:lvlText w:val="%7."/>
        <w:lvlJc w:val="left"/>
        <w:pPr>
          <w:ind w:left="4963" w:hanging="709"/>
        </w:pPr>
        <w:rPr>
          <w:rFonts w:hint="default"/>
        </w:rPr>
      </w:lvl>
    </w:lvlOverride>
    <w:lvlOverride w:ilvl="7">
      <w:startOverride w:val="1"/>
      <w:lvl w:ilvl="7">
        <w:start w:val="1"/>
        <w:numFmt w:val="lowerLetter"/>
        <w:lvlText w:val="%8."/>
        <w:lvlJc w:val="left"/>
        <w:pPr>
          <w:ind w:left="5672" w:hanging="709"/>
        </w:pPr>
        <w:rPr>
          <w:rFonts w:hint="default"/>
        </w:rPr>
      </w:lvl>
    </w:lvlOverride>
    <w:lvlOverride w:ilvl="8">
      <w:startOverride w:val="1"/>
      <w:lvl w:ilvl="8">
        <w:start w:val="1"/>
        <w:numFmt w:val="lowerRoman"/>
        <w:lvlText w:val="%9."/>
        <w:lvlJc w:val="left"/>
        <w:pPr>
          <w:ind w:left="6381" w:hanging="709"/>
        </w:pPr>
        <w:rPr>
          <w:rFonts w:hint="default"/>
        </w:rPr>
      </w:lvl>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828AC"/>
    <w:rsid w:val="00193033"/>
    <w:rsid w:val="001A03A3"/>
    <w:rsid w:val="001A5CD6"/>
    <w:rsid w:val="001C056A"/>
    <w:rsid w:val="001D33E5"/>
    <w:rsid w:val="002105EA"/>
    <w:rsid w:val="00210BB3"/>
    <w:rsid w:val="002117D5"/>
    <w:rsid w:val="00221099"/>
    <w:rsid w:val="002248A7"/>
    <w:rsid w:val="00234BAE"/>
    <w:rsid w:val="00235930"/>
    <w:rsid w:val="00244672"/>
    <w:rsid w:val="0024758E"/>
    <w:rsid w:val="002527EC"/>
    <w:rsid w:val="0025376E"/>
    <w:rsid w:val="00257717"/>
    <w:rsid w:val="00257B73"/>
    <w:rsid w:val="00262101"/>
    <w:rsid w:val="002706AA"/>
    <w:rsid w:val="00276A82"/>
    <w:rsid w:val="0027756C"/>
    <w:rsid w:val="0028259E"/>
    <w:rsid w:val="002A32B9"/>
    <w:rsid w:val="002A33C8"/>
    <w:rsid w:val="002A57E2"/>
    <w:rsid w:val="002B2A81"/>
    <w:rsid w:val="002D2FD8"/>
    <w:rsid w:val="002E0386"/>
    <w:rsid w:val="002E7321"/>
    <w:rsid w:val="003054AA"/>
    <w:rsid w:val="00326633"/>
    <w:rsid w:val="003313E7"/>
    <w:rsid w:val="00331C61"/>
    <w:rsid w:val="003363AE"/>
    <w:rsid w:val="00350968"/>
    <w:rsid w:val="003600BF"/>
    <w:rsid w:val="00386CDA"/>
    <w:rsid w:val="003876B9"/>
    <w:rsid w:val="00390493"/>
    <w:rsid w:val="00396DA6"/>
    <w:rsid w:val="003A7FAD"/>
    <w:rsid w:val="003B0D52"/>
    <w:rsid w:val="003B14D7"/>
    <w:rsid w:val="003D5CA3"/>
    <w:rsid w:val="003D6C52"/>
    <w:rsid w:val="003E64E6"/>
    <w:rsid w:val="003F71C3"/>
    <w:rsid w:val="0042175A"/>
    <w:rsid w:val="00436E53"/>
    <w:rsid w:val="0044060D"/>
    <w:rsid w:val="00445F49"/>
    <w:rsid w:val="004522A4"/>
    <w:rsid w:val="00454AF3"/>
    <w:rsid w:val="0047072A"/>
    <w:rsid w:val="00471B68"/>
    <w:rsid w:val="0047378C"/>
    <w:rsid w:val="00497EED"/>
    <w:rsid w:val="004A450E"/>
    <w:rsid w:val="004A4824"/>
    <w:rsid w:val="004C2B76"/>
    <w:rsid w:val="004C5EF8"/>
    <w:rsid w:val="004D4F6E"/>
    <w:rsid w:val="004F252E"/>
    <w:rsid w:val="004F2D85"/>
    <w:rsid w:val="004F5D4C"/>
    <w:rsid w:val="004F6A54"/>
    <w:rsid w:val="00510D03"/>
    <w:rsid w:val="005148DB"/>
    <w:rsid w:val="0052319E"/>
    <w:rsid w:val="0054518F"/>
    <w:rsid w:val="00562FCA"/>
    <w:rsid w:val="00576BCA"/>
    <w:rsid w:val="005811EB"/>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3153"/>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C7ED2"/>
    <w:rsid w:val="008E301F"/>
    <w:rsid w:val="008F026B"/>
    <w:rsid w:val="008F75AF"/>
    <w:rsid w:val="0091067D"/>
    <w:rsid w:val="00927547"/>
    <w:rsid w:val="0095419D"/>
    <w:rsid w:val="00963311"/>
    <w:rsid w:val="009979FF"/>
    <w:rsid w:val="009A0B40"/>
    <w:rsid w:val="009A13ED"/>
    <w:rsid w:val="009D62D6"/>
    <w:rsid w:val="009E4F84"/>
    <w:rsid w:val="00A04486"/>
    <w:rsid w:val="00A075E8"/>
    <w:rsid w:val="00A143E4"/>
    <w:rsid w:val="00A37EE6"/>
    <w:rsid w:val="00A473A4"/>
    <w:rsid w:val="00A73198"/>
    <w:rsid w:val="00A73D41"/>
    <w:rsid w:val="00A7602E"/>
    <w:rsid w:val="00A76BD7"/>
    <w:rsid w:val="00A91B90"/>
    <w:rsid w:val="00A91C29"/>
    <w:rsid w:val="00AE007A"/>
    <w:rsid w:val="00AF6A6F"/>
    <w:rsid w:val="00B059F5"/>
    <w:rsid w:val="00B100AC"/>
    <w:rsid w:val="00B3724E"/>
    <w:rsid w:val="00B45852"/>
    <w:rsid w:val="00B5217C"/>
    <w:rsid w:val="00B5225C"/>
    <w:rsid w:val="00B615A9"/>
    <w:rsid w:val="00B61AFA"/>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8CB"/>
    <w:rsid w:val="00EA6087"/>
    <w:rsid w:val="00EB2203"/>
    <w:rsid w:val="00EB67E5"/>
    <w:rsid w:val="00EC4ABB"/>
    <w:rsid w:val="00EC57C5"/>
    <w:rsid w:val="00ED0EC2"/>
    <w:rsid w:val="00ED466B"/>
    <w:rsid w:val="00ED7EA4"/>
    <w:rsid w:val="00EE707E"/>
    <w:rsid w:val="00EF500E"/>
    <w:rsid w:val="00F35671"/>
    <w:rsid w:val="00F41E30"/>
    <w:rsid w:val="00F54F4E"/>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paragraph" w:customStyle="1" w:styleId="NumberedPara1">
    <w:name w:val="Numbered Para 1"/>
    <w:basedOn w:val="Normal"/>
    <w:rsid w:val="00497EED"/>
    <w:pPr>
      <w:numPr>
        <w:numId w:val="3"/>
      </w:numPr>
      <w:spacing w:before="240"/>
    </w:pPr>
    <w:rPr>
      <w:rFonts w:ascii="Arial" w:hAnsi="Arial"/>
      <w:sz w:val="20"/>
      <w:szCs w:val="20"/>
      <w:lang w:eastAsia="en-AU"/>
    </w:rPr>
  </w:style>
  <w:style w:type="paragraph" w:customStyle="1" w:styleId="NumberedPara3">
    <w:name w:val="Numbered Para 3"/>
    <w:basedOn w:val="Normal"/>
    <w:rsid w:val="00497EED"/>
    <w:pPr>
      <w:numPr>
        <w:ilvl w:val="2"/>
        <w:numId w:val="3"/>
      </w:numPr>
      <w:spacing w:before="240"/>
    </w:pPr>
    <w:rPr>
      <w:rFonts w:ascii="Arial" w:hAnsi="Arial"/>
      <w:sz w:val="20"/>
      <w:szCs w:val="20"/>
      <w:lang w:eastAsia="en-AU"/>
    </w:rPr>
  </w:style>
  <w:style w:type="paragraph" w:customStyle="1" w:styleId="NumberedPara4">
    <w:name w:val="Numbered Para 4"/>
    <w:basedOn w:val="Normal"/>
    <w:rsid w:val="00497EED"/>
    <w:pPr>
      <w:numPr>
        <w:ilvl w:val="3"/>
        <w:numId w:val="3"/>
      </w:numPr>
      <w:spacing w:before="240"/>
    </w:pPr>
    <w:rPr>
      <w:rFonts w:ascii="Arial" w:hAnsi="Arial"/>
      <w:sz w:val="20"/>
      <w:szCs w:val="20"/>
      <w:lang w:eastAsia="en-AU"/>
    </w:rPr>
  </w:style>
  <w:style w:type="paragraph" w:customStyle="1" w:styleId="NumberedPara5">
    <w:name w:val="Numbered Para 5"/>
    <w:basedOn w:val="Normal"/>
    <w:rsid w:val="00497EED"/>
    <w:pPr>
      <w:numPr>
        <w:ilvl w:val="4"/>
        <w:numId w:val="3"/>
      </w:numPr>
      <w:spacing w:before="240"/>
    </w:pPr>
    <w:rPr>
      <w:rFonts w:ascii="Arial" w:hAnsi="Arial"/>
      <w:sz w:val="20"/>
      <w:szCs w:val="20"/>
      <w:lang w:eastAsia="en-AU"/>
    </w:rPr>
  </w:style>
  <w:style w:type="paragraph" w:customStyle="1" w:styleId="NumberedPara2">
    <w:name w:val="Numbered Para 2"/>
    <w:basedOn w:val="Normal"/>
    <w:rsid w:val="00497EED"/>
    <w:pPr>
      <w:numPr>
        <w:ilvl w:val="1"/>
        <w:numId w:val="3"/>
      </w:numPr>
      <w:spacing w:before="240"/>
    </w:pPr>
    <w:rPr>
      <w:rFonts w:ascii="Arial" w:hAnsi="Arial"/>
      <w:sz w:val="20"/>
      <w:szCs w:val="20"/>
      <w:lang w:eastAsia="en-AU"/>
    </w:rPr>
  </w:style>
  <w:style w:type="numbering" w:customStyle="1" w:styleId="GadensParas">
    <w:name w:val="Gadens Paras"/>
    <w:uiPriority w:val="99"/>
    <w:rsid w:val="00497EED"/>
    <w:pPr>
      <w:numPr>
        <w:numId w:val="3"/>
      </w:numPr>
    </w:pPr>
  </w:style>
  <w:style w:type="paragraph" w:styleId="ListParagraph">
    <w:name w:val="List Paragraph"/>
    <w:basedOn w:val="Normal"/>
    <w:link w:val="ListParagraphChar"/>
    <w:uiPriority w:val="34"/>
    <w:qFormat/>
    <w:rsid w:val="00497EED"/>
    <w:pPr>
      <w:spacing w:before="240"/>
      <w:ind w:left="720"/>
      <w:contextualSpacing/>
    </w:pPr>
    <w:rPr>
      <w:rFonts w:ascii="Arial" w:eastAsiaTheme="minorHAnsi" w:hAnsi="Arial" w:cstheme="minorBidi"/>
      <w:sz w:val="20"/>
      <w:szCs w:val="22"/>
    </w:rPr>
  </w:style>
  <w:style w:type="character" w:customStyle="1" w:styleId="ListParagraphChar">
    <w:name w:val="List Paragraph Char"/>
    <w:basedOn w:val="DefaultParagraphFont"/>
    <w:link w:val="ListParagraph"/>
    <w:uiPriority w:val="34"/>
    <w:rsid w:val="00497EED"/>
    <w:rPr>
      <w:rFonts w:ascii="Arial" w:eastAsiaTheme="minorHAnsi" w:hAnsi="Arial"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mon.theodore@gaden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lassactions.gadens.com/Actions/Details/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47A3DA93C998B6428154E1750CCE8616" ma:contentTypeVersion="0" ma:contentTypeDescription="Create a new document." ma:contentTypeScope="" ma:versionID="388815c619faf4411c3c1c67a7178a6c">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432296/DOC42</listingrolid>
    <File_x0020_Number xmlns="85512599-8531-48e1-9b90-9215d01f2c32">NSD1983/2017</File_x0020_Number>
    <Date_x0020_Filed xmlns="85512599-8531-48e1-9b90-9215d01f2c32">2020-04-15T05:56:25+00:00</Date_x0020_Filed>
    <orderdivision xmlns="85512599-8531-48e1-9b90-9215d01f2c32">General</orderdivision>
    <showorderinccp xmlns="85512599-8531-48e1-9b90-9215d01f2c32">false</showorderinccp>
    <Listing_x0020_DateTime xmlns="85512599-8531-48e1-9b90-9215d01f2c32">2020-04-09T06:15:00+00:00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D-ADJHEAR</outcom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25D9-EAEA-4F1E-9D9F-215CDBC5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059FB-CAC5-49F2-9B40-38D6DAE3BBAF}">
  <ds:schemaRefs>
    <ds:schemaRef ds:uri="http://schemas.microsoft.com/office/2006/metadata/properties"/>
    <ds:schemaRef ds:uri="http://schemas.microsoft.com/office/infopath/2007/PartnerControls"/>
    <ds:schemaRef ds:uri="85512599-8531-48e1-9b90-9215d01f2c32"/>
  </ds:schemaRefs>
</ds:datastoreItem>
</file>

<file path=customXml/itemProps3.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4.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5.xml><?xml version="1.0" encoding="utf-8"?>
<ds:datastoreItem xmlns:ds="http://schemas.openxmlformats.org/officeDocument/2006/customXml" ds:itemID="{806F7A42-1FEE-4F83-A635-D19E59F6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Order_JUSTICELEE_DOC42</vt:lpstr>
    </vt:vector>
  </TitlesOfParts>
  <Company>Federal Court of Australia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Order_JUSTICELEE_DOC42</dc:title>
  <dc:creator>Contoso Administrator</dc:creator>
  <cp:lastModifiedBy>Megan Carey</cp:lastModifiedBy>
  <cp:revision>2</cp:revision>
  <cp:lastPrinted>2009-08-20T04:48:00Z</cp:lastPrinted>
  <dcterms:created xsi:type="dcterms:W3CDTF">2020-04-19T23:44:00Z</dcterms:created>
  <dcterms:modified xsi:type="dcterms:W3CDTF">2020-04-19T23:44:00Z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0x0101002660ECA7A2BC9E48BEC14588AF8062EE0047A3DA93C998B6428154E1750CCE8616</vt:lpwstr>
  </property>
  <property fmtid="{D5CDD505-2E9C-101B-9397-08002B2CF9AE}" pid="11" name="isformultiplejudges">
    <vt:bool>false</vt:bool>
  </property>
</Properties>
</file>