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46" w:rsidRDefault="00222E46">
      <w:bookmarkStart w:id="0" w:name="_GoBack"/>
      <w:bookmarkEnd w:id="0"/>
    </w:p>
    <w:p w:rsidR="00222E46" w:rsidRDefault="00222E46" w:rsidP="00222E46"/>
    <w:p w:rsidR="001474F6" w:rsidRDefault="001474F6" w:rsidP="00222E46"/>
    <w:p w:rsidR="00222E46" w:rsidRPr="00222E46" w:rsidRDefault="00222E46" w:rsidP="00222E46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>
        <w:tab/>
      </w:r>
      <w:r w:rsidRPr="00222E46">
        <w:rPr>
          <w:rFonts w:ascii="Arial Narrow" w:hAnsi="Arial Narrow"/>
          <w:b/>
          <w:i/>
          <w:smallCaps/>
          <w:sz w:val="56"/>
          <w:szCs w:val="68"/>
        </w:rPr>
        <w:t xml:space="preserve">Annual Court Reporting Toolkit - </w:t>
      </w:r>
    </w:p>
    <w:p w:rsidR="00222E46" w:rsidRPr="00222E46" w:rsidRDefault="00222E46" w:rsidP="00222E46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 w:rsidRPr="00222E46">
        <w:rPr>
          <w:rFonts w:ascii="Arial Narrow" w:hAnsi="Arial Narrow"/>
          <w:b/>
          <w:i/>
          <w:smallCaps/>
          <w:sz w:val="56"/>
          <w:szCs w:val="68"/>
        </w:rPr>
        <w:t>Additional Documentation</w:t>
      </w: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Pr="001474F6" w:rsidRDefault="001474F6" w:rsidP="001474F6">
      <w:pPr>
        <w:jc w:val="center"/>
        <w:rPr>
          <w:rFonts w:ascii="Arial Narrow" w:hAnsi="Arial Narrow"/>
          <w:sz w:val="23"/>
          <w:szCs w:val="23"/>
        </w:rPr>
      </w:pP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8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222E46" w:rsidRPr="00222E46" w:rsidRDefault="00222E46" w:rsidP="00222E46"/>
    <w:p w:rsidR="00222E46" w:rsidRPr="00222E46" w:rsidRDefault="00222E46" w:rsidP="00222E46"/>
    <w:p w:rsidR="00222E46" w:rsidRPr="00222E46" w:rsidRDefault="00222E46" w:rsidP="00222E46"/>
    <w:p w:rsidR="00222E46" w:rsidRPr="00222E46" w:rsidRDefault="00222E46" w:rsidP="00222E46"/>
    <w:p w:rsidR="00222E46" w:rsidRPr="00222E46" w:rsidRDefault="00222E46" w:rsidP="00222E46"/>
    <w:p w:rsidR="00222E46" w:rsidRDefault="00222E46" w:rsidP="00222E46"/>
    <w:p w:rsidR="00222E46" w:rsidRDefault="00222E46" w:rsidP="00222E46"/>
    <w:p w:rsidR="00222E46" w:rsidRDefault="00222E46" w:rsidP="00222E46"/>
    <w:p w:rsidR="00222E46" w:rsidRDefault="00222E46" w:rsidP="00222E46"/>
    <w:p w:rsidR="00222E46" w:rsidRDefault="00222E46" w:rsidP="00222E46"/>
    <w:p w:rsidR="001474F6" w:rsidRDefault="001474F6" w:rsidP="00222E46"/>
    <w:p w:rsidR="001474F6" w:rsidRDefault="001474F6" w:rsidP="00222E46"/>
    <w:p w:rsidR="00222E46" w:rsidRPr="00222E46" w:rsidRDefault="00222E46" w:rsidP="00222E46"/>
    <w:p w:rsidR="00222E46" w:rsidRPr="00222E46" w:rsidRDefault="00222E46" w:rsidP="00222E46"/>
    <w:p w:rsidR="001474F6" w:rsidRPr="001474F6" w:rsidRDefault="00222E46" w:rsidP="001474F6">
      <w:pPr>
        <w:rPr>
          <w:rFonts w:ascii="Arial Narrow" w:hAnsi="Arial Narrow"/>
          <w:sz w:val="23"/>
          <w:szCs w:val="23"/>
        </w:rPr>
      </w:pP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Toolkits are evolving and changes may be made in future versions. For the latest version of </w:t>
      </w: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this Additional Documentation please </w:t>
      </w: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refer to the website – </w:t>
      </w:r>
      <w:r w:rsidR="001474F6"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9" w:history="1">
        <w:r w:rsidR="001474F6" w:rsidRPr="001474F6">
          <w:rPr>
            <w:rStyle w:val="Hyperlink"/>
            <w:szCs w:val="23"/>
          </w:rPr>
          <w:t>http://www.fedcourt.gov.au/pjdp/pjdp-toolkits</w:t>
        </w:r>
      </w:hyperlink>
      <w:r w:rsidR="001474F6" w:rsidRPr="001474F6">
        <w:rPr>
          <w:rFonts w:ascii="Arial Narrow" w:hAnsi="Arial Narrow"/>
          <w:sz w:val="23"/>
          <w:szCs w:val="23"/>
        </w:rPr>
        <w:t xml:space="preserve"> </w:t>
      </w:r>
    </w:p>
    <w:p w:rsidR="00222E46" w:rsidRPr="001474F6" w:rsidRDefault="00222E46" w:rsidP="001474F6">
      <w:pPr>
        <w:spacing w:after="0" w:line="240" w:lineRule="auto"/>
        <w:rPr>
          <w:rFonts w:ascii="Arial Narrow" w:eastAsia="MS ??" w:hAnsi="Arial Narrow" w:cs="Times New Roman"/>
          <w:sz w:val="23"/>
          <w:szCs w:val="23"/>
          <w:lang w:eastAsia="en-AU"/>
        </w:rPr>
      </w:pPr>
    </w:p>
    <w:p w:rsidR="00222E46" w:rsidRPr="001474F6" w:rsidRDefault="00222E46" w:rsidP="001474F6">
      <w:pPr>
        <w:spacing w:after="0" w:line="240" w:lineRule="auto"/>
        <w:rPr>
          <w:rFonts w:ascii="Arial Narrow" w:hAnsi="Arial Narrow"/>
          <w:sz w:val="23"/>
          <w:szCs w:val="23"/>
        </w:rPr>
        <w:sectPr w:rsidR="00222E46" w:rsidRPr="001474F6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Note: While every effort has been made to produce informative and educative tools, the applicability of these may vary depending on co</w:t>
      </w:r>
      <w:r w:rsid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untry and regional circumstance.</w:t>
      </w:r>
    </w:p>
    <w:p w:rsidR="00222E46" w:rsidRDefault="00222E46">
      <w:pPr>
        <w:sectPr w:rsidR="00222E46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452A2" w:rsidRPr="00CE2F8E" w:rsidRDefault="00A452A2" w:rsidP="00A452A2">
      <w:pPr>
        <w:pStyle w:val="Heading1"/>
        <w:spacing w:before="0" w:after="0"/>
        <w:rPr>
          <w:szCs w:val="26"/>
        </w:rPr>
      </w:pPr>
      <w:bookmarkStart w:id="1" w:name="_Toc399944802"/>
      <w:r w:rsidRPr="00CE2F8E">
        <w:rPr>
          <w:szCs w:val="26"/>
        </w:rPr>
        <w:lastRenderedPageBreak/>
        <w:t xml:space="preserve">Annex </w:t>
      </w:r>
      <w:r w:rsidR="00046DC6">
        <w:rPr>
          <w:szCs w:val="26"/>
        </w:rPr>
        <w:t>17</w:t>
      </w:r>
      <w:r w:rsidRPr="00CE2F8E">
        <w:rPr>
          <w:szCs w:val="26"/>
        </w:rPr>
        <w:t xml:space="preserve">: </w:t>
      </w:r>
      <w:bookmarkEnd w:id="1"/>
      <w:r w:rsidR="00046DC6">
        <w:rPr>
          <w:szCs w:val="26"/>
        </w:rPr>
        <w:t>Taking steps to make a court more accessible for people living with a disability</w:t>
      </w:r>
      <w:r w:rsidRPr="00CE2F8E">
        <w:rPr>
          <w:szCs w:val="26"/>
        </w:rPr>
        <w:t xml:space="preserve"> </w:t>
      </w:r>
    </w:p>
    <w:p w:rsidR="00545917" w:rsidRPr="00545917" w:rsidRDefault="00545917" w:rsidP="00545917">
      <w:pPr>
        <w:spacing w:after="0" w:line="240" w:lineRule="auto"/>
        <w:rPr>
          <w:rFonts w:ascii="Arial Narrow" w:eastAsia="MS ??" w:hAnsi="Arial Narrow" w:cs="Times New Roman"/>
          <w:b/>
          <w:sz w:val="23"/>
          <w:szCs w:val="24"/>
          <w:lang w:eastAsia="en-AU"/>
        </w:rPr>
      </w:pPr>
    </w:p>
    <w:p w:rsidR="00046DC6" w:rsidRDefault="00046DC6" w:rsidP="00046DC6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Optima"/>
          <w:b/>
        </w:rPr>
      </w:pPr>
      <w:r w:rsidRPr="006C0526">
        <w:rPr>
          <w:rFonts w:ascii="Helvetica Neue" w:hAnsi="Helvetica Neue" w:cs="Optima"/>
          <w:b/>
        </w:rPr>
        <w:t xml:space="preserve">Taking steps to make a court more accessible for people living with a disability makes courts more accessible for everyone. </w:t>
      </w:r>
    </w:p>
    <w:p w:rsidR="00046DC6" w:rsidRDefault="00046DC6" w:rsidP="00046DC6">
      <w:pPr>
        <w:rPr>
          <w:rFonts w:ascii="Helvetica Neue Light" w:hAnsi="Helvetica Neue Light" w:cs="Optima"/>
        </w:rPr>
      </w:pPr>
      <w:r>
        <w:rPr>
          <w:rFonts w:ascii="Helvetica Neue" w:hAnsi="Helvetica Neue" w:cs="Optima"/>
          <w:b/>
        </w:rPr>
        <w:t xml:space="preserve">Who should consider these issues from a policy perspective? </w:t>
      </w:r>
      <w:r w:rsidRPr="00C63681">
        <w:rPr>
          <w:rFonts w:ascii="Helvetica Neue Light" w:hAnsi="Helvetica Neue Light" w:cs="Optima"/>
        </w:rPr>
        <w:t>Chief Court Administrator, Chief Registrar, Chief Justice and judges of the courts</w:t>
      </w:r>
    </w:p>
    <w:p w:rsidR="00046DC6" w:rsidRDefault="00046DC6" w:rsidP="00046DC6">
      <w:pPr>
        <w:rPr>
          <w:rFonts w:ascii="Helvetica Neue Light" w:hAnsi="Helvetica Neue Light" w:cs="Optima"/>
        </w:rPr>
      </w:pPr>
    </w:p>
    <w:p w:rsidR="00046DC6" w:rsidRPr="00C63681" w:rsidRDefault="00046DC6" w:rsidP="00046DC6">
      <w:pPr>
        <w:rPr>
          <w:rFonts w:ascii="Helvetica Neue Light" w:hAnsi="Helvetica Neue Light" w:cs="Optima"/>
        </w:rPr>
      </w:pPr>
      <w:r>
        <w:rPr>
          <w:rFonts w:ascii="Helvetica Neue Light" w:hAnsi="Helvetica Neue Light" w:cs="Optima"/>
        </w:rPr>
        <w:t xml:space="preserve">Take the time to consider the five points below and draw up a protocol for your court on how to make courts more accessible for people living with a disability.  </w:t>
      </w:r>
    </w:p>
    <w:p w:rsidR="00046DC6" w:rsidRDefault="00046DC6" w:rsidP="00046DC6">
      <w:pPr>
        <w:rPr>
          <w:rFonts w:ascii="Helvetica Neue" w:hAnsi="Helvetica Neue" w:cs="Optima"/>
          <w:b/>
        </w:rPr>
      </w:pPr>
    </w:p>
    <w:p w:rsidR="00046DC6" w:rsidRPr="005C00A6" w:rsidRDefault="00046DC6" w:rsidP="00046DC6">
      <w:pPr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When</w:t>
      </w:r>
      <w:r>
        <w:rPr>
          <w:rFonts w:ascii="Helvetica Neue Light" w:hAnsi="Helvetica Neue Light" w:cs="Optima"/>
        </w:rPr>
        <w:t xml:space="preserve"> a client files a case at court, </w:t>
      </w:r>
      <w:r w:rsidRPr="005C00A6">
        <w:rPr>
          <w:rFonts w:ascii="Helvetica Neue Light" w:hAnsi="Helvetica Neue Light" w:cs="Optima"/>
        </w:rPr>
        <w:t xml:space="preserve">court staff members </w:t>
      </w:r>
      <w:r>
        <w:rPr>
          <w:rFonts w:ascii="Helvetica Neue Light" w:hAnsi="Helvetica Neue Light" w:cs="Optima"/>
        </w:rPr>
        <w:t xml:space="preserve">should </w:t>
      </w:r>
      <w:r w:rsidRPr="005C00A6">
        <w:rPr>
          <w:rFonts w:ascii="Helvetica Neue Light" w:hAnsi="Helvetica Neue Light" w:cs="Optima"/>
        </w:rPr>
        <w:t>ask whether they will need any assistance</w:t>
      </w:r>
      <w:r>
        <w:rPr>
          <w:rFonts w:ascii="Helvetica Neue Light" w:hAnsi="Helvetica Neue Light" w:cs="Optima"/>
        </w:rPr>
        <w:t xml:space="preserve"> to do any of the </w:t>
      </w:r>
      <w:proofErr w:type="gramStart"/>
      <w:r>
        <w:rPr>
          <w:rFonts w:ascii="Helvetica Neue Light" w:hAnsi="Helvetica Neue Light" w:cs="Optima"/>
        </w:rPr>
        <w:t>following?</w:t>
      </w:r>
      <w:proofErr w:type="gramEnd"/>
    </w:p>
    <w:p w:rsidR="00046DC6" w:rsidRPr="005C00A6" w:rsidRDefault="00046DC6" w:rsidP="00046DC6">
      <w:pPr>
        <w:rPr>
          <w:rFonts w:ascii="Helvetica Neue Light" w:hAnsi="Helvetica Neue Light" w:cs="Optima"/>
        </w:rPr>
      </w:pPr>
    </w:p>
    <w:p w:rsidR="00046DC6" w:rsidRPr="00210B44" w:rsidRDefault="00046DC6" w:rsidP="00046DC6">
      <w:pPr>
        <w:pStyle w:val="ListParagraph"/>
        <w:numPr>
          <w:ilvl w:val="0"/>
          <w:numId w:val="15"/>
        </w:numPr>
        <w:contextualSpacing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T</w:t>
      </w:r>
      <w:r w:rsidRPr="00210B44">
        <w:rPr>
          <w:rFonts w:ascii="Helvetica Neue" w:hAnsi="Helvetica Neue"/>
          <w:b/>
        </w:rPr>
        <w:t xml:space="preserve">o locate, enter and navigate court proceedings within the court-room. </w:t>
      </w:r>
    </w:p>
    <w:p w:rsidR="00046DC6" w:rsidRPr="005C00A6" w:rsidRDefault="00046DC6" w:rsidP="00046DC6">
      <w:pPr>
        <w:rPr>
          <w:rFonts w:ascii="Helvetica Neue" w:hAnsi="Helvetica Neue"/>
          <w:b/>
        </w:rPr>
      </w:pPr>
    </w:p>
    <w:p w:rsidR="00046DC6" w:rsidRPr="005C00A6" w:rsidRDefault="00046DC6" w:rsidP="00046DC6">
      <w:pPr>
        <w:ind w:left="720"/>
        <w:rPr>
          <w:rFonts w:ascii="Helvetica Neue" w:hAnsi="Helvetica Neue"/>
          <w:b/>
        </w:rPr>
      </w:pPr>
      <w:r w:rsidRPr="005C00A6">
        <w:rPr>
          <w:rFonts w:ascii="Helvetica Neue" w:hAnsi="Helvetica Neue"/>
          <w:b/>
        </w:rPr>
        <w:t>Issues for court staff members to cons</w:t>
      </w:r>
      <w:r>
        <w:rPr>
          <w:rFonts w:ascii="Helvetica Neue" w:hAnsi="Helvetica Neue"/>
          <w:b/>
        </w:rPr>
        <w:t xml:space="preserve">ider where a court client has a </w:t>
      </w:r>
      <w:r w:rsidRPr="005C00A6">
        <w:rPr>
          <w:rFonts w:ascii="Helvetica Neue" w:hAnsi="Helvetica Neue"/>
          <w:b/>
        </w:rPr>
        <w:t xml:space="preserve">mobility impairment: </w:t>
      </w:r>
    </w:p>
    <w:p w:rsidR="00046DC6" w:rsidRDefault="00046DC6" w:rsidP="00046DC6">
      <w:pPr>
        <w:pStyle w:val="ListParagraph"/>
        <w:numPr>
          <w:ilvl w:val="1"/>
          <w:numId w:val="11"/>
        </w:numPr>
        <w:contextualSpacing/>
        <w:rPr>
          <w:rFonts w:ascii="Helvetica Neue Light" w:hAnsi="Helvetica Neue Light" w:cs="Optima"/>
        </w:rPr>
      </w:pPr>
      <w:proofErr w:type="gramStart"/>
      <w:r w:rsidRPr="005C00A6">
        <w:rPr>
          <w:rFonts w:ascii="Helvetica Neue Light" w:hAnsi="Helvetica Neue Light" w:cs="Optima"/>
        </w:rPr>
        <w:t>is</w:t>
      </w:r>
      <w:proofErr w:type="gramEnd"/>
      <w:r w:rsidRPr="005C00A6">
        <w:rPr>
          <w:rFonts w:ascii="Helvetica Neue Light" w:hAnsi="Helvetica Neue Light" w:cs="Optima"/>
        </w:rPr>
        <w:t xml:space="preserve"> the court room on the ground floor or, if not, is it accessible by a lift? </w:t>
      </w:r>
    </w:p>
    <w:p w:rsidR="00046DC6" w:rsidRPr="005C00A6" w:rsidRDefault="00046DC6" w:rsidP="00046DC6">
      <w:pPr>
        <w:pStyle w:val="ListParagraph"/>
        <w:numPr>
          <w:ilvl w:val="1"/>
          <w:numId w:val="11"/>
        </w:numPr>
        <w:contextualSpacing/>
        <w:rPr>
          <w:rFonts w:ascii="Helvetica Neue Light" w:hAnsi="Helvetica Neue Light" w:cs="Optima"/>
        </w:rPr>
      </w:pPr>
      <w:r>
        <w:rPr>
          <w:rFonts w:ascii="Helvetica Neue Light" w:hAnsi="Helvetica Neue Light" w:cs="Optima"/>
        </w:rPr>
        <w:t>If the courtroom is not accessible for people with a mobility impairment has the court identified another room that they will use for hearings in these cases?</w:t>
      </w:r>
    </w:p>
    <w:p w:rsidR="00046DC6" w:rsidRPr="005C00A6" w:rsidRDefault="00046DC6" w:rsidP="00046DC6">
      <w:pPr>
        <w:pStyle w:val="ListParagraph"/>
        <w:numPr>
          <w:ilvl w:val="1"/>
          <w:numId w:val="11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If the courtroom is on</w:t>
      </w:r>
      <w:r>
        <w:rPr>
          <w:rFonts w:ascii="Helvetica Neue Light" w:hAnsi="Helvetica Neue Light" w:cs="Optima"/>
        </w:rPr>
        <w:t xml:space="preserve"> the ground floor,</w:t>
      </w:r>
      <w:r w:rsidRPr="005C00A6">
        <w:rPr>
          <w:rFonts w:ascii="Helvetica Neue Light" w:hAnsi="Helvetica Neue Light" w:cs="Optima"/>
        </w:rPr>
        <w:t xml:space="preserve"> is the courtroom access stair-free or are there ramps for any steps? </w:t>
      </w:r>
    </w:p>
    <w:p w:rsidR="00046DC6" w:rsidRPr="005C00A6" w:rsidRDefault="00046DC6" w:rsidP="00046DC6">
      <w:pPr>
        <w:pStyle w:val="ListParagraph"/>
        <w:numPr>
          <w:ilvl w:val="1"/>
          <w:numId w:val="11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Can the doo</w:t>
      </w:r>
      <w:r>
        <w:rPr>
          <w:rFonts w:ascii="Helvetica Neue Light" w:hAnsi="Helvetica Neue Light" w:cs="Optima"/>
        </w:rPr>
        <w:t>r width accommodate wheelchairs?</w:t>
      </w:r>
      <w:r w:rsidRPr="005C00A6">
        <w:rPr>
          <w:rFonts w:ascii="Helvetica Neue Light" w:hAnsi="Helvetica Neue Light" w:cs="Optima"/>
        </w:rPr>
        <w:t xml:space="preserve"> </w:t>
      </w:r>
    </w:p>
    <w:p w:rsidR="00046DC6" w:rsidRPr="005C00A6" w:rsidRDefault="00046DC6" w:rsidP="00046DC6">
      <w:pPr>
        <w:pStyle w:val="ListParagraph"/>
        <w:numPr>
          <w:ilvl w:val="1"/>
          <w:numId w:val="11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 xml:space="preserve">Where can a party who uses a wheelchair sit in the courtroom or when they are </w:t>
      </w:r>
      <w:r>
        <w:rPr>
          <w:rFonts w:ascii="Helvetica Neue Light" w:hAnsi="Helvetica Neue Light" w:cs="Optima"/>
        </w:rPr>
        <w:t>giv</w:t>
      </w:r>
      <w:r w:rsidRPr="005C00A6">
        <w:rPr>
          <w:rFonts w:ascii="Helvetica Neue Light" w:hAnsi="Helvetica Neue Light" w:cs="Optima"/>
        </w:rPr>
        <w:t>ing evidence/ being examined/ cross-examined?</w:t>
      </w:r>
    </w:p>
    <w:p w:rsidR="00046DC6" w:rsidRPr="005C00A6" w:rsidRDefault="00046DC6" w:rsidP="00046DC6">
      <w:pPr>
        <w:pStyle w:val="ListParagraph"/>
        <w:numPr>
          <w:ilvl w:val="1"/>
          <w:numId w:val="11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Is there enough space for wheelchair users to move around the courtroom?</w:t>
      </w:r>
    </w:p>
    <w:p w:rsidR="00046DC6" w:rsidRPr="005C00A6" w:rsidRDefault="00046DC6" w:rsidP="00046DC6">
      <w:pPr>
        <w:pStyle w:val="ListParagraph"/>
        <w:numPr>
          <w:ilvl w:val="1"/>
          <w:numId w:val="11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Are court hallways wide and clear of furniture or debris?</w:t>
      </w:r>
    </w:p>
    <w:p w:rsidR="00046DC6" w:rsidRPr="005C00A6" w:rsidRDefault="00046DC6" w:rsidP="00046DC6">
      <w:pPr>
        <w:pStyle w:val="ListParagraph"/>
        <w:numPr>
          <w:ilvl w:val="1"/>
          <w:numId w:val="11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 xml:space="preserve">Is there a wheelchair accessible toilet available? </w:t>
      </w:r>
    </w:p>
    <w:p w:rsidR="00046DC6" w:rsidRPr="005C00A6" w:rsidRDefault="00046DC6" w:rsidP="00046DC6">
      <w:pPr>
        <w:pStyle w:val="ListParagraph"/>
        <w:ind w:left="1440"/>
        <w:rPr>
          <w:rFonts w:ascii="Helvetica Neue Light" w:hAnsi="Helvetica Neue Light" w:cs="Optima"/>
        </w:rPr>
      </w:pPr>
    </w:p>
    <w:p w:rsidR="00046DC6" w:rsidRPr="005C00A6" w:rsidRDefault="00046DC6" w:rsidP="00046DC6">
      <w:pPr>
        <w:ind w:left="720"/>
        <w:rPr>
          <w:rFonts w:ascii="Helvetica Neue" w:hAnsi="Helvetica Neue" w:cs="Optima"/>
          <w:b/>
        </w:rPr>
      </w:pPr>
      <w:r w:rsidRPr="005C00A6">
        <w:rPr>
          <w:rFonts w:ascii="Helvetica Neue" w:hAnsi="Helvetica Neue" w:cs="Optima"/>
          <w:b/>
        </w:rPr>
        <w:t>Issues for court staff members to consider where a court client has a visual impairment:</w:t>
      </w:r>
    </w:p>
    <w:p w:rsidR="00046DC6" w:rsidRPr="005C00A6" w:rsidRDefault="00046DC6" w:rsidP="00046DC6">
      <w:pPr>
        <w:pStyle w:val="ListParagraph"/>
        <w:numPr>
          <w:ilvl w:val="0"/>
          <w:numId w:val="12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Do all court staff know that a guide dog may enter the courtroom?</w:t>
      </w:r>
    </w:p>
    <w:p w:rsidR="00046DC6" w:rsidRPr="005C00A6" w:rsidRDefault="00046DC6" w:rsidP="00046DC6">
      <w:pPr>
        <w:pStyle w:val="ListParagraph"/>
        <w:numPr>
          <w:ilvl w:val="0"/>
          <w:numId w:val="12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 xml:space="preserve">Will court staff assist with directions and/or or walk with the client to the courtroom? </w:t>
      </w:r>
    </w:p>
    <w:p w:rsidR="00046DC6" w:rsidRPr="005C00A6" w:rsidRDefault="00046DC6" w:rsidP="00046DC6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Do elevators have braille buttons or a sound system to announce the floors?</w:t>
      </w:r>
    </w:p>
    <w:p w:rsidR="00046DC6" w:rsidRPr="005C00A6" w:rsidRDefault="00046DC6" w:rsidP="00046DC6">
      <w:pPr>
        <w:pStyle w:val="ListParagraph"/>
        <w:ind w:left="1800"/>
        <w:rPr>
          <w:rFonts w:ascii="Helvetica Neue Light" w:hAnsi="Helvetica Neue Light" w:cs="Optima"/>
        </w:rPr>
      </w:pPr>
    </w:p>
    <w:p w:rsidR="00046DC6" w:rsidRPr="005C00A6" w:rsidRDefault="00046DC6" w:rsidP="00046DC6">
      <w:pPr>
        <w:pStyle w:val="ListParagraph"/>
        <w:rPr>
          <w:rFonts w:ascii="Helvetica Neue" w:hAnsi="Helvetica Neue" w:cs="Optima"/>
        </w:rPr>
      </w:pPr>
      <w:r w:rsidRPr="005C00A6">
        <w:rPr>
          <w:rFonts w:ascii="Helvetica Neue" w:hAnsi="Helvetica Neue" w:cs="Optima"/>
        </w:rPr>
        <w:t>Issues for court staff members to consider for all court users:</w:t>
      </w:r>
    </w:p>
    <w:p w:rsidR="00046DC6" w:rsidRPr="005C00A6" w:rsidRDefault="00046DC6" w:rsidP="00046DC6">
      <w:pPr>
        <w:pStyle w:val="ListParagraph"/>
        <w:rPr>
          <w:rFonts w:ascii="Helvetica Neue Light" w:hAnsi="Helvetica Neue Light" w:cs="Optima"/>
        </w:rPr>
      </w:pPr>
    </w:p>
    <w:p w:rsidR="00046DC6" w:rsidRPr="005C00A6" w:rsidRDefault="00046DC6" w:rsidP="00046DC6">
      <w:pPr>
        <w:pStyle w:val="ListParagraph"/>
        <w:numPr>
          <w:ilvl w:val="0"/>
          <w:numId w:val="13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Is courtroom signage clear?</w:t>
      </w:r>
    </w:p>
    <w:p w:rsidR="00046DC6" w:rsidRPr="005C00A6" w:rsidRDefault="00046DC6" w:rsidP="00046DC6">
      <w:pPr>
        <w:pStyle w:val="ListParagraph"/>
        <w:ind w:left="1440"/>
        <w:rPr>
          <w:rFonts w:ascii="Helvetica Neue Light" w:hAnsi="Helvetica Neue Light" w:cs="Optima"/>
        </w:rPr>
      </w:pPr>
    </w:p>
    <w:p w:rsidR="00046DC6" w:rsidRDefault="00046DC6" w:rsidP="00046DC6">
      <w:pPr>
        <w:pStyle w:val="ListParagraph"/>
        <w:numPr>
          <w:ilvl w:val="0"/>
          <w:numId w:val="11"/>
        </w:numPr>
        <w:contextualSpacing/>
        <w:rPr>
          <w:rFonts w:ascii="Helvetica Neue" w:hAnsi="Helvetica Neue" w:cs="Optima"/>
          <w:b/>
        </w:rPr>
      </w:pPr>
      <w:r w:rsidRPr="005C00A6">
        <w:rPr>
          <w:rFonts w:ascii="Helvetica Neue" w:hAnsi="Helvetica Neue" w:cs="Optima"/>
          <w:b/>
        </w:rPr>
        <w:t xml:space="preserve">to read a document </w:t>
      </w:r>
    </w:p>
    <w:p w:rsidR="00046DC6" w:rsidRPr="005C00A6" w:rsidRDefault="00046DC6" w:rsidP="00046DC6">
      <w:pPr>
        <w:pStyle w:val="ListParagraph"/>
        <w:rPr>
          <w:rFonts w:ascii="Helvetica Neue" w:hAnsi="Helvetica Neue" w:cs="Optima"/>
          <w:b/>
        </w:rPr>
      </w:pPr>
    </w:p>
    <w:p w:rsidR="00046DC6" w:rsidRPr="005C00A6" w:rsidRDefault="00046DC6" w:rsidP="00046DC6">
      <w:pPr>
        <w:ind w:left="720"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Issues for court staff members to consider where a court client has a visual impairment:</w:t>
      </w:r>
    </w:p>
    <w:p w:rsidR="00046DC6" w:rsidRPr="005C00A6" w:rsidRDefault="00046DC6" w:rsidP="00046DC6">
      <w:pPr>
        <w:pStyle w:val="ListParagraph"/>
        <w:numPr>
          <w:ilvl w:val="0"/>
          <w:numId w:val="13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 xml:space="preserve">Can the document be emailed to the client as one that </w:t>
      </w:r>
      <w:r>
        <w:rPr>
          <w:rFonts w:ascii="Helvetica Neue Light" w:hAnsi="Helvetica Neue Light" w:cs="Optima"/>
        </w:rPr>
        <w:t xml:space="preserve">can be “read” by someone with a computer that uses </w:t>
      </w:r>
      <w:r w:rsidRPr="005C00A6">
        <w:rPr>
          <w:rFonts w:ascii="Helvetica Neue Light" w:hAnsi="Helvetica Neue Light" w:cs="Optima"/>
        </w:rPr>
        <w:t xml:space="preserve">visual impairment appropriate software? </w:t>
      </w:r>
    </w:p>
    <w:p w:rsidR="00046DC6" w:rsidRPr="005C00A6" w:rsidRDefault="00046DC6" w:rsidP="00046DC6">
      <w:pPr>
        <w:rPr>
          <w:rFonts w:ascii="Helvetica Neue Light" w:hAnsi="Helvetica Neue Light" w:cs="Optima"/>
        </w:rPr>
      </w:pPr>
    </w:p>
    <w:p w:rsidR="00046DC6" w:rsidRPr="005C00A6" w:rsidRDefault="00046DC6" w:rsidP="00046DC6">
      <w:pPr>
        <w:pStyle w:val="ListParagraph"/>
        <w:numPr>
          <w:ilvl w:val="0"/>
          <w:numId w:val="11"/>
        </w:numPr>
        <w:contextualSpacing/>
        <w:rPr>
          <w:rFonts w:ascii="Helvetica Neue" w:hAnsi="Helvetica Neue" w:cs="Optima"/>
          <w:b/>
        </w:rPr>
      </w:pPr>
      <w:r w:rsidRPr="005C00A6">
        <w:rPr>
          <w:rFonts w:ascii="Helvetica Neue" w:hAnsi="Helvetica Neue" w:cs="Optima"/>
          <w:b/>
        </w:rPr>
        <w:t xml:space="preserve">to hear what is being said in court </w:t>
      </w:r>
    </w:p>
    <w:p w:rsidR="00046DC6" w:rsidRDefault="00046DC6" w:rsidP="00046DC6">
      <w:pPr>
        <w:pStyle w:val="ListParagraph"/>
        <w:rPr>
          <w:rFonts w:ascii="Helvetica Neue Light" w:hAnsi="Helvetica Neue Light" w:cs="Optima"/>
        </w:rPr>
      </w:pPr>
    </w:p>
    <w:p w:rsidR="00046DC6" w:rsidRPr="005C00A6" w:rsidRDefault="00046DC6" w:rsidP="00046DC6">
      <w:pPr>
        <w:pStyle w:val="ListParagraph"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 xml:space="preserve">Issues for court staff members to consider where a court client has a hearing impairment: </w:t>
      </w:r>
    </w:p>
    <w:p w:rsidR="00046DC6" w:rsidRPr="005C00A6" w:rsidRDefault="00046DC6" w:rsidP="00046DC6">
      <w:pPr>
        <w:pStyle w:val="ListParagraph"/>
        <w:numPr>
          <w:ilvl w:val="0"/>
          <w:numId w:val="13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 xml:space="preserve">Sign interpreter, hearing loop in court </w:t>
      </w:r>
    </w:p>
    <w:p w:rsidR="00046DC6" w:rsidRPr="005C00A6" w:rsidRDefault="00046DC6" w:rsidP="00046DC6">
      <w:pPr>
        <w:pStyle w:val="ListParagraph"/>
        <w:numPr>
          <w:ilvl w:val="0"/>
          <w:numId w:val="13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 Light" w:hAnsi="Helvetica Neue Light" w:cs="Optima"/>
        </w:rPr>
        <w:t>Answer any questions on what will happen on the day through a TTY phone or some other service.</w:t>
      </w:r>
    </w:p>
    <w:p w:rsidR="00046DC6" w:rsidRPr="005C00A6" w:rsidRDefault="00046DC6" w:rsidP="00046DC6">
      <w:pPr>
        <w:rPr>
          <w:rFonts w:ascii="Helvetica Neue Light" w:hAnsi="Helvetica Neue Light" w:cs="Optima"/>
        </w:rPr>
      </w:pPr>
    </w:p>
    <w:p w:rsidR="00046DC6" w:rsidRDefault="00046DC6" w:rsidP="00046DC6">
      <w:pPr>
        <w:pStyle w:val="ListParagraph"/>
        <w:numPr>
          <w:ilvl w:val="0"/>
          <w:numId w:val="11"/>
        </w:numPr>
        <w:contextualSpacing/>
        <w:rPr>
          <w:rFonts w:ascii="Helvetica Neue Light" w:hAnsi="Helvetica Neue Light" w:cs="Optima"/>
        </w:rPr>
      </w:pPr>
      <w:r w:rsidRPr="005C00A6">
        <w:rPr>
          <w:rFonts w:ascii="Helvetica Neue" w:hAnsi="Helvetica Neue" w:cs="Optima"/>
          <w:b/>
        </w:rPr>
        <w:t xml:space="preserve">to understand what </w:t>
      </w:r>
      <w:r>
        <w:rPr>
          <w:rFonts w:ascii="Helvetica Neue" w:hAnsi="Helvetica Neue" w:cs="Optima"/>
          <w:b/>
        </w:rPr>
        <w:t xml:space="preserve">is happening in the </w:t>
      </w:r>
      <w:r w:rsidRPr="005C00A6">
        <w:rPr>
          <w:rFonts w:ascii="Helvetica Neue" w:hAnsi="Helvetica Neue" w:cs="Optima"/>
          <w:b/>
        </w:rPr>
        <w:t xml:space="preserve">court </w:t>
      </w:r>
      <w:r>
        <w:rPr>
          <w:rFonts w:ascii="Helvetica Neue" w:hAnsi="Helvetica Neue" w:cs="Optima"/>
          <w:b/>
        </w:rPr>
        <w:t xml:space="preserve">hearing as well as what preparation may be required </w:t>
      </w:r>
      <w:r w:rsidRPr="005C00A6">
        <w:rPr>
          <w:rFonts w:ascii="Helvetica Neue" w:hAnsi="Helvetica Neue" w:cs="Optima"/>
          <w:b/>
        </w:rPr>
        <w:t>before the hearing day</w:t>
      </w:r>
      <w:r w:rsidRPr="005C00A6">
        <w:rPr>
          <w:rFonts w:ascii="Helvetica Neue Light" w:hAnsi="Helvetica Neue Light" w:cs="Optima"/>
        </w:rPr>
        <w:t xml:space="preserve"> </w:t>
      </w:r>
    </w:p>
    <w:p w:rsidR="00046DC6" w:rsidRDefault="00046DC6" w:rsidP="00046DC6">
      <w:pPr>
        <w:pStyle w:val="ListParagraph"/>
        <w:rPr>
          <w:rFonts w:ascii="Helvetica Neue Light" w:hAnsi="Helvetica Neue Light" w:cs="Optima"/>
        </w:rPr>
      </w:pPr>
    </w:p>
    <w:p w:rsidR="00046DC6" w:rsidRPr="0016263F" w:rsidRDefault="00046DC6" w:rsidP="00046DC6">
      <w:pPr>
        <w:pStyle w:val="ListParagraph"/>
        <w:rPr>
          <w:rFonts w:ascii="Helvetica Neue Light" w:hAnsi="Helvetica Neue Light" w:cs="Optima"/>
        </w:rPr>
      </w:pPr>
      <w:r w:rsidRPr="0016263F">
        <w:rPr>
          <w:rFonts w:ascii="Helvetica Neue Light" w:hAnsi="Helvetica Neue Light" w:cs="Optima"/>
        </w:rPr>
        <w:t>Issues for court staff members to consider where a court client has a</w:t>
      </w:r>
      <w:r>
        <w:rPr>
          <w:rFonts w:ascii="Helvetica Neue Light" w:hAnsi="Helvetica Neue Light" w:cs="Optima"/>
        </w:rPr>
        <w:t>n</w:t>
      </w:r>
      <w:r w:rsidRPr="0016263F">
        <w:rPr>
          <w:rFonts w:ascii="Helvetica Neue Light" w:hAnsi="Helvetica Neue Light" w:cs="Optima"/>
        </w:rPr>
        <w:t xml:space="preserve"> </w:t>
      </w:r>
      <w:r w:rsidRPr="005C00A6">
        <w:rPr>
          <w:rFonts w:ascii="Helvetica Neue Light" w:hAnsi="Helvetica Neue Light" w:cs="Optima"/>
        </w:rPr>
        <w:t>intellectual</w:t>
      </w:r>
      <w:r w:rsidRPr="0016263F">
        <w:rPr>
          <w:rFonts w:ascii="Helvetica Neue Light" w:hAnsi="Helvetica Neue Light" w:cs="Optima"/>
        </w:rPr>
        <w:t xml:space="preserve"> impairment:</w:t>
      </w:r>
    </w:p>
    <w:p w:rsidR="00046DC6" w:rsidRDefault="00046DC6" w:rsidP="00046DC6">
      <w:pPr>
        <w:pStyle w:val="ListParagraph"/>
        <w:rPr>
          <w:rFonts w:ascii="Helvetica Neue Light" w:hAnsi="Helvetica Neue Light" w:cs="Optima"/>
        </w:rPr>
      </w:pPr>
    </w:p>
    <w:p w:rsidR="00046DC6" w:rsidRDefault="00046DC6" w:rsidP="00046DC6">
      <w:pPr>
        <w:pStyle w:val="ListParagraph"/>
        <w:numPr>
          <w:ilvl w:val="0"/>
          <w:numId w:val="14"/>
        </w:numPr>
        <w:contextualSpacing/>
        <w:rPr>
          <w:rFonts w:ascii="Helvetica Neue Light" w:hAnsi="Helvetica Neue Light" w:cs="Optima"/>
        </w:rPr>
      </w:pPr>
      <w:r>
        <w:rPr>
          <w:rFonts w:ascii="Helvetica Neue Light" w:hAnsi="Helvetica Neue Light" w:cs="Optima"/>
        </w:rPr>
        <w:lastRenderedPageBreak/>
        <w:t>What steps need to be taken to ensure that a court client</w:t>
      </w:r>
      <w:r w:rsidRPr="005C00A6">
        <w:rPr>
          <w:rFonts w:ascii="Helvetica Neue Light" w:hAnsi="Helvetica Neue Light" w:cs="Optima"/>
        </w:rPr>
        <w:t xml:space="preserve"> with an intellectual impairment</w:t>
      </w:r>
      <w:r>
        <w:rPr>
          <w:rFonts w:ascii="Helvetica Neue Light" w:hAnsi="Helvetica Neue Light" w:cs="Optima"/>
        </w:rPr>
        <w:t xml:space="preserve"> will be assisted to understand the </w:t>
      </w:r>
      <w:proofErr w:type="gramStart"/>
      <w:r>
        <w:rPr>
          <w:rFonts w:ascii="Helvetica Neue Light" w:hAnsi="Helvetica Neue Light" w:cs="Optima"/>
        </w:rPr>
        <w:t>proceedings</w:t>
      </w:r>
      <w:r w:rsidRPr="005C00A6">
        <w:rPr>
          <w:rFonts w:ascii="Helvetica Neue Light" w:hAnsi="Helvetica Neue Light" w:cs="Optima"/>
        </w:rPr>
        <w:t>.</w:t>
      </w:r>
      <w:proofErr w:type="gramEnd"/>
    </w:p>
    <w:p w:rsidR="00046DC6" w:rsidRPr="005C00A6" w:rsidRDefault="00046DC6" w:rsidP="00046DC6">
      <w:pPr>
        <w:pStyle w:val="ListParagraph"/>
        <w:ind w:left="1800"/>
        <w:rPr>
          <w:rFonts w:ascii="Helvetica Neue Light" w:hAnsi="Helvetica Neue Light" w:cs="Optima"/>
        </w:rPr>
      </w:pPr>
    </w:p>
    <w:p w:rsidR="00046DC6" w:rsidRPr="0016263F" w:rsidRDefault="00046DC6" w:rsidP="00046DC6">
      <w:pPr>
        <w:pStyle w:val="ListParagraph"/>
        <w:numPr>
          <w:ilvl w:val="0"/>
          <w:numId w:val="11"/>
        </w:numPr>
        <w:contextualSpacing/>
        <w:rPr>
          <w:rFonts w:ascii="Helvetica Neue" w:hAnsi="Helvetica Neue" w:cs="Optima"/>
          <w:b/>
        </w:rPr>
      </w:pPr>
      <w:r>
        <w:rPr>
          <w:rFonts w:ascii="Helvetica Neue" w:hAnsi="Helvetica Neue" w:cs="Optima"/>
          <w:b/>
        </w:rPr>
        <w:t>t</w:t>
      </w:r>
      <w:r w:rsidRPr="0016263F">
        <w:rPr>
          <w:rFonts w:ascii="Helvetica Neue" w:hAnsi="Helvetica Neue" w:cs="Optima"/>
          <w:b/>
        </w:rPr>
        <w:t>o</w:t>
      </w:r>
      <w:r>
        <w:rPr>
          <w:rFonts w:ascii="Helvetica Neue" w:hAnsi="Helvetica Neue" w:cs="Optima"/>
          <w:b/>
        </w:rPr>
        <w:t xml:space="preserve"> feel</w:t>
      </w:r>
      <w:r w:rsidRPr="0016263F">
        <w:rPr>
          <w:rFonts w:ascii="Helvetica Neue" w:hAnsi="Helvetica Neue" w:cs="Optima"/>
          <w:b/>
        </w:rPr>
        <w:t xml:space="preserve"> safe at court: </w:t>
      </w:r>
    </w:p>
    <w:p w:rsidR="00046DC6" w:rsidRDefault="00046DC6" w:rsidP="00046DC6">
      <w:pPr>
        <w:pStyle w:val="ListParagraph"/>
        <w:rPr>
          <w:rFonts w:ascii="Helvetica Neue Light" w:hAnsi="Helvetica Neue Light" w:cs="Optima"/>
        </w:rPr>
      </w:pPr>
    </w:p>
    <w:p w:rsidR="00046DC6" w:rsidRDefault="00046DC6" w:rsidP="00046DC6">
      <w:pPr>
        <w:pStyle w:val="ListParagraph"/>
        <w:rPr>
          <w:rFonts w:ascii="Helvetica Neue Light" w:hAnsi="Helvetica Neue Light" w:cs="Optima"/>
        </w:rPr>
      </w:pPr>
      <w:r>
        <w:rPr>
          <w:rFonts w:ascii="Helvetica Neue Light" w:hAnsi="Helvetica Neue Light" w:cs="Optima"/>
        </w:rPr>
        <w:t>C</w:t>
      </w:r>
      <w:r w:rsidRPr="0016263F">
        <w:rPr>
          <w:rFonts w:ascii="Helvetica Neue Light" w:hAnsi="Helvetica Neue Light" w:cs="Optima"/>
        </w:rPr>
        <w:t xml:space="preserve">ourt </w:t>
      </w:r>
      <w:r>
        <w:rPr>
          <w:rFonts w:ascii="Helvetica Neue Light" w:hAnsi="Helvetica Neue Light" w:cs="Optima"/>
        </w:rPr>
        <w:t xml:space="preserve">leadership and </w:t>
      </w:r>
      <w:r w:rsidRPr="0016263F">
        <w:rPr>
          <w:rFonts w:ascii="Helvetica Neue Light" w:hAnsi="Helvetica Neue Light" w:cs="Optima"/>
        </w:rPr>
        <w:t xml:space="preserve">staff members </w:t>
      </w:r>
      <w:r>
        <w:rPr>
          <w:rFonts w:ascii="Helvetica Neue Light" w:hAnsi="Helvetica Neue Light" w:cs="Optima"/>
        </w:rPr>
        <w:t xml:space="preserve">should have discussed the arrangements that the court will make to ensure the safety of parties appearing before the court as well as all court personnel, including people living with a disability. </w:t>
      </w:r>
    </w:p>
    <w:p w:rsidR="00046DC6" w:rsidRDefault="00046DC6" w:rsidP="00046DC6">
      <w:pPr>
        <w:pStyle w:val="ListParagraph"/>
        <w:rPr>
          <w:rFonts w:ascii="Helvetica Neue Light" w:hAnsi="Helvetica Neue Light" w:cs="Optima"/>
        </w:rPr>
      </w:pPr>
    </w:p>
    <w:p w:rsidR="00046DC6" w:rsidRPr="006C0526" w:rsidRDefault="00046DC6" w:rsidP="00046DC6">
      <w:pPr>
        <w:pStyle w:val="ListParagraph"/>
        <w:rPr>
          <w:rFonts w:ascii="Helvetica Neue Light" w:hAnsi="Helvetica Neue Light" w:cs="Optima"/>
        </w:rPr>
      </w:pPr>
      <w:r>
        <w:rPr>
          <w:rFonts w:ascii="Helvetica Neue Light" w:hAnsi="Helvetica Neue Light" w:cs="Optima"/>
        </w:rPr>
        <w:t xml:space="preserve">Given the prevalence of sexual and family violence experienced by women and children in the Pacific, where possible, the court should endeavour to obtain the resources necessary to enable a separate waiting area for women and children who are appearing before the court and have </w:t>
      </w:r>
      <w:r w:rsidRPr="006C0526">
        <w:rPr>
          <w:rFonts w:ascii="Helvetica Neue Light" w:hAnsi="Helvetica Neue Light" w:cs="Optima"/>
        </w:rPr>
        <w:t>experienced sexual</w:t>
      </w:r>
      <w:r>
        <w:rPr>
          <w:rFonts w:ascii="Helvetica Neue Light" w:hAnsi="Helvetica Neue Light" w:cs="Optima"/>
        </w:rPr>
        <w:t xml:space="preserve"> or family violence.</w:t>
      </w:r>
    </w:p>
    <w:p w:rsidR="00046DC6" w:rsidRDefault="00046DC6" w:rsidP="00046DC6"/>
    <w:p w:rsidR="00E36202" w:rsidRDefault="00E36202"/>
    <w:sectPr w:rsidR="00E36202" w:rsidSect="00614CD9">
      <w:headerReference w:type="default" r:id="rId13"/>
      <w:footerReference w:type="default" r:id="rId14"/>
      <w:pgSz w:w="11906" w:h="16838"/>
      <w:pgMar w:top="1440" w:right="1440" w:bottom="1440" w:left="1440" w:header="56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19" w:rsidRDefault="00204619" w:rsidP="00222E46">
      <w:pPr>
        <w:spacing w:after="0" w:line="240" w:lineRule="auto"/>
      </w:pPr>
      <w:r>
        <w:separator/>
      </w:r>
    </w:p>
  </w:endnote>
  <w:endnote w:type="continuationSeparator" w:id="0">
    <w:p w:rsidR="00204619" w:rsidRDefault="00204619" w:rsidP="002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222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27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8950"/>
      <w:gridCol w:w="2205"/>
    </w:tblGrid>
    <w:tr w:rsidR="00614CD9" w:rsidRPr="00545917" w:rsidTr="00F31F28">
      <w:trPr>
        <w:trHeight w:val="140"/>
      </w:trPr>
      <w:tc>
        <w:tcPr>
          <w:tcW w:w="8950" w:type="dxa"/>
          <w:tcBorders>
            <w:top w:val="single" w:sz="18" w:space="0" w:color="0E6060"/>
          </w:tcBorders>
        </w:tcPr>
        <w:p w:rsidR="00614CD9" w:rsidRPr="00545917" w:rsidRDefault="00614CD9" w:rsidP="00F31F28">
          <w:pPr>
            <w:snapToGrid w:val="0"/>
            <w:spacing w:before="120" w:after="0" w:line="240" w:lineRule="auto"/>
            <w:ind w:left="819"/>
            <w:rPr>
              <w:rFonts w:ascii="Arial Narrow" w:eastAsia="MS Mincho" w:hAnsi="Arial Narrow" w:cs="Calibri"/>
              <w:i/>
              <w:sz w:val="20"/>
              <w:szCs w:val="32"/>
              <w:lang w:eastAsia="en-AU"/>
            </w:rPr>
          </w:pPr>
          <w:r w:rsidRPr="00545917">
            <w:rPr>
              <w:rFonts w:ascii="Arial Narrow" w:eastAsia="MS ??" w:hAnsi="Arial Narrow" w:cs="Times New Roman"/>
              <w:i/>
              <w:sz w:val="20"/>
              <w:szCs w:val="20"/>
              <w:lang w:eastAsia="en-AU"/>
            </w:rPr>
            <w:t>PJDP is funded by the Government of New Zealand and managed by the Federal Court of Australia</w:t>
          </w:r>
        </w:p>
      </w:tc>
      <w:tc>
        <w:tcPr>
          <w:tcW w:w="2205" w:type="dxa"/>
          <w:tcBorders>
            <w:top w:val="single" w:sz="18" w:space="0" w:color="0E6060"/>
          </w:tcBorders>
          <w:vAlign w:val="bottom"/>
        </w:tcPr>
        <w:p w:rsidR="00614CD9" w:rsidRPr="00545917" w:rsidRDefault="00614CD9" w:rsidP="00F31F28">
          <w:pPr>
            <w:autoSpaceDE w:val="0"/>
            <w:autoSpaceDN w:val="0"/>
            <w:adjustRightInd w:val="0"/>
            <w:spacing w:after="0" w:line="240" w:lineRule="auto"/>
            <w:ind w:left="195" w:right="44"/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</w:pP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 xml:space="preserve">  A</w:t>
          </w:r>
          <w:r w:rsidR="00046DC6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17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-</w:t>
          </w:r>
          <w:r w:rsidR="00046DC6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1</w:t>
          </w:r>
        </w:p>
        <w:p w:rsidR="00614CD9" w:rsidRPr="00545917" w:rsidRDefault="00614CD9" w:rsidP="00F31F28">
          <w:pPr>
            <w:spacing w:after="0" w:line="240" w:lineRule="auto"/>
            <w:rPr>
              <w:rFonts w:ascii="Arial Narrow" w:eastAsia="MS ??" w:hAnsi="Arial Narrow" w:cs="Times New Roman"/>
              <w:color w:val="0E6060"/>
              <w:sz w:val="5"/>
              <w:szCs w:val="24"/>
              <w:lang w:eastAsia="en-AU"/>
            </w:rPr>
          </w:pPr>
        </w:p>
      </w:tc>
    </w:tr>
  </w:tbl>
  <w:p w:rsidR="00222E46" w:rsidRDefault="00222E46" w:rsidP="0061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19" w:rsidRDefault="00204619" w:rsidP="00222E46">
      <w:pPr>
        <w:spacing w:after="0" w:line="240" w:lineRule="auto"/>
      </w:pPr>
      <w:r>
        <w:separator/>
      </w:r>
    </w:p>
  </w:footnote>
  <w:footnote w:type="continuationSeparator" w:id="0">
    <w:p w:rsidR="00204619" w:rsidRDefault="00204619" w:rsidP="0022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Pr="00B44902" w:rsidRDefault="00222E46" w:rsidP="00222E46">
    <w:pPr>
      <w:pStyle w:val="Header"/>
      <w:rPr>
        <w:szCs w:val="1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FF01B5A" wp14:editId="79562E26">
          <wp:simplePos x="0" y="0"/>
          <wp:positionH relativeFrom="column">
            <wp:posOffset>-918845</wp:posOffset>
          </wp:positionH>
          <wp:positionV relativeFrom="paragraph">
            <wp:posOffset>23967</wp:posOffset>
          </wp:positionV>
          <wp:extent cx="7580630" cy="594995"/>
          <wp:effectExtent l="0" t="0" r="1270" b="0"/>
          <wp:wrapNone/>
          <wp:docPr id="9" name="Picture 9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E46" w:rsidRPr="000E14AE" w:rsidRDefault="00222E46" w:rsidP="00222E4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55B91" wp14:editId="6C06BBF0">
              <wp:simplePos x="0" y="0"/>
              <wp:positionH relativeFrom="column">
                <wp:posOffset>-918845</wp:posOffset>
              </wp:positionH>
              <wp:positionV relativeFrom="paragraph">
                <wp:posOffset>4236248</wp:posOffset>
              </wp:positionV>
              <wp:extent cx="7667625" cy="492760"/>
              <wp:effectExtent l="0" t="0" r="9525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7625" cy="492760"/>
                      </a:xfrm>
                      <a:prstGeom prst="rect">
                        <a:avLst/>
                      </a:prstGeom>
                      <a:solidFill>
                        <a:srgbClr val="0E606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60FE1" id="Rectangle 5" o:spid="_x0000_s1026" style="position:absolute;margin-left:-72.35pt;margin-top:333.55pt;width:603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" fillcolor="#0e6060" stroked="f" strokeweight="2pt">
              <v:path arrowok="t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4E68A" wp14:editId="0EED1BD2">
              <wp:simplePos x="0" y="0"/>
              <wp:positionH relativeFrom="column">
                <wp:posOffset>-918210</wp:posOffset>
              </wp:positionH>
              <wp:positionV relativeFrom="paragraph">
                <wp:posOffset>4681855</wp:posOffset>
              </wp:positionV>
              <wp:extent cx="7580630" cy="5613400"/>
              <wp:effectExtent l="0" t="0" r="1270" b="63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5613400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051A1" id="Rectangle 6" o:spid="_x0000_s1026" style="position:absolute;margin-left:-72.3pt;margin-top:368.65pt;width:596.9pt;height:4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" fillcolor="#cbdce1" stroked="f" strokecolor="white"/>
          </w:pict>
        </mc:Fallback>
      </mc:AlternateContent>
    </w:r>
  </w:p>
  <w:p w:rsidR="00222E46" w:rsidRDefault="00222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222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70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0"/>
      <w:gridCol w:w="10350"/>
    </w:tblGrid>
    <w:tr w:rsidR="00614CD9" w:rsidRPr="00545917" w:rsidTr="00F31F28">
      <w:trPr>
        <w:trHeight w:val="782"/>
        <w:jc w:val="center"/>
      </w:trPr>
      <w:tc>
        <w:tcPr>
          <w:tcW w:w="920" w:type="dxa"/>
          <w:tcBorders>
            <w:bottom w:val="nil"/>
          </w:tcBorders>
          <w:vAlign w:val="bottom"/>
        </w:tcPr>
        <w:p w:rsidR="00614CD9" w:rsidRPr="00545917" w:rsidRDefault="00614CD9" w:rsidP="00F31F28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0350" w:type="dxa"/>
          <w:tcBorders>
            <w:bottom w:val="nil"/>
          </w:tcBorders>
          <w:vAlign w:val="bottom"/>
        </w:tcPr>
        <w:p w:rsidR="00614CD9" w:rsidRPr="00545917" w:rsidRDefault="00614CD9" w:rsidP="00F31F2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614CD9" w:rsidRPr="00545917" w:rsidRDefault="00614CD9" w:rsidP="00F31F2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</w:p>
      </w:tc>
    </w:tr>
    <w:tr w:rsidR="00614CD9" w:rsidRPr="00545917" w:rsidTr="00F31F28">
      <w:trPr>
        <w:trHeight w:val="286"/>
        <w:jc w:val="center"/>
      </w:trPr>
      <w:tc>
        <w:tcPr>
          <w:tcW w:w="11270" w:type="dxa"/>
          <w:gridSpan w:val="2"/>
          <w:tcBorders>
            <w:top w:val="nil"/>
            <w:bottom w:val="nil"/>
          </w:tcBorders>
        </w:tcPr>
        <w:p w:rsidR="00614CD9" w:rsidRPr="00545917" w:rsidRDefault="00614CD9" w:rsidP="00F31F28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544D0D44" wp14:editId="2B02CC29">
                <wp:extent cx="7150100" cy="165100"/>
                <wp:effectExtent l="0" t="0" r="0" b="6350"/>
                <wp:docPr id="7" name="Picture 7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E46" w:rsidRDefault="00222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53B3"/>
    <w:multiLevelType w:val="hybridMultilevel"/>
    <w:tmpl w:val="F2A2F97C"/>
    <w:lvl w:ilvl="0" w:tplc="D2F4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E0202"/>
    <w:multiLevelType w:val="hybridMultilevel"/>
    <w:tmpl w:val="7BB2BE1E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0C57"/>
    <w:multiLevelType w:val="hybridMultilevel"/>
    <w:tmpl w:val="F88CA3EA"/>
    <w:lvl w:ilvl="0" w:tplc="D2F46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1D1E"/>
    <w:multiLevelType w:val="hybridMultilevel"/>
    <w:tmpl w:val="5CD6030C"/>
    <w:lvl w:ilvl="0" w:tplc="58448EA2">
      <w:start w:val="1"/>
      <w:numFmt w:val="upperRoman"/>
      <w:lvlText w:val="%1."/>
      <w:lvlJc w:val="left"/>
      <w:pPr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073A7"/>
    <w:multiLevelType w:val="hybridMultilevel"/>
    <w:tmpl w:val="4A8AE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D4145"/>
    <w:multiLevelType w:val="hybridMultilevel"/>
    <w:tmpl w:val="4D5C5AB4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38EF"/>
    <w:multiLevelType w:val="hybridMultilevel"/>
    <w:tmpl w:val="67AEECCC"/>
    <w:lvl w:ilvl="0" w:tplc="E268721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5CDC"/>
    <w:multiLevelType w:val="hybridMultilevel"/>
    <w:tmpl w:val="DE643B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860CF9"/>
    <w:multiLevelType w:val="hybridMultilevel"/>
    <w:tmpl w:val="D2DA8C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1F134B"/>
    <w:multiLevelType w:val="hybridMultilevel"/>
    <w:tmpl w:val="90545BE4"/>
    <w:lvl w:ilvl="0" w:tplc="D2F4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E0014"/>
    <w:multiLevelType w:val="hybridMultilevel"/>
    <w:tmpl w:val="38E2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D7309B"/>
    <w:multiLevelType w:val="hybridMultilevel"/>
    <w:tmpl w:val="1350567A"/>
    <w:lvl w:ilvl="0" w:tplc="4EEAF13C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2" w15:restartNumberingAfterBreak="0">
    <w:nsid w:val="74037262"/>
    <w:multiLevelType w:val="hybridMultilevel"/>
    <w:tmpl w:val="3D50AD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7413BD4"/>
    <w:multiLevelType w:val="hybridMultilevel"/>
    <w:tmpl w:val="7AD26D3A"/>
    <w:lvl w:ilvl="0" w:tplc="DF00B6D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EAB2B7C"/>
    <w:multiLevelType w:val="hybridMultilevel"/>
    <w:tmpl w:val="F89C3A8E"/>
    <w:lvl w:ilvl="0" w:tplc="E268721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46"/>
    <w:rsid w:val="00046DC6"/>
    <w:rsid w:val="00054BFF"/>
    <w:rsid w:val="001474F6"/>
    <w:rsid w:val="00204619"/>
    <w:rsid w:val="00222E46"/>
    <w:rsid w:val="00402955"/>
    <w:rsid w:val="004160D8"/>
    <w:rsid w:val="00545917"/>
    <w:rsid w:val="00614CD9"/>
    <w:rsid w:val="006F4497"/>
    <w:rsid w:val="00A452A2"/>
    <w:rsid w:val="00BD20E3"/>
    <w:rsid w:val="00E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D0B1F9D-7333-42F7-BED6-5477AA62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qFormat/>
    <w:rsid w:val="001474F6"/>
    <w:rPr>
      <w:rFonts w:ascii="Arial Narrow" w:hAnsi="Arial Narrow" w:cs="Times New Roman" w:hint="default"/>
      <w:color w:val="0000FF"/>
      <w:sz w:val="23"/>
      <w:u w:val="single"/>
    </w:rPr>
  </w:style>
  <w:style w:type="table" w:styleId="TableGrid">
    <w:name w:val="Table Grid"/>
    <w:basedOn w:val="TableNormal"/>
    <w:uiPriority w:val="59"/>
    <w:rsid w:val="0061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court.gov.au/pjdp/pjdp-toolki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dcourt.gov.au/pjdp/pjdp-toolki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6FB6-08E1-4A3E-A95B-48CC4295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Court Reporting Toolkit Annex 8</vt:lpstr>
    </vt:vector>
  </TitlesOfParts>
  <Company>Federal Court of Australia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Court Reporting Toolkit Annex 8</dc:title>
  <dc:creator>Sladjana Rstic</dc:creator>
  <cp:lastModifiedBy>Isere Meaney</cp:lastModifiedBy>
  <cp:revision>2</cp:revision>
  <dcterms:created xsi:type="dcterms:W3CDTF">2018-05-30T01:28:00Z</dcterms:created>
  <dcterms:modified xsi:type="dcterms:W3CDTF">2018-05-30T01:28:00Z</dcterms:modified>
</cp:coreProperties>
</file>