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4" w:rsidRPr="00956224" w:rsidRDefault="00E65724" w:rsidP="00E65724">
      <w:pPr>
        <w:pStyle w:val="BodyText"/>
        <w:rPr>
          <w:rFonts w:ascii="Arial"/>
          <w:b/>
          <w:i/>
          <w:sz w:val="22"/>
        </w:rPr>
      </w:pPr>
    </w:p>
    <w:p w:rsidR="00E65724" w:rsidRPr="00956224" w:rsidRDefault="00E65724" w:rsidP="00E65724">
      <w:pPr>
        <w:pStyle w:val="BodyText"/>
        <w:jc w:val="center"/>
        <w:rPr>
          <w:b/>
          <w:sz w:val="2"/>
        </w:rPr>
      </w:pPr>
    </w:p>
    <w:p w:rsidR="00E65724" w:rsidRPr="00956224" w:rsidRDefault="004D5A01" w:rsidP="00E65724">
      <w:pPr>
        <w:pStyle w:val="BodyText"/>
        <w:jc w:val="center"/>
        <w:rPr>
          <w:b/>
          <w:sz w:val="28"/>
        </w:rPr>
      </w:pPr>
      <w:r>
        <w:rPr>
          <w:b/>
          <w:sz w:val="28"/>
        </w:rPr>
        <w:t>CASE STUDY AND ‘PUT YOURSELF IN THE SHOES OF’ EXERCISE</w:t>
      </w:r>
    </w:p>
    <w:p w:rsidR="00E65724" w:rsidRDefault="00E65724" w:rsidP="00E65724">
      <w:pPr>
        <w:pStyle w:val="BodyText"/>
        <w:ind w:left="1440"/>
      </w:pPr>
    </w:p>
    <w:p w:rsidR="00E65724" w:rsidRPr="004D5A01" w:rsidRDefault="004D5A01" w:rsidP="00E65724">
      <w:pPr>
        <w:rPr>
          <w:rFonts w:asciiTheme="minorHAnsi" w:hAnsiTheme="minorHAnsi" w:cstheme="minorHAnsi"/>
          <w:b/>
          <w:sz w:val="23"/>
          <w:szCs w:val="23"/>
          <w:u w:val="single"/>
        </w:rPr>
      </w:pPr>
      <w:r w:rsidRPr="004D5A01">
        <w:rPr>
          <w:rFonts w:asciiTheme="minorHAnsi" w:hAnsiTheme="minorHAnsi" w:cstheme="minorHAnsi"/>
          <w:b/>
          <w:sz w:val="23"/>
          <w:szCs w:val="23"/>
          <w:u w:val="single"/>
        </w:rPr>
        <w:t xml:space="preserve">Case Study </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A fifteen year old girl (Laila) from </w:t>
      </w:r>
      <w:proofErr w:type="spellStart"/>
      <w:r w:rsidRPr="004D5A01">
        <w:rPr>
          <w:rFonts w:asciiTheme="minorHAnsi" w:hAnsiTheme="minorHAnsi" w:cstheme="minorHAnsi"/>
          <w:sz w:val="23"/>
          <w:szCs w:val="23"/>
          <w:shd w:val="clear" w:color="auto" w:fill="FFFFFF"/>
        </w:rPr>
        <w:t>Goroka</w:t>
      </w:r>
      <w:proofErr w:type="spellEnd"/>
      <w:r w:rsidRPr="004D5A01">
        <w:rPr>
          <w:rFonts w:asciiTheme="minorHAnsi" w:hAnsiTheme="minorHAnsi" w:cstheme="minorHAnsi"/>
          <w:sz w:val="23"/>
          <w:szCs w:val="23"/>
          <w:shd w:val="clear" w:color="auto" w:fill="FFFFFF"/>
        </w:rPr>
        <w:t xml:space="preserve">  reports to her mother (Cecily) that she saw her 11 year old sister (Ruth) being sexually abused by the 25 year son of the village chief (Eddie) in the bushes near the village. The victim’s family is poor and owes money to their family. </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Cecily tells her husband (Bobby) what Laila saw and he says ‘Don’t be ridiculous. Laila is just making it up. She lies about everything. Just forget it’. Cecily approaches her daughter Ruth who breaks down and tells her that it is true, that Eddie has been doing this to her for some time but has threatened to kill her if she tells anyone. </w:t>
      </w:r>
      <w:bookmarkStart w:id="0" w:name="_GoBack"/>
      <w:bookmarkEnd w:id="0"/>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Cecily approaches her husband again and says Eddie must be stopped and held accountable for his crime. Bobby says there’s nothing they can do because in whichever justice system (state or local) the village chief will protect his son and turn everyone in the village against their family. Cecily says she cannot allow him to get away with it and will report it to the police. Eddie reacts angrily and assaults her with a metal gardening fork, injuring her head, and that if she goes to the police, not to bother coming home. </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A </w:t>
      </w:r>
      <w:proofErr w:type="spellStart"/>
      <w:r w:rsidRPr="004D5A01">
        <w:rPr>
          <w:rFonts w:asciiTheme="minorHAnsi" w:hAnsiTheme="minorHAnsi" w:cstheme="minorHAnsi"/>
          <w:sz w:val="23"/>
          <w:szCs w:val="23"/>
          <w:shd w:val="clear" w:color="auto" w:fill="FFFFFF"/>
        </w:rPr>
        <w:t>neighbour</w:t>
      </w:r>
      <w:proofErr w:type="spellEnd"/>
      <w:r w:rsidRPr="004D5A01">
        <w:rPr>
          <w:rFonts w:asciiTheme="minorHAnsi" w:hAnsiTheme="minorHAnsi" w:cstheme="minorHAnsi"/>
          <w:sz w:val="23"/>
          <w:szCs w:val="23"/>
          <w:shd w:val="clear" w:color="auto" w:fill="FFFFFF"/>
        </w:rPr>
        <w:t xml:space="preserve"> (Jess) takes Cecily to the hospital where her head wound is stitched up. She then takes Cecily to the police where she reports her husband’s violence towards her and Eddie’s sexual abuse of her daughter Ruth. Cecily says that she is afraid to go home and is also worried about the safety of her daughters.  </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The police contact a local women’s organisation who take Cecily to a shelter and then collect Ruth and Laila from the village and bring them to the shelter too. Jess, the </w:t>
      </w:r>
      <w:proofErr w:type="spellStart"/>
      <w:r w:rsidRPr="004D5A01">
        <w:rPr>
          <w:rFonts w:asciiTheme="minorHAnsi" w:hAnsiTheme="minorHAnsi" w:cstheme="minorHAnsi"/>
          <w:sz w:val="23"/>
          <w:szCs w:val="23"/>
          <w:shd w:val="clear" w:color="auto" w:fill="FFFFFF"/>
        </w:rPr>
        <w:t>neighbour</w:t>
      </w:r>
      <w:proofErr w:type="spellEnd"/>
      <w:r w:rsidRPr="004D5A01">
        <w:rPr>
          <w:rFonts w:asciiTheme="minorHAnsi" w:hAnsiTheme="minorHAnsi" w:cstheme="minorHAnsi"/>
          <w:sz w:val="23"/>
          <w:szCs w:val="23"/>
          <w:shd w:val="clear" w:color="auto" w:fill="FFFFFF"/>
        </w:rPr>
        <w:t>, returns home and is then beaten by her husband for interfering in another family’s private business and decides not to make a complaint against her husband.</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 xml:space="preserve">Proceeding </w:t>
      </w:r>
      <w:proofErr w:type="gramStart"/>
      <w:r w:rsidRPr="004D5A01">
        <w:rPr>
          <w:rFonts w:asciiTheme="minorHAnsi" w:hAnsiTheme="minorHAnsi" w:cstheme="minorHAnsi"/>
          <w:b/>
          <w:sz w:val="23"/>
          <w:szCs w:val="23"/>
          <w:shd w:val="clear" w:color="auto" w:fill="FFFFFF"/>
        </w:rPr>
        <w:t>Before</w:t>
      </w:r>
      <w:proofErr w:type="gramEnd"/>
      <w:r w:rsidRPr="004D5A01">
        <w:rPr>
          <w:rFonts w:asciiTheme="minorHAnsi" w:hAnsiTheme="minorHAnsi" w:cstheme="minorHAnsi"/>
          <w:b/>
          <w:sz w:val="23"/>
          <w:szCs w:val="23"/>
          <w:shd w:val="clear" w:color="auto" w:fill="FFFFFF"/>
        </w:rPr>
        <w:t xml:space="preserve"> Court</w:t>
      </w:r>
    </w:p>
    <w:p w:rsidR="004D5A01" w:rsidRPr="004D5A01" w:rsidRDefault="004D5A01" w:rsidP="004D5A01">
      <w:pPr>
        <w:jc w:val="both"/>
        <w:rPr>
          <w:rFonts w:asciiTheme="minorHAnsi" w:hAnsiTheme="minorHAnsi" w:cstheme="minorHAnsi"/>
          <w:b/>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Police investigate both allegations. Eddie is charged and indicated for child rape and threats to kill. He denies the charges. He has a public defender representing him.</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Bobby is charged with summary offences of family violence and assault. He is self-represented. He admits that he assaulted Cecily but says that she provoked him by saying she would go to the police against his wishes.</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Both cases are being heard before your court.</w:t>
      </w:r>
    </w:p>
    <w:p w:rsidR="004D5A01" w:rsidRPr="004D5A01" w:rsidRDefault="004D5A01" w:rsidP="004D5A01">
      <w:pPr>
        <w:jc w:val="both"/>
        <w:rPr>
          <w:rFonts w:asciiTheme="minorHAnsi" w:hAnsiTheme="minorHAnsi" w:cstheme="minorHAnsi"/>
          <w:sz w:val="23"/>
          <w:szCs w:val="23"/>
          <w:shd w:val="clear" w:color="auto" w:fill="FFFFFF"/>
        </w:rPr>
      </w:pPr>
    </w:p>
    <w:p w:rsidR="004D5A01" w:rsidRDefault="004D5A01" w:rsidP="004D5A01">
      <w:pPr>
        <w:jc w:val="both"/>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Case regarding sexual assaults upon Laila</w:t>
      </w:r>
    </w:p>
    <w:p w:rsidR="004D5A01" w:rsidRPr="004D5A01" w:rsidRDefault="004D5A01" w:rsidP="004D5A01">
      <w:pPr>
        <w:jc w:val="both"/>
        <w:rPr>
          <w:rFonts w:asciiTheme="minorHAnsi" w:hAnsiTheme="minorHAnsi" w:cstheme="minorHAnsi"/>
          <w:b/>
          <w:sz w:val="23"/>
          <w:szCs w:val="23"/>
          <w:shd w:val="clear" w:color="auto" w:fill="FFFFFF"/>
        </w:rPr>
      </w:pPr>
    </w:p>
    <w:p w:rsidR="004D5A01" w:rsidRPr="004D5A01" w:rsidRDefault="004D5A01" w:rsidP="004D5A01">
      <w:pPr>
        <w:pStyle w:val="ListParagraph"/>
        <w:widowControl/>
        <w:numPr>
          <w:ilvl w:val="0"/>
          <w:numId w:val="12"/>
        </w:numPr>
        <w:autoSpaceDE/>
        <w:autoSpaceDN/>
        <w:spacing w:after="160" w:line="259" w:lineRule="auto"/>
        <w:contextualSpacing/>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The prosecution plans to call Ruth, Laila and Cecily to give evidence re sexual assaults upon Laila</w:t>
      </w:r>
      <w:r>
        <w:rPr>
          <w:rFonts w:asciiTheme="minorHAnsi" w:hAnsiTheme="minorHAnsi" w:cstheme="minorHAnsi"/>
          <w:sz w:val="23"/>
          <w:szCs w:val="23"/>
          <w:shd w:val="clear" w:color="auto" w:fill="FFFFFF"/>
        </w:rPr>
        <w:t>;</w:t>
      </w:r>
    </w:p>
    <w:p w:rsidR="004D5A01" w:rsidRPr="004D5A01" w:rsidRDefault="004D5A01" w:rsidP="004D5A01">
      <w:pPr>
        <w:pStyle w:val="ListParagraph"/>
        <w:widowControl/>
        <w:numPr>
          <w:ilvl w:val="0"/>
          <w:numId w:val="12"/>
        </w:numPr>
        <w:autoSpaceDE/>
        <w:autoSpaceDN/>
        <w:spacing w:after="160" w:line="259" w:lineRule="auto"/>
        <w:contextualSpacing/>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 xml:space="preserve">The </w:t>
      </w:r>
      <w:proofErr w:type="spellStart"/>
      <w:r w:rsidRPr="004D5A01">
        <w:rPr>
          <w:rFonts w:asciiTheme="minorHAnsi" w:hAnsiTheme="minorHAnsi" w:cstheme="minorHAnsi"/>
          <w:sz w:val="23"/>
          <w:szCs w:val="23"/>
          <w:shd w:val="clear" w:color="auto" w:fill="FFFFFF"/>
        </w:rPr>
        <w:t>defence</w:t>
      </w:r>
      <w:proofErr w:type="spellEnd"/>
      <w:r w:rsidRPr="004D5A01">
        <w:rPr>
          <w:rFonts w:asciiTheme="minorHAnsi" w:hAnsiTheme="minorHAnsi" w:cstheme="minorHAnsi"/>
          <w:sz w:val="23"/>
          <w:szCs w:val="23"/>
          <w:shd w:val="clear" w:color="auto" w:fill="FFFFFF"/>
        </w:rPr>
        <w:t xml:space="preserve"> plans to call Eddie’s father as a witness to support Eddie’s alibi that he was at work at the time of the assault and is of good character.</w:t>
      </w:r>
    </w:p>
    <w:p w:rsidR="004D5A01" w:rsidRDefault="004D5A01" w:rsidP="004D5A01">
      <w:pPr>
        <w:jc w:val="both"/>
        <w:rPr>
          <w:rFonts w:asciiTheme="minorHAnsi" w:hAnsiTheme="minorHAnsi" w:cstheme="minorHAnsi"/>
          <w:b/>
          <w:sz w:val="23"/>
          <w:szCs w:val="23"/>
          <w:shd w:val="clear" w:color="auto" w:fill="FFFFFF"/>
        </w:rPr>
      </w:pPr>
    </w:p>
    <w:p w:rsidR="004D5A01" w:rsidRPr="004D5A01" w:rsidRDefault="004D5A01" w:rsidP="004D5A01">
      <w:pPr>
        <w:jc w:val="both"/>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Case regarding family violence/assault on Cecily</w:t>
      </w: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The prosecution plans to:</w:t>
      </w:r>
    </w:p>
    <w:p w:rsidR="004D5A01" w:rsidRPr="004D5A01" w:rsidRDefault="004D5A01" w:rsidP="004D5A01">
      <w:pPr>
        <w:jc w:val="both"/>
        <w:rPr>
          <w:rFonts w:asciiTheme="minorHAnsi" w:hAnsiTheme="minorHAnsi" w:cstheme="minorHAnsi"/>
          <w:sz w:val="23"/>
          <w:szCs w:val="23"/>
          <w:shd w:val="clear" w:color="auto" w:fill="FFFFFF"/>
        </w:rPr>
      </w:pPr>
    </w:p>
    <w:p w:rsidR="004D5A01" w:rsidRPr="004D5A01" w:rsidRDefault="004D5A01" w:rsidP="004D5A01">
      <w:pPr>
        <w:pStyle w:val="ListParagraph"/>
        <w:widowControl/>
        <w:numPr>
          <w:ilvl w:val="0"/>
          <w:numId w:val="11"/>
        </w:numPr>
        <w:autoSpaceDE/>
        <w:autoSpaceDN/>
        <w:spacing w:after="160" w:line="259" w:lineRule="auto"/>
        <w:contextualSpacing/>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Call Cecily, and Jess as witnesses to assault by Bobby with the garden fork.</w:t>
      </w:r>
    </w:p>
    <w:p w:rsidR="004D5A01" w:rsidRPr="004D5A01" w:rsidRDefault="004D5A01" w:rsidP="004D5A01">
      <w:pPr>
        <w:pStyle w:val="ListParagraph"/>
        <w:widowControl/>
        <w:numPr>
          <w:ilvl w:val="0"/>
          <w:numId w:val="11"/>
        </w:numPr>
        <w:autoSpaceDE/>
        <w:autoSpaceDN/>
        <w:spacing w:after="160" w:line="259" w:lineRule="auto"/>
        <w:contextualSpacing/>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Call Ruth and Laila as witnesses to previous family violence by Bobby against Cecily.</w:t>
      </w:r>
    </w:p>
    <w:p w:rsidR="004D5A01" w:rsidRDefault="004D5A01" w:rsidP="004D5A01">
      <w:pPr>
        <w:jc w:val="both"/>
        <w:rPr>
          <w:rFonts w:asciiTheme="minorHAnsi" w:hAnsiTheme="minorHAnsi" w:cstheme="minorHAnsi"/>
          <w:sz w:val="23"/>
          <w:szCs w:val="23"/>
          <w:shd w:val="clear" w:color="auto" w:fill="FFFFFF"/>
        </w:rPr>
      </w:pPr>
      <w:r w:rsidRPr="004D5A01">
        <w:rPr>
          <w:rFonts w:asciiTheme="minorHAnsi" w:hAnsiTheme="minorHAnsi" w:cstheme="minorHAnsi"/>
          <w:sz w:val="23"/>
          <w:szCs w:val="23"/>
          <w:shd w:val="clear" w:color="auto" w:fill="FFFFFF"/>
        </w:rPr>
        <w:t>Bobby plans to tell the court that Cecil provoked him and that he has a right to discipline his wife when she defies him.</w:t>
      </w:r>
    </w:p>
    <w:p w:rsidR="004D5A01" w:rsidRPr="004D5A01" w:rsidRDefault="004D5A01" w:rsidP="004D5A01">
      <w:pPr>
        <w:jc w:val="both"/>
        <w:rPr>
          <w:rFonts w:asciiTheme="minorHAnsi" w:hAnsiTheme="minorHAnsi" w:cstheme="minorHAnsi"/>
          <w:sz w:val="23"/>
          <w:szCs w:val="23"/>
          <w:shd w:val="clear" w:color="auto" w:fill="FFFFFF"/>
        </w:rPr>
      </w:pPr>
    </w:p>
    <w:p w:rsidR="004D5A01" w:rsidRPr="004D5A01" w:rsidRDefault="004D5A01" w:rsidP="004D5A01">
      <w:pPr>
        <w:rPr>
          <w:rFonts w:asciiTheme="minorHAnsi" w:hAnsiTheme="minorHAnsi" w:cstheme="minorHAnsi"/>
          <w:b/>
          <w:sz w:val="24"/>
          <w:szCs w:val="23"/>
          <w:u w:val="single"/>
          <w:shd w:val="clear" w:color="auto" w:fill="FFFFFF"/>
        </w:rPr>
      </w:pPr>
      <w:r w:rsidRPr="004D5A01">
        <w:rPr>
          <w:rFonts w:asciiTheme="minorHAnsi" w:hAnsiTheme="minorHAnsi" w:cstheme="minorHAnsi"/>
          <w:b/>
          <w:sz w:val="24"/>
          <w:szCs w:val="23"/>
          <w:u w:val="single"/>
          <w:shd w:val="clear" w:color="auto" w:fill="FFFFFF"/>
        </w:rPr>
        <w:t>Put yourself in the shoes of</w:t>
      </w:r>
      <w:r w:rsidRPr="004D5A01">
        <w:rPr>
          <w:rFonts w:asciiTheme="minorHAnsi" w:hAnsiTheme="minorHAnsi" w:cstheme="minorHAnsi"/>
          <w:b/>
          <w:sz w:val="24"/>
          <w:szCs w:val="23"/>
          <w:u w:val="single"/>
          <w:shd w:val="clear" w:color="auto" w:fill="FFFFFF"/>
        </w:rPr>
        <w:t>…</w:t>
      </w:r>
    </w:p>
    <w:p w:rsidR="004D5A01" w:rsidRPr="004D5A01" w:rsidRDefault="004D5A01" w:rsidP="004D5A01">
      <w:pPr>
        <w:rPr>
          <w:rFonts w:asciiTheme="minorHAnsi" w:hAnsiTheme="minorHAnsi" w:cstheme="minorHAnsi"/>
          <w:b/>
          <w:sz w:val="23"/>
          <w:szCs w:val="23"/>
          <w:shd w:val="clear" w:color="auto" w:fill="FFFFFF"/>
        </w:rPr>
      </w:pPr>
    </w:p>
    <w:tbl>
      <w:tblPr>
        <w:tblStyle w:val="TableGrid"/>
        <w:tblW w:w="9351" w:type="dxa"/>
        <w:tblLook w:val="04A0" w:firstRow="1" w:lastRow="0" w:firstColumn="1" w:lastColumn="0" w:noHBand="0" w:noVBand="1"/>
      </w:tblPr>
      <w:tblGrid>
        <w:gridCol w:w="1549"/>
        <w:gridCol w:w="3833"/>
        <w:gridCol w:w="3969"/>
      </w:tblGrid>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PART 1</w:t>
            </w:r>
          </w:p>
        </w:tc>
        <w:tc>
          <w:tcPr>
            <w:tcW w:w="3833"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How might the situation have affected her life?</w:t>
            </w:r>
          </w:p>
        </w:tc>
        <w:tc>
          <w:tcPr>
            <w:tcW w:w="396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How might she be feeling about coming to court?</w:t>
            </w: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 xml:space="preserve">11 year old Laila (victim) </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33"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69"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Cecily (witness and victim)</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33"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69"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15 year old Ruth</w:t>
            </w:r>
          </w:p>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(witness)</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33"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69"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Jess (witness)</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33"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69" w:type="dxa"/>
          </w:tcPr>
          <w:p w:rsidR="004D5A01" w:rsidRPr="004D5A01" w:rsidRDefault="004D5A01" w:rsidP="00DE30B0">
            <w:pPr>
              <w:rPr>
                <w:rFonts w:asciiTheme="minorHAnsi" w:hAnsiTheme="minorHAnsi" w:cstheme="minorHAnsi"/>
                <w:b/>
                <w:sz w:val="23"/>
                <w:szCs w:val="23"/>
                <w:shd w:val="clear" w:color="auto" w:fill="FFFFFF"/>
              </w:rPr>
            </w:pPr>
          </w:p>
        </w:tc>
      </w:tr>
    </w:tbl>
    <w:p w:rsidR="004D5A01" w:rsidRDefault="004D5A01" w:rsidP="004D5A01">
      <w:pPr>
        <w:rPr>
          <w:rFonts w:asciiTheme="minorHAnsi" w:hAnsiTheme="minorHAnsi" w:cstheme="minorHAnsi"/>
          <w:b/>
          <w:sz w:val="23"/>
          <w:szCs w:val="23"/>
          <w:shd w:val="clear" w:color="auto" w:fill="FFFFFF"/>
        </w:rPr>
      </w:pPr>
    </w:p>
    <w:p w:rsidR="004D5A01" w:rsidRPr="004D5A01" w:rsidRDefault="004D5A01" w:rsidP="004D5A01">
      <w:pPr>
        <w:rPr>
          <w:rFonts w:asciiTheme="minorHAnsi" w:hAnsiTheme="minorHAnsi" w:cstheme="minorHAnsi"/>
          <w:b/>
          <w:sz w:val="23"/>
          <w:szCs w:val="23"/>
          <w:shd w:val="clear" w:color="auto" w:fill="FFFFFF"/>
        </w:rPr>
      </w:pPr>
    </w:p>
    <w:tbl>
      <w:tblPr>
        <w:tblStyle w:val="TableGrid"/>
        <w:tblW w:w="9351" w:type="dxa"/>
        <w:tblLook w:val="04A0" w:firstRow="1" w:lastRow="0" w:firstColumn="1" w:lastColumn="0" w:noHBand="0" w:noVBand="1"/>
      </w:tblPr>
      <w:tblGrid>
        <w:gridCol w:w="1549"/>
        <w:gridCol w:w="3975"/>
        <w:gridCol w:w="3827"/>
      </w:tblGrid>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 xml:space="preserve">PART 2 </w:t>
            </w:r>
          </w:p>
        </w:tc>
        <w:tc>
          <w:tcPr>
            <w:tcW w:w="3975"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What factors might help make her experience less traumatic?</w:t>
            </w:r>
          </w:p>
        </w:tc>
        <w:tc>
          <w:tcPr>
            <w:tcW w:w="3827"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 xml:space="preserve">What steps should the judge take? </w:t>
            </w: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11 year old Laila (victim)</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 xml:space="preserve"> </w:t>
            </w:r>
          </w:p>
        </w:tc>
        <w:tc>
          <w:tcPr>
            <w:tcW w:w="3975"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27"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Cecily (witness and victim)</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75"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27"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15 year old Ruth</w:t>
            </w:r>
          </w:p>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(witness)</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75"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27" w:type="dxa"/>
          </w:tcPr>
          <w:p w:rsidR="004D5A01" w:rsidRPr="004D5A01" w:rsidRDefault="004D5A01" w:rsidP="00DE30B0">
            <w:pPr>
              <w:rPr>
                <w:rFonts w:asciiTheme="minorHAnsi" w:hAnsiTheme="minorHAnsi" w:cstheme="minorHAnsi"/>
                <w:b/>
                <w:sz w:val="23"/>
                <w:szCs w:val="23"/>
                <w:shd w:val="clear" w:color="auto" w:fill="FFFFFF"/>
              </w:rPr>
            </w:pPr>
          </w:p>
        </w:tc>
      </w:tr>
      <w:tr w:rsidR="004D5A01" w:rsidRPr="004D5A01" w:rsidTr="004D5A01">
        <w:tc>
          <w:tcPr>
            <w:tcW w:w="1549" w:type="dxa"/>
          </w:tcPr>
          <w:p w:rsidR="004D5A01" w:rsidRPr="004D5A01" w:rsidRDefault="004D5A01" w:rsidP="00DE30B0">
            <w:pPr>
              <w:rPr>
                <w:rFonts w:asciiTheme="minorHAnsi" w:hAnsiTheme="minorHAnsi" w:cstheme="minorHAnsi"/>
                <w:b/>
                <w:sz w:val="23"/>
                <w:szCs w:val="23"/>
                <w:shd w:val="clear" w:color="auto" w:fill="FFFFFF"/>
              </w:rPr>
            </w:pPr>
            <w:r w:rsidRPr="004D5A01">
              <w:rPr>
                <w:rFonts w:asciiTheme="minorHAnsi" w:hAnsiTheme="minorHAnsi" w:cstheme="minorHAnsi"/>
                <w:b/>
                <w:sz w:val="23"/>
                <w:szCs w:val="23"/>
                <w:shd w:val="clear" w:color="auto" w:fill="FFFFFF"/>
              </w:rPr>
              <w:t>Jess (witness)</w:t>
            </w: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975" w:type="dxa"/>
          </w:tcPr>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p w:rsidR="004D5A01" w:rsidRPr="004D5A01" w:rsidRDefault="004D5A01" w:rsidP="00DE30B0">
            <w:pPr>
              <w:rPr>
                <w:rFonts w:asciiTheme="minorHAnsi" w:hAnsiTheme="minorHAnsi" w:cstheme="minorHAnsi"/>
                <w:b/>
                <w:sz w:val="23"/>
                <w:szCs w:val="23"/>
                <w:shd w:val="clear" w:color="auto" w:fill="FFFFFF"/>
              </w:rPr>
            </w:pPr>
          </w:p>
        </w:tc>
        <w:tc>
          <w:tcPr>
            <w:tcW w:w="3827" w:type="dxa"/>
          </w:tcPr>
          <w:p w:rsidR="004D5A01" w:rsidRPr="004D5A01" w:rsidRDefault="004D5A01" w:rsidP="00DE30B0">
            <w:pPr>
              <w:rPr>
                <w:rFonts w:asciiTheme="minorHAnsi" w:hAnsiTheme="minorHAnsi" w:cstheme="minorHAnsi"/>
                <w:b/>
                <w:sz w:val="23"/>
                <w:szCs w:val="23"/>
                <w:shd w:val="clear" w:color="auto" w:fill="FFFFFF"/>
              </w:rPr>
            </w:pPr>
          </w:p>
        </w:tc>
      </w:tr>
    </w:tbl>
    <w:p w:rsidR="007E3065" w:rsidRPr="004D5A01" w:rsidRDefault="007E3065">
      <w:pPr>
        <w:rPr>
          <w:rFonts w:asciiTheme="minorHAnsi" w:hAnsiTheme="minorHAnsi" w:cstheme="minorHAnsi"/>
          <w:sz w:val="23"/>
          <w:szCs w:val="23"/>
        </w:rPr>
      </w:pPr>
    </w:p>
    <w:sectPr w:rsidR="007E3065" w:rsidRPr="004D5A01" w:rsidSect="00E65724">
      <w:headerReference w:type="default" r:id="rId7"/>
      <w:footerReference w:type="default" r:id="rId8"/>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5A01">
      <w:r>
        <w:separator/>
      </w:r>
    </w:p>
  </w:endnote>
  <w:endnote w:type="continuationSeparator" w:id="0">
    <w:p w:rsidR="00000000" w:rsidRDefault="004D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pPr w:leftFromText="181" w:rightFromText="181" w:vertAnchor="page" w:horzAnchor="margin" w:tblpXSpec="center" w:tblpYSpec="bottom"/>
      <w:tblOverlap w:val="never"/>
      <w:tblW w:w="12192" w:type="dxa"/>
      <w:tblBorders>
        <w:bottom w:val="none" w:sz="0" w:space="0" w:color="auto"/>
      </w:tblBorders>
      <w:tblLook w:val="04A0" w:firstRow="1" w:lastRow="0" w:firstColumn="1" w:lastColumn="0" w:noHBand="0" w:noVBand="1"/>
    </w:tblPr>
    <w:tblGrid>
      <w:gridCol w:w="2062"/>
      <w:gridCol w:w="7805"/>
      <w:gridCol w:w="1408"/>
      <w:gridCol w:w="917"/>
    </w:tblGrid>
    <w:tr w:rsidR="00C3074E" w:rsidRPr="00D50575" w:rsidTr="00DC663C">
      <w:tc>
        <w:tcPr>
          <w:tcW w:w="2062" w:type="dxa"/>
          <w:tcBorders>
            <w:left w:val="nil"/>
            <w:bottom w:val="nil"/>
            <w:right w:val="nil"/>
          </w:tcBorders>
        </w:tcPr>
        <w:p w:rsidR="00C3074E" w:rsidRPr="00D50575" w:rsidRDefault="00E65724" w:rsidP="00C3074E">
          <w:pPr>
            <w:tabs>
              <w:tab w:val="center" w:pos="4513"/>
              <w:tab w:val="right" w:pos="9026"/>
            </w:tabs>
          </w:pPr>
          <w:r w:rsidRPr="00D50575">
            <w:rPr>
              <w:i/>
              <w:noProof/>
              <w:sz w:val="18"/>
              <w:szCs w:val="19"/>
              <w:lang w:val="en-AU" w:eastAsia="en-AU"/>
            </w:rPr>
            <w:drawing>
              <wp:anchor distT="0" distB="0" distL="114300" distR="114300" simplePos="0" relativeHeight="251661312" behindDoc="0" locked="0" layoutInCell="1" allowOverlap="1" wp14:anchorId="2F8B67B1" wp14:editId="1215C659">
                <wp:simplePos x="0" y="0"/>
                <wp:positionH relativeFrom="leftMargin">
                  <wp:posOffset>523610</wp:posOffset>
                </wp:positionH>
                <wp:positionV relativeFrom="paragraph">
                  <wp:posOffset>77160</wp:posOffset>
                </wp:positionV>
                <wp:extent cx="626110" cy="543560"/>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rsidR="00C3074E" w:rsidRPr="00D50575" w:rsidRDefault="004D5A01" w:rsidP="00C3074E">
          <w:pPr>
            <w:tabs>
              <w:tab w:val="center" w:pos="4513"/>
              <w:tab w:val="right" w:pos="9026"/>
            </w:tabs>
            <w:jc w:val="center"/>
            <w:rPr>
              <w:i/>
              <w:sz w:val="18"/>
              <w:szCs w:val="19"/>
            </w:rPr>
          </w:pPr>
        </w:p>
        <w:p w:rsidR="00C3074E" w:rsidRPr="00D50575" w:rsidRDefault="004D5A01" w:rsidP="00C3074E">
          <w:pPr>
            <w:tabs>
              <w:tab w:val="center" w:pos="4513"/>
              <w:tab w:val="right" w:pos="9026"/>
            </w:tabs>
            <w:jc w:val="center"/>
            <w:rPr>
              <w:i/>
              <w:sz w:val="18"/>
              <w:szCs w:val="19"/>
            </w:rPr>
          </w:pPr>
        </w:p>
        <w:p w:rsidR="00C3074E" w:rsidRPr="00D50575" w:rsidRDefault="00E65724" w:rsidP="00C3074E">
          <w:pPr>
            <w:tabs>
              <w:tab w:val="center" w:pos="4513"/>
              <w:tab w:val="right" w:pos="9026"/>
            </w:tabs>
            <w:jc w:val="center"/>
            <w:rPr>
              <w:i/>
              <w:sz w:val="18"/>
              <w:szCs w:val="19"/>
            </w:rPr>
          </w:pPr>
          <w:r w:rsidRPr="00D50575">
            <w:rPr>
              <w:i/>
              <w:sz w:val="18"/>
              <w:szCs w:val="19"/>
            </w:rPr>
            <w:t>PJSI is funded by the New Zealand Government and implemented by the Federal Court of Australia</w:t>
          </w:r>
        </w:p>
        <w:p w:rsidR="00C3074E" w:rsidRPr="00D50575" w:rsidRDefault="004D5A01" w:rsidP="00C3074E">
          <w:pPr>
            <w:tabs>
              <w:tab w:val="center" w:pos="4513"/>
              <w:tab w:val="right" w:pos="9026"/>
            </w:tabs>
            <w:jc w:val="center"/>
            <w:rPr>
              <w:i/>
              <w:sz w:val="18"/>
              <w:szCs w:val="19"/>
            </w:rPr>
          </w:pPr>
        </w:p>
        <w:p w:rsidR="00C3074E" w:rsidRPr="00D50575" w:rsidRDefault="004D5A01" w:rsidP="00C3074E">
          <w:pPr>
            <w:tabs>
              <w:tab w:val="center" w:pos="4513"/>
              <w:tab w:val="right" w:pos="9026"/>
            </w:tabs>
            <w:jc w:val="center"/>
          </w:pPr>
        </w:p>
      </w:tc>
      <w:tc>
        <w:tcPr>
          <w:tcW w:w="1408" w:type="dxa"/>
          <w:tcBorders>
            <w:left w:val="nil"/>
            <w:right w:val="nil"/>
          </w:tcBorders>
        </w:tcPr>
        <w:p w:rsidR="00C3074E" w:rsidRPr="00D50575" w:rsidRDefault="00E65724" w:rsidP="00C3074E">
          <w:pPr>
            <w:tabs>
              <w:tab w:val="center" w:pos="4513"/>
              <w:tab w:val="right" w:pos="9026"/>
            </w:tabs>
          </w:pPr>
          <w:r w:rsidRPr="00D50575">
            <w:rPr>
              <w:noProof/>
              <w:sz w:val="20"/>
              <w:szCs w:val="20"/>
              <w:lang w:val="en-AU" w:eastAsia="en-AU"/>
            </w:rPr>
            <w:drawing>
              <wp:anchor distT="0" distB="0" distL="114300" distR="114300" simplePos="0" relativeHeight="251662336" behindDoc="0" locked="0" layoutInCell="1" allowOverlap="1" wp14:anchorId="6866FE06" wp14:editId="522C2723">
                <wp:simplePos x="0" y="0"/>
                <wp:positionH relativeFrom="rightMargin">
                  <wp:posOffset>-712440</wp:posOffset>
                </wp:positionH>
                <wp:positionV relativeFrom="paragraph">
                  <wp:posOffset>124622</wp:posOffset>
                </wp:positionV>
                <wp:extent cx="675640" cy="501650"/>
                <wp:effectExtent l="0" t="0" r="0" b="0"/>
                <wp:wrapNone/>
                <wp:docPr id="6" name="Picture 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rsidR="00C3074E" w:rsidRPr="00D50575" w:rsidRDefault="004D5A01" w:rsidP="00C3074E">
          <w:pPr>
            <w:tabs>
              <w:tab w:val="center" w:pos="4513"/>
              <w:tab w:val="right" w:pos="9026"/>
            </w:tabs>
          </w:pPr>
        </w:p>
        <w:p w:rsidR="00C3074E" w:rsidRPr="00D50575" w:rsidRDefault="00E65724" w:rsidP="00C3074E">
          <w:pPr>
            <w:tabs>
              <w:tab w:val="center" w:pos="4513"/>
              <w:tab w:val="right" w:pos="9026"/>
            </w:tabs>
          </w:pPr>
          <w:r w:rsidRPr="00D50575">
            <w:t xml:space="preserve"> </w:t>
          </w:r>
          <w:r w:rsidRPr="00D50575">
            <w:fldChar w:fldCharType="begin"/>
          </w:r>
          <w:r w:rsidRPr="00D50575">
            <w:instrText xml:space="preserve"> PAGE   \* MERGEFORMAT </w:instrText>
          </w:r>
          <w:r w:rsidRPr="00D50575">
            <w:fldChar w:fldCharType="separate"/>
          </w:r>
          <w:r w:rsidR="004D5A01">
            <w:rPr>
              <w:noProof/>
            </w:rPr>
            <w:t>3</w:t>
          </w:r>
          <w:r w:rsidRPr="00D50575">
            <w:rPr>
              <w:noProof/>
            </w:rPr>
            <w:fldChar w:fldCharType="end"/>
          </w:r>
        </w:p>
      </w:tc>
    </w:tr>
  </w:tbl>
  <w:p w:rsidR="00C3074E" w:rsidRDefault="004D5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5A01">
      <w:r>
        <w:separator/>
      </w:r>
    </w:p>
  </w:footnote>
  <w:footnote w:type="continuationSeparator" w:id="0">
    <w:p w:rsidR="00000000" w:rsidRDefault="004D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4E" w:rsidRPr="00AA5B21" w:rsidRDefault="00E65724" w:rsidP="00C3074E">
    <w:pPr>
      <w:tabs>
        <w:tab w:val="left" w:pos="1276"/>
      </w:tabs>
      <w:ind w:left="1276" w:right="1168"/>
      <w:rPr>
        <w:rFonts w:eastAsia="Times New Roman" w:cs="Times New Roman"/>
        <w:b/>
        <w:i/>
        <w:noProof/>
        <w:sz w:val="20"/>
        <w:szCs w:val="20"/>
      </w:rPr>
    </w:pPr>
    <w:r w:rsidRPr="00AA5B21">
      <w:rPr>
        <w:rFonts w:eastAsia="Times New Roman" w:cs="Times New Roman"/>
        <w:b/>
        <w:i/>
        <w:noProof/>
        <w:sz w:val="20"/>
        <w:szCs w:val="20"/>
        <w:lang w:val="en-AU" w:eastAsia="en-AU"/>
      </w:rPr>
      <w:drawing>
        <wp:anchor distT="0" distB="0" distL="114300" distR="114300" simplePos="0" relativeHeight="251659264" behindDoc="0" locked="0" layoutInCell="1" allowOverlap="1" wp14:anchorId="51C7E1D7" wp14:editId="7C2FE725">
          <wp:simplePos x="0" y="0"/>
          <wp:positionH relativeFrom="column">
            <wp:posOffset>4525172</wp:posOffset>
          </wp:positionH>
          <wp:positionV relativeFrom="paragraph">
            <wp:posOffset>42545</wp:posOffset>
          </wp:positionV>
          <wp:extent cx="1749425" cy="503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anchor>
      </w:drawing>
    </w:r>
  </w:p>
  <w:p w:rsidR="00C3074E" w:rsidRPr="00AA5B21" w:rsidRDefault="004D5A01" w:rsidP="00C3074E">
    <w:pPr>
      <w:tabs>
        <w:tab w:val="left" w:pos="1276"/>
      </w:tabs>
      <w:ind w:left="1276" w:right="1168"/>
      <w:rPr>
        <w:rFonts w:eastAsia="Times New Roman" w:cs="Times New Roman"/>
        <w:b/>
        <w:i/>
        <w:noProof/>
        <w:sz w:val="20"/>
        <w:szCs w:val="20"/>
      </w:rPr>
    </w:pPr>
  </w:p>
  <w:p w:rsidR="00C3074E" w:rsidRPr="00871F73" w:rsidRDefault="00E65724" w:rsidP="00956224">
    <w:pPr>
      <w:tabs>
        <w:tab w:val="left" w:pos="1276"/>
      </w:tabs>
      <w:ind w:right="1168"/>
      <w:rPr>
        <w:rFonts w:eastAsia="Times New Roman"/>
        <w:lang w:eastAsia="en-AU"/>
      </w:rPr>
    </w:pPr>
    <w:r w:rsidRPr="00871F73">
      <w:rPr>
        <w:rFonts w:eastAsia="Times New Roman"/>
        <w:b/>
        <w:i/>
        <w:noProof/>
        <w:sz w:val="20"/>
        <w:szCs w:val="20"/>
        <w:lang w:val="en-AU" w:eastAsia="en-AU"/>
      </w:rPr>
      <w:drawing>
        <wp:anchor distT="0" distB="0" distL="114300" distR="114300" simplePos="0" relativeHeight="251660288" behindDoc="0" locked="0" layoutInCell="1" allowOverlap="1" wp14:anchorId="54C361D0" wp14:editId="668C4DA4">
          <wp:simplePos x="0" y="0"/>
          <wp:positionH relativeFrom="column">
            <wp:posOffset>-904269</wp:posOffset>
          </wp:positionH>
          <wp:positionV relativeFrom="paragraph">
            <wp:posOffset>192877</wp:posOffset>
          </wp:positionV>
          <wp:extent cx="5391150" cy="45085"/>
          <wp:effectExtent l="0" t="0" r="0" b="0"/>
          <wp:wrapNone/>
          <wp:docPr id="3" name="Picture 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Picture 172" descr="C:\Users\Stone0c\AppData\Local\Microsoft\Windows\INetCache\Content.Word\ribbon-tr.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391150" cy="45085"/>
                  </a:xfrm>
                  <a:prstGeom prst="rect">
                    <a:avLst/>
                  </a:prstGeom>
                  <a:noFill/>
                  <a:ln>
                    <a:noFill/>
                  </a:ln>
                </pic:spPr>
              </pic:pic>
            </a:graphicData>
          </a:graphic>
          <wp14:sizeRelH relativeFrom="margin">
            <wp14:pctWidth>0</wp14:pctWidth>
          </wp14:sizeRelH>
        </wp:anchor>
      </w:drawing>
    </w:r>
    <w:r w:rsidRPr="00871F73">
      <w:rPr>
        <w:rFonts w:eastAsia="Times New Roman"/>
        <w:b/>
        <w:i/>
        <w:noProof/>
        <w:sz w:val="20"/>
        <w:szCs w:val="20"/>
      </w:rPr>
      <w:t xml:space="preserve">PJSI: </w:t>
    </w:r>
    <w:r w:rsidRPr="00871F73">
      <w:rPr>
        <w:rFonts w:eastAsia="Times New Roman"/>
        <w:noProof/>
        <w:sz w:val="20"/>
        <w:szCs w:val="20"/>
      </w:rPr>
      <w:t>PNG.CJE T</w:t>
    </w:r>
    <w:r>
      <w:rPr>
        <w:rFonts w:eastAsia="Times New Roman"/>
        <w:noProof/>
        <w:sz w:val="20"/>
        <w:szCs w:val="20"/>
      </w:rPr>
      <w:t xml:space="preserve">oT – </w:t>
    </w:r>
    <w:r w:rsidR="004D5A01">
      <w:rPr>
        <w:rFonts w:eastAsia="Times New Roman"/>
        <w:noProof/>
        <w:sz w:val="20"/>
        <w:szCs w:val="20"/>
      </w:rPr>
      <w:t>Case Study &amp; ‘Put yourself in the shoes of’ exercise</w:t>
    </w:r>
  </w:p>
  <w:p w:rsidR="00C3074E" w:rsidRPr="00AA5B21" w:rsidRDefault="004D5A01" w:rsidP="00C3074E">
    <w:pPr>
      <w:tabs>
        <w:tab w:val="left" w:pos="1276"/>
      </w:tabs>
      <w:ind w:right="1168"/>
      <w:rPr>
        <w:rFonts w:eastAsia="Times New Roman" w:cs="Times New Roman"/>
        <w:b/>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534C"/>
    <w:multiLevelType w:val="hybridMultilevel"/>
    <w:tmpl w:val="DD0E2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B7A4A"/>
    <w:multiLevelType w:val="hybridMultilevel"/>
    <w:tmpl w:val="44F4D708"/>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D55CC"/>
    <w:multiLevelType w:val="hybridMultilevel"/>
    <w:tmpl w:val="58D093D2"/>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3D3C21"/>
    <w:multiLevelType w:val="hybridMultilevel"/>
    <w:tmpl w:val="E2B263B8"/>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34E3D"/>
    <w:multiLevelType w:val="hybridMultilevel"/>
    <w:tmpl w:val="91607614"/>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A4C24"/>
    <w:multiLevelType w:val="hybridMultilevel"/>
    <w:tmpl w:val="7544246C"/>
    <w:lvl w:ilvl="0" w:tplc="D5942A8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DC26F53"/>
    <w:multiLevelType w:val="hybridMultilevel"/>
    <w:tmpl w:val="1DAC9248"/>
    <w:lvl w:ilvl="0" w:tplc="D5942A82">
      <w:start w:val="1"/>
      <w:numFmt w:val="bullet"/>
      <w:lvlText w:val=""/>
      <w:lvlJc w:val="left"/>
      <w:pPr>
        <w:ind w:left="720" w:hanging="360"/>
      </w:pPr>
      <w:rPr>
        <w:rFonts w:ascii="Symbol" w:hAnsi="Symbol" w:hint="default"/>
      </w:rPr>
    </w:lvl>
    <w:lvl w:ilvl="1" w:tplc="D5942A8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0C3CE7"/>
    <w:multiLevelType w:val="hybridMultilevel"/>
    <w:tmpl w:val="6D5CCAEC"/>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CD219B"/>
    <w:multiLevelType w:val="hybridMultilevel"/>
    <w:tmpl w:val="EB303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7304CA"/>
    <w:multiLevelType w:val="hybridMultilevel"/>
    <w:tmpl w:val="B33C8744"/>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DE2511"/>
    <w:multiLevelType w:val="hybridMultilevel"/>
    <w:tmpl w:val="6D5E0C00"/>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E346A0"/>
    <w:multiLevelType w:val="hybridMultilevel"/>
    <w:tmpl w:val="4DF4E7F0"/>
    <w:lvl w:ilvl="0" w:tplc="D5942A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11"/>
  </w:num>
  <w:num w:numId="7">
    <w:abstractNumId w:val="7"/>
  </w:num>
  <w:num w:numId="8">
    <w:abstractNumId w:val="10"/>
  </w:num>
  <w:num w:numId="9">
    <w:abstractNumId w:val="9"/>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24"/>
    <w:rsid w:val="004D5A01"/>
    <w:rsid w:val="007E3065"/>
    <w:rsid w:val="00CF6902"/>
    <w:rsid w:val="00E65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45FA"/>
  <w15:chartTrackingRefBased/>
  <w15:docId w15:val="{6A9A7AFD-A2CA-46FD-8426-7CCB99D1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5724"/>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5724"/>
    <w:rPr>
      <w:sz w:val="24"/>
      <w:szCs w:val="24"/>
    </w:rPr>
  </w:style>
  <w:style w:type="character" w:customStyle="1" w:styleId="BodyTextChar">
    <w:name w:val="Body Text Char"/>
    <w:basedOn w:val="DefaultParagraphFont"/>
    <w:link w:val="BodyText"/>
    <w:uiPriority w:val="1"/>
    <w:rsid w:val="00E65724"/>
    <w:rPr>
      <w:rFonts w:ascii="Calibri" w:eastAsia="Calibri" w:hAnsi="Calibri" w:cs="Calibri"/>
      <w:sz w:val="24"/>
      <w:szCs w:val="24"/>
      <w:lang w:val="en-US"/>
    </w:rPr>
  </w:style>
  <w:style w:type="paragraph" w:styleId="ListParagraph">
    <w:name w:val="List Paragraph"/>
    <w:aliases w:val="Table Bullet"/>
    <w:basedOn w:val="Normal"/>
    <w:link w:val="ListParagraphChar"/>
    <w:uiPriority w:val="34"/>
    <w:qFormat/>
    <w:rsid w:val="00E65724"/>
    <w:pPr>
      <w:ind w:left="2160" w:hanging="360"/>
    </w:pPr>
  </w:style>
  <w:style w:type="paragraph" w:styleId="Footer">
    <w:name w:val="footer"/>
    <w:basedOn w:val="Normal"/>
    <w:link w:val="FooterChar"/>
    <w:uiPriority w:val="99"/>
    <w:unhideWhenUsed/>
    <w:rsid w:val="00E65724"/>
    <w:pPr>
      <w:tabs>
        <w:tab w:val="center" w:pos="4513"/>
        <w:tab w:val="right" w:pos="9026"/>
      </w:tabs>
    </w:pPr>
  </w:style>
  <w:style w:type="character" w:customStyle="1" w:styleId="FooterChar">
    <w:name w:val="Footer Char"/>
    <w:basedOn w:val="DefaultParagraphFont"/>
    <w:link w:val="Footer"/>
    <w:uiPriority w:val="99"/>
    <w:rsid w:val="00E65724"/>
    <w:rPr>
      <w:rFonts w:ascii="Calibri" w:eastAsia="Calibri" w:hAnsi="Calibri" w:cs="Calibri"/>
      <w:lang w:val="en-US"/>
    </w:rPr>
  </w:style>
  <w:style w:type="table" w:customStyle="1" w:styleId="TableGrid1">
    <w:name w:val="Table Grid1"/>
    <w:basedOn w:val="TableNormal"/>
    <w:next w:val="TableGrid"/>
    <w:uiPriority w:val="39"/>
    <w:rsid w:val="00E6572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 Char"/>
    <w:link w:val="ListParagraph"/>
    <w:uiPriority w:val="34"/>
    <w:locked/>
    <w:rsid w:val="00E65724"/>
    <w:rPr>
      <w:rFonts w:ascii="Calibri" w:eastAsia="Calibri" w:hAnsi="Calibri" w:cs="Calibri"/>
      <w:lang w:val="en-US"/>
    </w:rPr>
  </w:style>
  <w:style w:type="table" w:styleId="TableGrid">
    <w:name w:val="Table Grid"/>
    <w:basedOn w:val="TableNormal"/>
    <w:uiPriority w:val="39"/>
    <w:rsid w:val="00E65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A01"/>
    <w:pPr>
      <w:tabs>
        <w:tab w:val="center" w:pos="4513"/>
        <w:tab w:val="right" w:pos="9026"/>
      </w:tabs>
    </w:pPr>
  </w:style>
  <w:style w:type="character" w:customStyle="1" w:styleId="HeaderChar">
    <w:name w:val="Header Char"/>
    <w:basedOn w:val="DefaultParagraphFont"/>
    <w:link w:val="Header"/>
    <w:uiPriority w:val="99"/>
    <w:rsid w:val="004D5A0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Price</dc:creator>
  <cp:keywords/>
  <dc:description/>
  <cp:lastModifiedBy>Madeline Price</cp:lastModifiedBy>
  <cp:revision>2</cp:revision>
  <dcterms:created xsi:type="dcterms:W3CDTF">2020-08-17T22:02:00Z</dcterms:created>
  <dcterms:modified xsi:type="dcterms:W3CDTF">2020-08-17T22:12:00Z</dcterms:modified>
</cp:coreProperties>
</file>