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46" w:rsidRDefault="00222E46">
      <w:bookmarkStart w:id="0" w:name="_GoBack"/>
      <w:bookmarkEnd w:id="0"/>
    </w:p>
    <w:p w:rsidR="00222E46" w:rsidRPr="00222E46" w:rsidRDefault="00222E46" w:rsidP="00222E46"/>
    <w:p w:rsidR="00222E46" w:rsidRDefault="00222E46" w:rsidP="00222E46"/>
    <w:p w:rsidR="002502DE" w:rsidRPr="00222E46" w:rsidRDefault="00222E46" w:rsidP="002502DE">
      <w:pPr>
        <w:spacing w:before="240" w:after="0" w:line="240" w:lineRule="auto"/>
        <w:jc w:val="center"/>
        <w:rPr>
          <w:rFonts w:ascii="Arial Narrow" w:hAnsi="Arial Narrow"/>
          <w:b/>
          <w:i/>
          <w:smallCaps/>
          <w:sz w:val="56"/>
          <w:szCs w:val="68"/>
        </w:rPr>
      </w:pPr>
      <w:r>
        <w:tab/>
      </w:r>
      <w:r w:rsidR="002502DE" w:rsidRPr="00222E46">
        <w:rPr>
          <w:rFonts w:ascii="Arial Narrow" w:hAnsi="Arial Narrow"/>
          <w:b/>
          <w:i/>
          <w:smallCaps/>
          <w:sz w:val="56"/>
          <w:szCs w:val="68"/>
        </w:rPr>
        <w:t xml:space="preserve">Annual Court Reporting Toolkit - </w:t>
      </w:r>
    </w:p>
    <w:p w:rsidR="002502DE" w:rsidRPr="00222E46" w:rsidRDefault="002502DE" w:rsidP="002502DE">
      <w:pPr>
        <w:spacing w:before="240" w:after="0" w:line="240" w:lineRule="auto"/>
        <w:jc w:val="center"/>
        <w:rPr>
          <w:rFonts w:ascii="Arial Narrow" w:hAnsi="Arial Narrow"/>
          <w:b/>
          <w:i/>
          <w:smallCaps/>
          <w:sz w:val="56"/>
          <w:szCs w:val="68"/>
        </w:rPr>
      </w:pPr>
      <w:r w:rsidRPr="00222E46">
        <w:rPr>
          <w:rFonts w:ascii="Arial Narrow" w:hAnsi="Arial Narrow"/>
          <w:b/>
          <w:i/>
          <w:smallCaps/>
          <w:sz w:val="56"/>
          <w:szCs w:val="68"/>
        </w:rPr>
        <w:t>Additional Documentation</w:t>
      </w:r>
    </w:p>
    <w:p w:rsidR="002502DE" w:rsidRDefault="002502DE" w:rsidP="002502DE">
      <w:pPr>
        <w:tabs>
          <w:tab w:val="left" w:pos="2579"/>
        </w:tabs>
        <w:spacing w:after="0" w:line="240" w:lineRule="auto"/>
      </w:pPr>
    </w:p>
    <w:p w:rsidR="002502DE" w:rsidRDefault="002502DE" w:rsidP="002502DE">
      <w:pPr>
        <w:tabs>
          <w:tab w:val="left" w:pos="2579"/>
        </w:tabs>
        <w:spacing w:after="0" w:line="240" w:lineRule="auto"/>
      </w:pPr>
    </w:p>
    <w:p w:rsidR="002502DE" w:rsidRDefault="002502DE" w:rsidP="002502DE">
      <w:pPr>
        <w:tabs>
          <w:tab w:val="left" w:pos="2579"/>
        </w:tabs>
        <w:spacing w:after="0" w:line="240" w:lineRule="auto"/>
      </w:pPr>
    </w:p>
    <w:p w:rsidR="002502DE" w:rsidRDefault="002502DE" w:rsidP="002502DE">
      <w:pPr>
        <w:tabs>
          <w:tab w:val="left" w:pos="2579"/>
        </w:tabs>
        <w:spacing w:after="0" w:line="240" w:lineRule="auto"/>
      </w:pPr>
    </w:p>
    <w:p w:rsidR="002502DE" w:rsidRPr="001474F6" w:rsidRDefault="002502DE" w:rsidP="002502DE">
      <w:pPr>
        <w:jc w:val="center"/>
        <w:rPr>
          <w:rFonts w:ascii="Arial Narrow" w:hAnsi="Arial Narrow"/>
          <w:sz w:val="23"/>
          <w:szCs w:val="23"/>
        </w:rPr>
      </w:pPr>
      <w:r w:rsidRPr="001474F6">
        <w:rPr>
          <w:rFonts w:ascii="Arial Narrow" w:hAnsi="Arial Narrow"/>
          <w:sz w:val="23"/>
          <w:szCs w:val="23"/>
        </w:rPr>
        <w:t xml:space="preserve">Available at: </w:t>
      </w:r>
      <w:hyperlink r:id="rId8" w:history="1">
        <w:r w:rsidRPr="001474F6">
          <w:rPr>
            <w:rStyle w:val="Hyperlink"/>
            <w:szCs w:val="23"/>
          </w:rPr>
          <w:t>http://www.fedcourt.gov.au/pjdp/pjdp-toolkits</w:t>
        </w:r>
      </w:hyperlink>
      <w:r w:rsidRPr="001474F6">
        <w:rPr>
          <w:rFonts w:ascii="Arial Narrow" w:hAnsi="Arial Narrow"/>
          <w:sz w:val="23"/>
          <w:szCs w:val="23"/>
        </w:rPr>
        <w:t xml:space="preserve"> </w:t>
      </w:r>
    </w:p>
    <w:p w:rsidR="002502DE" w:rsidRPr="00222E46" w:rsidRDefault="002502DE" w:rsidP="002502DE"/>
    <w:p w:rsidR="002502DE" w:rsidRPr="00222E46" w:rsidRDefault="002502DE" w:rsidP="002502DE"/>
    <w:p w:rsidR="002502DE" w:rsidRPr="00222E46" w:rsidRDefault="002502DE" w:rsidP="002502DE"/>
    <w:p w:rsidR="002502DE" w:rsidRPr="00222E46" w:rsidRDefault="002502DE" w:rsidP="002502DE"/>
    <w:p w:rsidR="002502DE" w:rsidRPr="00222E46" w:rsidRDefault="002502DE" w:rsidP="002502DE"/>
    <w:p w:rsidR="002502DE" w:rsidRDefault="002502DE" w:rsidP="002502DE"/>
    <w:p w:rsidR="002502DE" w:rsidRDefault="002502DE" w:rsidP="002502DE"/>
    <w:p w:rsidR="002502DE" w:rsidRDefault="002502DE" w:rsidP="002502DE"/>
    <w:p w:rsidR="002502DE" w:rsidRDefault="002502DE" w:rsidP="002502DE"/>
    <w:p w:rsidR="002502DE" w:rsidRDefault="002502DE" w:rsidP="002502DE"/>
    <w:p w:rsidR="002502DE" w:rsidRDefault="002502DE" w:rsidP="002502DE"/>
    <w:p w:rsidR="002502DE" w:rsidRDefault="002502DE" w:rsidP="002502DE"/>
    <w:p w:rsidR="002502DE" w:rsidRPr="00222E46" w:rsidRDefault="002502DE" w:rsidP="002502DE"/>
    <w:p w:rsidR="002502DE" w:rsidRPr="00222E46" w:rsidRDefault="002502DE" w:rsidP="002502DE"/>
    <w:p w:rsidR="002502DE" w:rsidRPr="001474F6" w:rsidRDefault="002502DE" w:rsidP="002502DE">
      <w:pPr>
        <w:rPr>
          <w:rFonts w:ascii="Arial Narrow" w:hAnsi="Arial Narrow"/>
          <w:sz w:val="23"/>
          <w:szCs w:val="23"/>
        </w:rPr>
      </w:pPr>
      <w:r w:rsidRPr="001474F6">
        <w:rPr>
          <w:rFonts w:ascii="Arial Narrow" w:eastAsia="MS ??" w:hAnsi="Arial Narrow" w:cs="Times New Roman"/>
          <w:sz w:val="23"/>
          <w:szCs w:val="23"/>
          <w:lang w:eastAsia="en-AU"/>
        </w:rPr>
        <w:t xml:space="preserve">Toolkits are evolving and changes may be made in future versions. For the latest version of </w:t>
      </w:r>
      <w:r w:rsidRP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 xml:space="preserve">this Additional Documentation please </w:t>
      </w:r>
      <w:r w:rsidRPr="001474F6">
        <w:rPr>
          <w:rFonts w:ascii="Arial Narrow" w:eastAsia="MS ??" w:hAnsi="Arial Narrow" w:cs="Times New Roman"/>
          <w:sz w:val="23"/>
          <w:szCs w:val="23"/>
          <w:lang w:eastAsia="en-AU"/>
        </w:rPr>
        <w:t xml:space="preserve">refer to the website – </w:t>
      </w:r>
      <w:r w:rsidRPr="001474F6">
        <w:rPr>
          <w:rFonts w:ascii="Arial Narrow" w:hAnsi="Arial Narrow"/>
          <w:sz w:val="23"/>
          <w:szCs w:val="23"/>
        </w:rPr>
        <w:t xml:space="preserve">Available at: </w:t>
      </w:r>
      <w:hyperlink r:id="rId9" w:history="1">
        <w:r w:rsidRPr="001474F6">
          <w:rPr>
            <w:rStyle w:val="Hyperlink"/>
            <w:szCs w:val="23"/>
          </w:rPr>
          <w:t>http://www.fedcourt.gov.au/pjdp/pjdp-toolkits</w:t>
        </w:r>
      </w:hyperlink>
      <w:r w:rsidRPr="001474F6">
        <w:rPr>
          <w:rFonts w:ascii="Arial Narrow" w:hAnsi="Arial Narrow"/>
          <w:sz w:val="23"/>
          <w:szCs w:val="23"/>
        </w:rPr>
        <w:t xml:space="preserve"> </w:t>
      </w:r>
    </w:p>
    <w:p w:rsidR="002502DE" w:rsidRPr="001474F6" w:rsidRDefault="002502DE" w:rsidP="002502DE">
      <w:pPr>
        <w:spacing w:after="0" w:line="240" w:lineRule="auto"/>
        <w:rPr>
          <w:rFonts w:ascii="Arial Narrow" w:eastAsia="MS ??" w:hAnsi="Arial Narrow" w:cs="Times New Roman"/>
          <w:sz w:val="23"/>
          <w:szCs w:val="23"/>
          <w:lang w:eastAsia="en-AU"/>
        </w:rPr>
      </w:pPr>
    </w:p>
    <w:p w:rsidR="00222E46" w:rsidRDefault="002502DE" w:rsidP="002502DE">
      <w:pPr>
        <w:spacing w:after="0" w:line="240" w:lineRule="auto"/>
      </w:pPr>
      <w:r w:rsidRP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>Note: While every effort has been made to produce informative and educative tools, the applicability of these may vary depending on co</w:t>
      </w:r>
      <w:r>
        <w:rPr>
          <w:rFonts w:ascii="Arial Narrow" w:eastAsia="MS ??" w:hAnsi="Arial Narrow" w:cs="Times New Roman"/>
          <w:sz w:val="23"/>
          <w:szCs w:val="23"/>
          <w:lang w:val="en-US" w:eastAsia="en-AU"/>
        </w:rPr>
        <w:t>untry and regional circumstance.</w:t>
      </w:r>
    </w:p>
    <w:p w:rsidR="00222E46" w:rsidRPr="00222E46" w:rsidRDefault="00222E46" w:rsidP="00222E46">
      <w:pPr>
        <w:sectPr w:rsidR="00222E46" w:rsidRPr="00222E46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22E46" w:rsidRDefault="00222E46">
      <w:pPr>
        <w:sectPr w:rsidR="00222E46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5917" w:rsidRDefault="00545917" w:rsidP="00545917">
      <w:pPr>
        <w:keepNext/>
        <w:spacing w:after="0" w:line="240" w:lineRule="auto"/>
        <w:outlineLvl w:val="0"/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</w:pPr>
      <w:bookmarkStart w:id="1" w:name="_Toc399944795"/>
      <w:r w:rsidRPr="00545917"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  <w:lastRenderedPageBreak/>
        <w:t xml:space="preserve">Annex </w:t>
      </w:r>
      <w:r w:rsidR="005B4C88"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  <w:t>15</w:t>
      </w:r>
      <w:bookmarkEnd w:id="1"/>
      <w:r w:rsidR="005B4C88"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  <w:t>:</w:t>
      </w:r>
      <w:r w:rsidR="005B4C88" w:rsidRPr="005B4C88"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  <w:t xml:space="preserve"> </w:t>
      </w:r>
      <w:r w:rsidR="005B4C88"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  <w:t>Checklist for sex, age and disability inclusive data in annual reports</w:t>
      </w:r>
    </w:p>
    <w:p w:rsidR="001A5600" w:rsidRPr="00545917" w:rsidRDefault="001A5600" w:rsidP="00545917">
      <w:pPr>
        <w:keepNext/>
        <w:spacing w:after="0" w:line="240" w:lineRule="auto"/>
        <w:outlineLvl w:val="0"/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</w:pPr>
    </w:p>
    <w:p w:rsidR="005B4C88" w:rsidRDefault="005B4C88" w:rsidP="005B4C88">
      <w:pPr>
        <w:jc w:val="center"/>
        <w:rPr>
          <w:rFonts w:ascii="Helvetica Neue" w:hAnsi="Helvetica Neue"/>
          <w:b/>
          <w:bCs/>
          <w:i/>
          <w:color w:val="365F91" w:themeColor="accent1" w:themeShade="BF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F3B8534" wp14:editId="59720BD5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359462" cy="1371600"/>
            <wp:effectExtent l="0" t="0" r="1270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6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73CD275" wp14:editId="43629172">
            <wp:simplePos x="0" y="0"/>
            <wp:positionH relativeFrom="column">
              <wp:posOffset>7400925</wp:posOffset>
            </wp:positionH>
            <wp:positionV relativeFrom="paragraph">
              <wp:posOffset>60960</wp:posOffset>
            </wp:positionV>
            <wp:extent cx="1330167" cy="1160096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67" cy="116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37728C12" wp14:editId="40745738">
            <wp:simplePos x="0" y="0"/>
            <wp:positionH relativeFrom="column">
              <wp:posOffset>5676265</wp:posOffset>
            </wp:positionH>
            <wp:positionV relativeFrom="paragraph">
              <wp:posOffset>64770</wp:posOffset>
            </wp:positionV>
            <wp:extent cx="1310017" cy="131026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17" cy="13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4A42E087" wp14:editId="02AC6514">
            <wp:simplePos x="0" y="0"/>
            <wp:positionH relativeFrom="column">
              <wp:posOffset>3919220</wp:posOffset>
            </wp:positionH>
            <wp:positionV relativeFrom="paragraph">
              <wp:posOffset>-36830</wp:posOffset>
            </wp:positionV>
            <wp:extent cx="1600137" cy="13144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37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AAE4F10" wp14:editId="7C1BE563">
            <wp:simplePos x="0" y="0"/>
            <wp:positionH relativeFrom="column">
              <wp:posOffset>2107565</wp:posOffset>
            </wp:positionH>
            <wp:positionV relativeFrom="paragraph">
              <wp:posOffset>-57150</wp:posOffset>
            </wp:positionV>
            <wp:extent cx="1644694" cy="1341615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94" cy="134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C88" w:rsidRDefault="005B4C88" w:rsidP="005B4C88">
      <w:pPr>
        <w:jc w:val="center"/>
        <w:rPr>
          <w:rFonts w:ascii="Helvetica Neue" w:hAnsi="Helvetica Neue"/>
          <w:b/>
          <w:bCs/>
          <w:i/>
          <w:color w:val="365F91" w:themeColor="accent1" w:themeShade="BF"/>
        </w:rPr>
      </w:pPr>
    </w:p>
    <w:p w:rsidR="005B4C88" w:rsidRDefault="005B4C88" w:rsidP="005B4C88">
      <w:pPr>
        <w:jc w:val="center"/>
        <w:rPr>
          <w:rFonts w:ascii="Helvetica Neue" w:hAnsi="Helvetica Neue"/>
          <w:b/>
          <w:bCs/>
          <w:i/>
          <w:color w:val="365F91" w:themeColor="accent1" w:themeShade="BF"/>
        </w:rPr>
      </w:pPr>
    </w:p>
    <w:p w:rsidR="005B4C88" w:rsidRDefault="005B4C88" w:rsidP="005B4C88">
      <w:pPr>
        <w:jc w:val="center"/>
        <w:rPr>
          <w:rFonts w:ascii="Helvetica Neue" w:hAnsi="Helvetica Neue"/>
          <w:b/>
          <w:bCs/>
          <w:i/>
          <w:color w:val="365F91" w:themeColor="accent1" w:themeShade="BF"/>
        </w:rPr>
      </w:pPr>
    </w:p>
    <w:p w:rsidR="005B4C88" w:rsidRDefault="005B4C88" w:rsidP="005B4C88">
      <w:pPr>
        <w:rPr>
          <w:rFonts w:ascii="Helvetica Neue" w:hAnsi="Helvetica Neue"/>
          <w:b/>
          <w:bCs/>
          <w:i/>
          <w:color w:val="365F91" w:themeColor="accent1" w:themeShade="BF"/>
        </w:rPr>
      </w:pPr>
    </w:p>
    <w:p w:rsidR="005B4C88" w:rsidRPr="009D002E" w:rsidRDefault="005B4C88" w:rsidP="005B4C88">
      <w:pPr>
        <w:jc w:val="center"/>
        <w:rPr>
          <w:rFonts w:ascii="Helvetica Neue" w:hAnsi="Helvetica Neue"/>
          <w:b/>
          <w:bCs/>
          <w:i/>
          <w:color w:val="365F91" w:themeColor="accent1" w:themeShade="BF"/>
        </w:rPr>
      </w:pPr>
      <w:r w:rsidRPr="009D002E">
        <w:rPr>
          <w:rFonts w:ascii="Helvetica Neue" w:hAnsi="Helvetica Neue"/>
          <w:b/>
          <w:bCs/>
          <w:color w:val="365F91" w:themeColor="accent1" w:themeShade="BF"/>
        </w:rPr>
        <w:t xml:space="preserve">Checklist for the collection, analysis and presentation of </w:t>
      </w:r>
      <w:r>
        <w:rPr>
          <w:rFonts w:ascii="Helvetica Neue" w:hAnsi="Helvetica Neue"/>
          <w:b/>
          <w:bCs/>
          <w:color w:val="365F91" w:themeColor="accent1" w:themeShade="BF"/>
        </w:rPr>
        <w:t xml:space="preserve">sex, age and disability inclusive </w:t>
      </w:r>
      <w:r w:rsidRPr="009D002E">
        <w:rPr>
          <w:rFonts w:ascii="Helvetica Neue" w:hAnsi="Helvetica Neue"/>
          <w:b/>
          <w:bCs/>
          <w:color w:val="365F91" w:themeColor="accent1" w:themeShade="BF"/>
        </w:rPr>
        <w:t>data in an Annual Report</w:t>
      </w:r>
    </w:p>
    <w:p w:rsidR="005B4C88" w:rsidRPr="009D002E" w:rsidRDefault="005B4C88" w:rsidP="005B4C88">
      <w:pPr>
        <w:spacing w:line="240" w:lineRule="auto"/>
        <w:jc w:val="both"/>
        <w:rPr>
          <w:rFonts w:ascii="Helvetica Neue Light" w:hAnsi="Helvetica Neue Light"/>
          <w:i/>
          <w:color w:val="365F91" w:themeColor="accent1" w:themeShade="BF"/>
        </w:rPr>
      </w:pPr>
      <w:r w:rsidRPr="009D002E">
        <w:rPr>
          <w:rFonts w:ascii="Helvetica Neue Light" w:hAnsi="Helvetica Neue Light"/>
          <w:color w:val="365F91" w:themeColor="accent1" w:themeShade="BF"/>
        </w:rPr>
        <w:t>The data fields identified below will need to be adjusted to take into account how cases are classified in each jurisdiction.</w:t>
      </w:r>
    </w:p>
    <w:p w:rsidR="005B4C88" w:rsidRPr="009D002E" w:rsidRDefault="005B4C88" w:rsidP="005B4C88">
      <w:pPr>
        <w:spacing w:line="240" w:lineRule="auto"/>
        <w:jc w:val="both"/>
        <w:rPr>
          <w:rFonts w:ascii="Helvetica Neue Light" w:hAnsi="Helvetica Neue Light"/>
          <w:i/>
          <w:color w:val="365F91" w:themeColor="accent1" w:themeShade="BF"/>
        </w:rPr>
      </w:pPr>
      <w:r w:rsidRPr="009D002E">
        <w:rPr>
          <w:rFonts w:ascii="Helvetica Neue Light" w:hAnsi="Helvetica Neue Light"/>
          <w:color w:val="365F91" w:themeColor="accent1" w:themeShade="BF"/>
        </w:rPr>
        <w:t>It is helpful to be able to present at least five years data for a data field to enable the reader to understand trends.</w:t>
      </w:r>
    </w:p>
    <w:p w:rsidR="005B4C88" w:rsidRPr="009D002E" w:rsidRDefault="005B4C88" w:rsidP="005B4C88">
      <w:pPr>
        <w:jc w:val="both"/>
        <w:rPr>
          <w:rFonts w:ascii="Helvetica Neue" w:hAnsi="Helvetica Neue"/>
          <w:b/>
          <w:bCs/>
          <w:i/>
          <w:color w:val="365F91" w:themeColor="accent1" w:themeShade="BF"/>
        </w:rPr>
      </w:pPr>
    </w:p>
    <w:tbl>
      <w:tblPr>
        <w:tblStyle w:val="LightShading-Accent1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4752"/>
        <w:gridCol w:w="2761"/>
        <w:gridCol w:w="1843"/>
        <w:gridCol w:w="4111"/>
      </w:tblGrid>
      <w:tr w:rsidR="005B4C88" w:rsidRPr="009D002E" w:rsidTr="00CA7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rPr>
                <w:rFonts w:ascii="Helvetica Neue" w:hAnsi="Helvetica Neue"/>
                <w:i/>
              </w:rPr>
            </w:pPr>
          </w:p>
        </w:tc>
        <w:tc>
          <w:tcPr>
            <w:tcW w:w="4752" w:type="dxa"/>
          </w:tcPr>
          <w:p w:rsidR="005B4C88" w:rsidRPr="009D002E" w:rsidRDefault="005B4C88" w:rsidP="00CA79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i/>
              </w:rPr>
            </w:pPr>
            <w:r w:rsidRPr="009D002E">
              <w:rPr>
                <w:rFonts w:ascii="Helvetica Neue" w:hAnsi="Helvetica Neue"/>
              </w:rPr>
              <w:t>Data Fields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ind w:right="-2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i/>
              </w:rPr>
            </w:pPr>
            <w:r w:rsidRPr="009D002E">
              <w:rPr>
                <w:rFonts w:ascii="Helvetica Neue" w:hAnsi="Helvetica Neue"/>
              </w:rPr>
              <w:t>Is this captured in the case management system?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ind w:right="-2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i/>
              </w:rPr>
            </w:pPr>
            <w:r w:rsidRPr="009D002E">
              <w:rPr>
                <w:rFonts w:ascii="Helvetica Neue" w:hAnsi="Helvetica Neue"/>
              </w:rPr>
              <w:t>Is this data presented in Annual Reports now?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i/>
              </w:rPr>
            </w:pPr>
            <w:r w:rsidRPr="009D002E">
              <w:rPr>
                <w:rFonts w:ascii="Helvetica Neue" w:hAnsi="Helvetica Neue"/>
              </w:rPr>
              <w:t>Notes</w:t>
            </w:r>
          </w:p>
        </w:tc>
      </w:tr>
      <w:tr w:rsidR="005B4C88" w:rsidRPr="009D002E" w:rsidTr="00CA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" w:hAnsi="Helvetica Neue"/>
                <w:i/>
              </w:rPr>
            </w:pPr>
          </w:p>
        </w:tc>
        <w:tc>
          <w:tcPr>
            <w:tcW w:w="4752" w:type="dxa"/>
          </w:tcPr>
          <w:p w:rsidR="005B4C88" w:rsidRPr="009D002E" w:rsidRDefault="005B4C88" w:rsidP="00CA7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i/>
              </w:rPr>
            </w:pPr>
            <w:r w:rsidRPr="009D002E">
              <w:rPr>
                <w:rFonts w:ascii="Helvetica Neue" w:hAnsi="Helvetica Neue"/>
                <w:b/>
                <w:bCs/>
              </w:rPr>
              <w:t>Disaggregated data - Civil cases</w:t>
            </w:r>
          </w:p>
          <w:p w:rsidR="005B4C88" w:rsidRPr="009D002E" w:rsidRDefault="005B4C88" w:rsidP="00CA7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i/>
              </w:rPr>
            </w:pPr>
          </w:p>
        </w:tc>
        <w:tc>
          <w:tcPr>
            <w:tcW w:w="276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i/>
              </w:rPr>
            </w:pPr>
          </w:p>
        </w:tc>
        <w:tc>
          <w:tcPr>
            <w:tcW w:w="1843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i/>
              </w:rPr>
            </w:pP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i/>
              </w:rPr>
            </w:pPr>
          </w:p>
        </w:tc>
      </w:tr>
      <w:tr w:rsidR="005B4C88" w:rsidRPr="009D002E" w:rsidTr="00CA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t>1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Numbers of women and men that are applicant parties in family law and selected civil cases (e.g. divorce cases, property, child custody, child maintenance, adoption, inheritance).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t>2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Number of children under the age of 18 years in divorce cases that are brought to the court.</w:t>
            </w:r>
          </w:p>
          <w:p w:rsidR="005B4C88" w:rsidRPr="009D002E" w:rsidRDefault="005B4C88" w:rsidP="00CA7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This is relevant to ensure that adequate provision is made for child custody and maintenance.</w:t>
            </w:r>
          </w:p>
        </w:tc>
      </w:tr>
      <w:tr w:rsidR="005B4C88" w:rsidRPr="009D002E" w:rsidTr="00CA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t>3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 xml:space="preserve">Number of women and men that request other orders (e.g. property, child custody, child maintenance) as part of their divorce petition to the court in a family law case </w:t>
            </w:r>
          </w:p>
        </w:tc>
        <w:tc>
          <w:tcPr>
            <w:tcW w:w="2761" w:type="dxa"/>
          </w:tcPr>
          <w:p w:rsidR="005B4C88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DB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1843" w:type="dxa"/>
          </w:tcPr>
          <w:p w:rsidR="005B4C88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DB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 xml:space="preserve">This is relevant in those jurisdictions where the applicant may make a number of applications relating to divorce, property, child custody, child maintenance within a single divorce case. It is important to be able to see the full range of orders </w:t>
            </w:r>
            <w:r w:rsidRPr="009D002E">
              <w:rPr>
                <w:rFonts w:ascii="Helvetica Neue Light" w:hAnsi="Helvetica Neue Light"/>
              </w:rPr>
              <w:lastRenderedPageBreak/>
              <w:t>sought from and delivered by the court through the case management system.</w:t>
            </w:r>
          </w:p>
        </w:tc>
      </w:tr>
      <w:tr w:rsidR="005B4C88" w:rsidRPr="009D002E" w:rsidTr="00CA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lastRenderedPageBreak/>
              <w:t>4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 xml:space="preserve">Number of women and men who obtain the orders they sought in their family law application. 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Possible drop down menu options in the case management system: Yes all orders granted/ Yes some orders granted/ No application for orders rejected</w:t>
            </w:r>
          </w:p>
        </w:tc>
      </w:tr>
      <w:tr w:rsidR="005B4C88" w:rsidRPr="009D002E" w:rsidTr="00CA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t>5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 xml:space="preserve">Numbers of divorce cases initiated by women where the woman states that they have experienced </w:t>
            </w:r>
            <w:r w:rsidRPr="009D002E">
              <w:rPr>
                <w:rFonts w:ascii="Helvetica Neue Light" w:hAnsi="Helvetica Neue Light"/>
                <w:lang w:val="en-US"/>
              </w:rPr>
              <w:t xml:space="preserve">domestic violence (refer to </w:t>
            </w:r>
            <w:r w:rsidRPr="009D002E">
              <w:rPr>
                <w:rFonts w:ascii="Helvetica Neue Light" w:hAnsi="Helvetica Neue Light"/>
              </w:rPr>
              <w:t xml:space="preserve">different forms of violence). </w:t>
            </w:r>
          </w:p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 xml:space="preserve">Possible drop down menu options in the case management system and family law application forms: Yes experienced physical violence/ Yes experienced sexual violence/ Yes experiences psychological violence/ Yes experiences financial violence [note: insert forms of violence referred to under national </w:t>
            </w:r>
            <w:r w:rsidRPr="009D002E">
              <w:rPr>
                <w:rFonts w:ascii="Helvetica Neue Light" w:hAnsi="Helvetica Neue Light"/>
              </w:rPr>
              <w:lastRenderedPageBreak/>
              <w:t>legislation].</w:t>
            </w:r>
          </w:p>
        </w:tc>
      </w:tr>
      <w:tr w:rsidR="005B4C88" w:rsidRPr="009D002E" w:rsidTr="00CA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lastRenderedPageBreak/>
              <w:t>6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Number of Family Protection Order/ Restraining Order applications where the applicant/ survivor/victim is a woman, child or man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Distinguish between interim and final protection orders.</w:t>
            </w:r>
          </w:p>
        </w:tc>
      </w:tr>
      <w:tr w:rsidR="005B4C88" w:rsidRPr="009D002E" w:rsidTr="00CA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t>7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Number of Family Protection Order/ Restraini</w:t>
            </w:r>
            <w:r>
              <w:rPr>
                <w:rFonts w:ascii="Helvetica Neue Light" w:hAnsi="Helvetica Neue Light"/>
              </w:rPr>
              <w:t xml:space="preserve">ng Order applications granted/ </w:t>
            </w:r>
            <w:r w:rsidRPr="009D002E">
              <w:rPr>
                <w:rFonts w:ascii="Helvetica Neue Light" w:hAnsi="Helvetica Neue Light"/>
              </w:rPr>
              <w:t>not granted disaggregated by the sex of the applicant party.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</w:p>
        </w:tc>
        <w:tc>
          <w:tcPr>
            <w:tcW w:w="4752" w:type="dxa"/>
          </w:tcPr>
          <w:p w:rsidR="005B4C88" w:rsidRPr="009D002E" w:rsidRDefault="005B4C88" w:rsidP="00CA7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i/>
              </w:rPr>
            </w:pPr>
          </w:p>
          <w:p w:rsidR="005B4C88" w:rsidRPr="00B56C24" w:rsidRDefault="005B4C88" w:rsidP="00CA7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i/>
              </w:rPr>
            </w:pPr>
            <w:r w:rsidRPr="009D002E">
              <w:rPr>
                <w:rFonts w:ascii="Helvetica Neue" w:hAnsi="Helvetica Neue"/>
                <w:b/>
                <w:bCs/>
              </w:rPr>
              <w:t>Disaggregated data - Criminal cases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  <w:tc>
          <w:tcPr>
            <w:tcW w:w="1843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t>8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 xml:space="preserve">Numbers of criminal </w:t>
            </w:r>
            <w:r w:rsidRPr="009D002E">
              <w:rPr>
                <w:rFonts w:ascii="Helvetica Neue Light" w:hAnsi="Helvetica Neue Light"/>
                <w:lang w:val="en-US"/>
              </w:rPr>
              <w:t xml:space="preserve">domestic violence cases disaggregated </w:t>
            </w:r>
            <w:r w:rsidRPr="009D002E">
              <w:rPr>
                <w:rFonts w:ascii="Helvetica Neue Light" w:hAnsi="Helvetica Neue Light"/>
              </w:rPr>
              <w:t>by the sex of the accused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t>9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 xml:space="preserve">Numbers of women/ men/ girls (0-17 years of age)/ boys (0-17 years of age) </w:t>
            </w:r>
            <w:r w:rsidRPr="009D002E">
              <w:rPr>
                <w:rFonts w:ascii="Helvetica Neue Light" w:hAnsi="Helvetica Neue Light"/>
              </w:rPr>
              <w:lastRenderedPageBreak/>
              <w:t xml:space="preserve">who are victim/ survivors in violence cases </w:t>
            </w:r>
          </w:p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lastRenderedPageBreak/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lastRenderedPageBreak/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t>10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Numbers of women/ men/ girls/ boys who are the accused in violence cases</w:t>
            </w:r>
          </w:p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t>11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 xml:space="preserve">The average final sentence in violence cases in which the survivor/ victim is a woman or child disaggregated by the type of offence: murder/ manslaughter/ rape/ sexual assault </w:t>
            </w:r>
          </w:p>
          <w:p w:rsidR="005B4C88" w:rsidRPr="009D002E" w:rsidRDefault="005B4C88" w:rsidP="00CA7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Drop down menu options to include sentencing options common in violence cases. For custodial sentences include a field for the number of months the offender is sentenced so that an average final sentence can be obtained for different types of cases.</w:t>
            </w:r>
          </w:p>
        </w:tc>
      </w:tr>
      <w:tr w:rsidR="005B4C88" w:rsidRPr="009D002E" w:rsidTr="00CA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t>12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The number of violence cases in which the survivor/ victim is a woman or child in which the offender appeals the decision?</w:t>
            </w:r>
          </w:p>
          <w:p w:rsidR="005B4C88" w:rsidRPr="009D002E" w:rsidRDefault="005B4C88" w:rsidP="00CA79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t>13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The number of violence cases in which the survivor/ victim is a woman or child that are the subject of appeal and the finding of guilt is overturned and/or the sentence is reduced.</w:t>
            </w:r>
          </w:p>
          <w:p w:rsidR="005B4C88" w:rsidRPr="009D002E" w:rsidRDefault="005B4C88" w:rsidP="00CA7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Possible drop down menu options in the case management system: Appeal rejected in full/ Appeal granted in relation to a finding of guilt/ Appeal granted in relation to sentence/ Appeal granted in relation to a finding of guilt and in relation to sentence/ include data field on number of months sentence is reduced/ augmented.</w:t>
            </w:r>
          </w:p>
        </w:tc>
      </w:tr>
      <w:tr w:rsidR="005B4C88" w:rsidRPr="009D002E" w:rsidTr="00CA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" w:hAnsi="Helvetica Neue" w:cs="Optima"/>
                <w:i/>
              </w:rPr>
            </w:pPr>
          </w:p>
        </w:tc>
        <w:tc>
          <w:tcPr>
            <w:tcW w:w="4752" w:type="dxa"/>
          </w:tcPr>
          <w:p w:rsidR="005B4C88" w:rsidRPr="009D002E" w:rsidRDefault="005B4C88" w:rsidP="00CA797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  <w:r w:rsidRPr="009D002E">
              <w:rPr>
                <w:rFonts w:ascii="Helvetica Neue" w:hAnsi="Helvetica Neue" w:cs="Optima"/>
                <w:b/>
                <w:bCs/>
              </w:rPr>
              <w:t xml:space="preserve">Cook Island Indicator 5: Court fee waiver </w:t>
            </w:r>
          </w:p>
          <w:p w:rsidR="005B4C88" w:rsidRPr="009D002E" w:rsidRDefault="005B4C88" w:rsidP="00CA797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</w:p>
        </w:tc>
        <w:tc>
          <w:tcPr>
            <w:tcW w:w="2761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</w:p>
        </w:tc>
        <w:tc>
          <w:tcPr>
            <w:tcW w:w="1843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</w:p>
        </w:tc>
      </w:tr>
      <w:tr w:rsidR="005B4C88" w:rsidRPr="009D002E" w:rsidTr="00CA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t>14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 xml:space="preserve">Number of female/ male applicants that </w:t>
            </w:r>
            <w:r w:rsidRPr="009D002E">
              <w:rPr>
                <w:rFonts w:ascii="Helvetica Neue" w:hAnsi="Helvetica Neue"/>
                <w:b/>
              </w:rPr>
              <w:t xml:space="preserve">request </w:t>
            </w:r>
            <w:r w:rsidRPr="009D002E">
              <w:rPr>
                <w:rFonts w:ascii="Helvetica Neue Light" w:hAnsi="Helvetica Neue Light"/>
              </w:rPr>
              <w:t xml:space="preserve">a court fee waiver in their civil cases. </w:t>
            </w:r>
          </w:p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t>15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 xml:space="preserve">Number of female/ male applicants that are </w:t>
            </w:r>
            <w:r w:rsidRPr="009D002E">
              <w:rPr>
                <w:rFonts w:ascii="Helvetica Neue" w:hAnsi="Helvetica Neue"/>
                <w:b/>
              </w:rPr>
              <w:t>granted/  not granted</w:t>
            </w:r>
            <w:r w:rsidRPr="009D002E">
              <w:rPr>
                <w:rFonts w:ascii="Helvetica Neue Light" w:hAnsi="Helvetica Neue Light"/>
              </w:rPr>
              <w:t xml:space="preserve"> a court fee waiver in their civil cases.</w:t>
            </w:r>
          </w:p>
          <w:p w:rsidR="005B4C88" w:rsidRPr="009D002E" w:rsidRDefault="005B4C88" w:rsidP="00CA79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</w:p>
        </w:tc>
        <w:tc>
          <w:tcPr>
            <w:tcW w:w="4752" w:type="dxa"/>
          </w:tcPr>
          <w:p w:rsidR="005B4C88" w:rsidRPr="00B56C24" w:rsidRDefault="005B4C88" w:rsidP="00CA7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  <w:r w:rsidRPr="009D002E">
              <w:rPr>
                <w:rFonts w:ascii="Helvetica Neue" w:hAnsi="Helvetica Neue" w:cs="Optima"/>
                <w:b/>
                <w:bCs/>
              </w:rPr>
              <w:t>Cook Island Indicator 6: Circuit/ island court sittings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  <w:tc>
          <w:tcPr>
            <w:tcW w:w="1843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t>16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Numbers of family and other civil cases disposed of at a circuit/ island court indicating where the applicant party is a woman or a man.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t>17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 xml:space="preserve">Number and percentage of criminal cases/ disposed of at a circuit/ island court indicating where the defendant is a woman or a man. 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</w:p>
        </w:tc>
        <w:tc>
          <w:tcPr>
            <w:tcW w:w="4752" w:type="dxa"/>
          </w:tcPr>
          <w:p w:rsidR="005B4C88" w:rsidRPr="00B56C24" w:rsidRDefault="005B4C88" w:rsidP="00CA797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  <w:r w:rsidRPr="009D002E">
              <w:rPr>
                <w:rFonts w:ascii="Helvetica Neue" w:hAnsi="Helvetica Neue" w:cs="Optima"/>
                <w:b/>
                <w:bCs/>
              </w:rPr>
              <w:t>Cook Island Indicator 7: Legal Aid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  <w:tc>
          <w:tcPr>
            <w:tcW w:w="1843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lastRenderedPageBreak/>
              <w:t>18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Number and percentage of criminal cases where the defendant receives legal aid, disaggregated by man/ woman/ boy (0-17 years). Girls (0-17 years).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t>19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Number and percentage of family cases where the applicant party receives legal aid disaggregated by the sex of the applicant party.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jc w:val="both"/>
              <w:rPr>
                <w:rFonts w:ascii="Helvetica Neue Light" w:hAnsi="Helvetica Neue Light"/>
                <w:b w:val="0"/>
                <w:i/>
              </w:rPr>
            </w:pPr>
            <w:r w:rsidRPr="009D002E">
              <w:rPr>
                <w:rFonts w:ascii="Helvetica Neue Light" w:hAnsi="Helvetica Neue Light"/>
                <w:b w:val="0"/>
              </w:rPr>
              <w:t>20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Number and percentage of other civil cases where the applicant party receives legal aid disaggregated by the sex of the applicant party.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625632" w:rsidRDefault="005B4C88" w:rsidP="00CA797E">
            <w:pPr>
              <w:rPr>
                <w:rFonts w:ascii="Helvetica Neue Light" w:hAnsi="Helvetica Neue Light"/>
                <w:b w:val="0"/>
                <w:bCs w:val="0"/>
                <w:i/>
              </w:rPr>
            </w:pPr>
            <w:r w:rsidRPr="00625632">
              <w:rPr>
                <w:rFonts w:ascii="Helvetica Neue Light" w:hAnsi="Helvetica Neue Light"/>
                <w:b w:val="0"/>
                <w:bCs w:val="0"/>
              </w:rPr>
              <w:t>21</w:t>
            </w:r>
          </w:p>
        </w:tc>
        <w:tc>
          <w:tcPr>
            <w:tcW w:w="4752" w:type="dxa"/>
          </w:tcPr>
          <w:p w:rsidR="005B4C88" w:rsidRDefault="005B4C88" w:rsidP="00CA797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  <w:r>
              <w:rPr>
                <w:rFonts w:ascii="Helvetica Neue" w:hAnsi="Helvetica Neue" w:cs="Optima"/>
                <w:b/>
                <w:bCs/>
              </w:rPr>
              <w:t>Cook Island Indicator 9</w:t>
            </w:r>
            <w:r w:rsidRPr="009D002E">
              <w:rPr>
                <w:rFonts w:ascii="Helvetica Neue" w:hAnsi="Helvetica Neue" w:cs="Optima"/>
                <w:b/>
                <w:bCs/>
              </w:rPr>
              <w:t>:</w:t>
            </w:r>
            <w:r>
              <w:rPr>
                <w:rFonts w:ascii="Helvetica Neue" w:hAnsi="Helvetica Neue" w:cs="Optima"/>
                <w:b/>
                <w:bCs/>
              </w:rPr>
              <w:t xml:space="preserve"> Percentage of Complaints received concerning a judicial officer.</w:t>
            </w:r>
          </w:p>
          <w:p w:rsidR="005B4C88" w:rsidRPr="009D002E" w:rsidRDefault="005B4C88" w:rsidP="00CA797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  <w:r w:rsidRPr="009D002E">
              <w:rPr>
                <w:rFonts w:ascii="Helvetica Neue Light" w:hAnsi="Helvetica Neue Light"/>
              </w:rPr>
              <w:t xml:space="preserve">Number and </w:t>
            </w:r>
            <w:r w:rsidRPr="00625632">
              <w:rPr>
                <w:rFonts w:ascii="Helvetica Neue Light" w:hAnsi="Helvetica Neue Light" w:cs="Optima"/>
                <w:bCs/>
              </w:rPr>
              <w:t xml:space="preserve">percentage of Complaints received concerning a judicial officer </w:t>
            </w:r>
            <w:r w:rsidRPr="00625632">
              <w:rPr>
                <w:rFonts w:ascii="Helvetica Neue Light" w:hAnsi="Helvetica Neue Light" w:cs="Optima"/>
                <w:bCs/>
              </w:rPr>
              <w:lastRenderedPageBreak/>
              <w:t>disaggregated by the sex of the judicial officer.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 w:cs="Optima"/>
                <w:bCs/>
                <w:i/>
              </w:rPr>
            </w:pPr>
          </w:p>
        </w:tc>
      </w:tr>
      <w:tr w:rsidR="005B4C88" w:rsidRPr="009D002E" w:rsidTr="00CA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rPr>
                <w:rFonts w:ascii="Helvetica Neue" w:hAnsi="Helvetica Neue" w:cs="Optima"/>
                <w:i/>
              </w:rPr>
            </w:pPr>
            <w:r>
              <w:rPr>
                <w:rFonts w:ascii="Helvetica Neue" w:hAnsi="Helvetica Neue" w:cs="Optima"/>
              </w:rPr>
              <w:t>22</w:t>
            </w:r>
          </w:p>
        </w:tc>
        <w:tc>
          <w:tcPr>
            <w:tcW w:w="4752" w:type="dxa"/>
          </w:tcPr>
          <w:p w:rsidR="005B4C88" w:rsidRDefault="005B4C88" w:rsidP="00CA797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  <w:r>
              <w:rPr>
                <w:rFonts w:ascii="Helvetica Neue" w:hAnsi="Helvetica Neue" w:cs="Optima"/>
                <w:b/>
                <w:bCs/>
              </w:rPr>
              <w:t>Cook Island Indicator 10</w:t>
            </w:r>
            <w:r w:rsidRPr="009D002E">
              <w:rPr>
                <w:rFonts w:ascii="Helvetica Neue" w:hAnsi="Helvetica Neue" w:cs="Optima"/>
                <w:b/>
                <w:bCs/>
              </w:rPr>
              <w:t>:</w:t>
            </w:r>
            <w:r>
              <w:rPr>
                <w:rFonts w:ascii="Helvetica Neue" w:hAnsi="Helvetica Neue" w:cs="Optima"/>
                <w:b/>
                <w:bCs/>
              </w:rPr>
              <w:t xml:space="preserve"> Percentage of Complaints received concerning a member of court staff.</w:t>
            </w:r>
          </w:p>
          <w:p w:rsidR="005B4C88" w:rsidRPr="009D002E" w:rsidRDefault="005B4C88" w:rsidP="00CA797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  <w:r w:rsidRPr="009D002E">
              <w:rPr>
                <w:rFonts w:ascii="Helvetica Neue Light" w:hAnsi="Helvetica Neue Light"/>
              </w:rPr>
              <w:t xml:space="preserve">Number and </w:t>
            </w:r>
            <w:r w:rsidRPr="00625632">
              <w:rPr>
                <w:rFonts w:ascii="Helvetica Neue Light" w:hAnsi="Helvetica Neue Light" w:cs="Optima"/>
                <w:bCs/>
              </w:rPr>
              <w:t xml:space="preserve">percentage of Complaints received concerning a </w:t>
            </w:r>
            <w:r>
              <w:rPr>
                <w:rFonts w:ascii="Helvetica Neue Light" w:hAnsi="Helvetica Neue Light" w:cs="Optima"/>
                <w:bCs/>
              </w:rPr>
              <w:t xml:space="preserve">member of the court staff </w:t>
            </w:r>
            <w:r w:rsidRPr="00625632">
              <w:rPr>
                <w:rFonts w:ascii="Helvetica Neue Light" w:hAnsi="Helvetica Neue Light" w:cs="Optima"/>
                <w:bCs/>
              </w:rPr>
              <w:t xml:space="preserve"> disaggregated by the sex of the </w:t>
            </w:r>
            <w:r>
              <w:rPr>
                <w:rFonts w:ascii="Helvetica Neue Light" w:hAnsi="Helvetica Neue Light" w:cs="Optima"/>
                <w:bCs/>
              </w:rPr>
              <w:t>staff member</w:t>
            </w:r>
            <w:r w:rsidRPr="00625632">
              <w:rPr>
                <w:rFonts w:ascii="Helvetica Neue Light" w:hAnsi="Helvetica Neue Light" w:cs="Optima"/>
                <w:bCs/>
              </w:rPr>
              <w:t>.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 w:cs="Optima"/>
                <w:bCs/>
                <w:i/>
              </w:rPr>
            </w:pPr>
          </w:p>
        </w:tc>
      </w:tr>
      <w:tr w:rsidR="005B4C88" w:rsidRPr="009D002E" w:rsidTr="00CA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rPr>
                <w:rFonts w:ascii="Helvetica Neue" w:hAnsi="Helvetica Neue" w:cs="Optima"/>
                <w:i/>
              </w:rPr>
            </w:pPr>
            <w:r>
              <w:rPr>
                <w:rFonts w:ascii="Helvetica Neue" w:hAnsi="Helvetica Neue" w:cs="Optima"/>
              </w:rPr>
              <w:t>23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  <w:r w:rsidRPr="009D002E">
              <w:rPr>
                <w:rFonts w:ascii="Helvetica Neue" w:hAnsi="Helvetica Neue" w:cs="Optima"/>
                <w:b/>
                <w:bCs/>
              </w:rPr>
              <w:t>Cook Island Indicator 14: Court Information</w:t>
            </w:r>
          </w:p>
          <w:p w:rsidR="005B4C88" w:rsidRPr="009D002E" w:rsidRDefault="005B4C88" w:rsidP="00CA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 w:cs="Optima"/>
                <w:bCs/>
                <w:i/>
              </w:rPr>
            </w:pPr>
            <w:r w:rsidRPr="009D002E">
              <w:rPr>
                <w:rFonts w:ascii="Helvetica Neue Light" w:hAnsi="Helvetica Neue Light" w:cs="Optima"/>
                <w:bCs/>
              </w:rPr>
              <w:t>Information on court services that is publicly available, including information on how to bring:</w:t>
            </w:r>
          </w:p>
          <w:p w:rsidR="005B4C88" w:rsidRPr="009D002E" w:rsidRDefault="005B4C88" w:rsidP="005B4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 w:cs="Optima"/>
                <w:bCs/>
                <w:i/>
              </w:rPr>
            </w:pPr>
            <w:r w:rsidRPr="009D002E">
              <w:rPr>
                <w:rFonts w:ascii="Helvetica Neue Light" w:hAnsi="Helvetica Neue Light" w:cs="Optima"/>
                <w:bCs/>
              </w:rPr>
              <w:t>Family Law Cases</w:t>
            </w:r>
          </w:p>
          <w:p w:rsidR="005B4C88" w:rsidRPr="00B56C24" w:rsidRDefault="005B4C88" w:rsidP="005B4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 w:cs="Optima"/>
                <w:bCs/>
                <w:i/>
              </w:rPr>
            </w:pPr>
            <w:r w:rsidRPr="009D002E">
              <w:rPr>
                <w:rFonts w:ascii="Helvetica Neue Light" w:hAnsi="Helvetica Neue Light" w:cs="Optima"/>
                <w:bCs/>
              </w:rPr>
              <w:t>Family Protection Orders/ Restraining Orders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</w:p>
        </w:tc>
        <w:tc>
          <w:tcPr>
            <w:tcW w:w="4111" w:type="dxa"/>
          </w:tcPr>
          <w:p w:rsidR="005B4C88" w:rsidRPr="009D002E" w:rsidRDefault="005B4C88" w:rsidP="00CA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 w:cs="Optima"/>
                <w:bCs/>
                <w:i/>
              </w:rPr>
            </w:pPr>
            <w:r w:rsidRPr="009D002E">
              <w:rPr>
                <w:rFonts w:ascii="Helvetica Neue Light" w:hAnsi="Helvetica Neue Light" w:cs="Optima"/>
                <w:bCs/>
              </w:rPr>
              <w:t>How is this information published: on noticeboards, on court websites, in health centres, libraries?</w:t>
            </w:r>
          </w:p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</w:p>
        </w:tc>
      </w:tr>
      <w:tr w:rsidR="005B4C88" w:rsidRPr="009D002E" w:rsidTr="00CA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rPr>
                <w:rFonts w:ascii="Helvetica Neue" w:hAnsi="Helvetica Neue" w:cs="Optima"/>
                <w:i/>
                <w:lang w:val="en-GB"/>
              </w:rPr>
            </w:pPr>
          </w:p>
        </w:tc>
        <w:tc>
          <w:tcPr>
            <w:tcW w:w="4752" w:type="dxa"/>
          </w:tcPr>
          <w:p w:rsidR="005B4C88" w:rsidRPr="009D002E" w:rsidRDefault="005B4C88" w:rsidP="00CA797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  <w:r w:rsidRPr="009D002E">
              <w:rPr>
                <w:rFonts w:ascii="Helvetica Neue" w:hAnsi="Helvetica Neue" w:cs="Optima"/>
                <w:b/>
                <w:bCs/>
              </w:rPr>
              <w:t>Disability inclusive Courts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Optima"/>
                <w:b/>
                <w:bCs/>
                <w:i/>
              </w:rPr>
            </w:pPr>
          </w:p>
        </w:tc>
      </w:tr>
      <w:tr w:rsidR="005B4C88" w:rsidRPr="009D002E" w:rsidTr="00CA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rPr>
                <w:rFonts w:ascii="Helvetica Neue Light" w:hAnsi="Helvetica Neue Light"/>
                <w:b w:val="0"/>
                <w:i/>
              </w:rPr>
            </w:pPr>
            <w:r>
              <w:rPr>
                <w:rFonts w:ascii="Helvetica Neue Light" w:hAnsi="Helvetica Neue Light"/>
                <w:b w:val="0"/>
              </w:rPr>
              <w:lastRenderedPageBreak/>
              <w:t>24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 xml:space="preserve">Number of women and men appearing before the court who have special needs disaggregated by type of case and in what capacity the party living with a disability is appearing before the court in the case: </w:t>
            </w:r>
          </w:p>
          <w:p w:rsidR="005B4C88" w:rsidRPr="009D002E" w:rsidRDefault="005B4C88" w:rsidP="00CA797E">
            <w:pPr>
              <w:pStyle w:val="ListParagraph"/>
              <w:widowControl w:val="0"/>
              <w:autoSpaceDE w:val="0"/>
              <w:autoSpaceDN w:val="0"/>
              <w:adjustRightInd w:val="0"/>
              <w:ind w:left="5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  <w:lang w:val="en-GB"/>
              </w:rPr>
            </w:pPr>
          </w:p>
          <w:p w:rsidR="005B4C88" w:rsidRPr="009D002E" w:rsidRDefault="005B4C88" w:rsidP="005B4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Applicant (civil case)</w:t>
            </w:r>
          </w:p>
          <w:p w:rsidR="005B4C88" w:rsidRPr="009D002E" w:rsidRDefault="005B4C88" w:rsidP="005B4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Defendant (criminal case)</w:t>
            </w:r>
          </w:p>
          <w:p w:rsidR="005B4C88" w:rsidRPr="009D002E" w:rsidRDefault="005B4C88" w:rsidP="005B4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Witness/ Victim/ survivor (criminal case)</w:t>
            </w:r>
          </w:p>
          <w:p w:rsidR="005B4C88" w:rsidRPr="009D002E" w:rsidRDefault="005B4C88" w:rsidP="00CA797E">
            <w:pPr>
              <w:pStyle w:val="ListParagraph"/>
              <w:widowControl w:val="0"/>
              <w:autoSpaceDE w:val="0"/>
              <w:autoSpaceDN w:val="0"/>
              <w:adjustRightInd w:val="0"/>
              <w:ind w:left="5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  <w:lang w:val="en-GB"/>
              </w:rPr>
            </w:pP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Possible drop down menu options in the case management system: What type of special assistance does the client require from the court:</w:t>
            </w:r>
          </w:p>
          <w:p w:rsidR="005B4C88" w:rsidRPr="009D002E" w:rsidRDefault="005B4C88" w:rsidP="005B4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 xml:space="preserve">To locate, enter and move about the court-room </w:t>
            </w:r>
          </w:p>
          <w:p w:rsidR="005B4C88" w:rsidRPr="009D002E" w:rsidRDefault="005B4C88" w:rsidP="005B4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 xml:space="preserve">To read a document </w:t>
            </w:r>
          </w:p>
          <w:p w:rsidR="005B4C88" w:rsidRPr="009D002E" w:rsidRDefault="005B4C88" w:rsidP="005B4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To submit a written application</w:t>
            </w:r>
          </w:p>
          <w:p w:rsidR="005B4C88" w:rsidRPr="009D002E" w:rsidRDefault="005B4C88" w:rsidP="005B4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 xml:space="preserve">To hear what is being said in court </w:t>
            </w:r>
          </w:p>
          <w:p w:rsidR="005B4C88" w:rsidRPr="009D002E" w:rsidRDefault="005B4C88" w:rsidP="005B4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To understand what is happening in the court as well as what preparation may be required before the court hearing day</w:t>
            </w:r>
          </w:p>
          <w:p w:rsidR="005B4C88" w:rsidRPr="009D002E" w:rsidRDefault="005B4C88" w:rsidP="00CA797E">
            <w:pPr>
              <w:widowControl w:val="0"/>
              <w:autoSpaceDE w:val="0"/>
              <w:autoSpaceDN w:val="0"/>
              <w:adjustRightInd w:val="0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rPr>
                <w:rFonts w:ascii="Helvetica Neue Light" w:hAnsi="Helvetica Neue Light"/>
                <w:b w:val="0"/>
                <w:i/>
              </w:rPr>
            </w:pPr>
          </w:p>
        </w:tc>
        <w:tc>
          <w:tcPr>
            <w:tcW w:w="4752" w:type="dxa"/>
          </w:tcPr>
          <w:p w:rsidR="005B4C88" w:rsidRPr="00625632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i/>
              </w:rPr>
            </w:pPr>
            <w:r w:rsidRPr="009D002E">
              <w:rPr>
                <w:rFonts w:ascii="Helvetica Neue" w:hAnsi="Helvetica Neue" w:cs="Optima"/>
                <w:b/>
                <w:bCs/>
              </w:rPr>
              <w:t xml:space="preserve">Cook Island Indicator 15: </w:t>
            </w:r>
            <w:r w:rsidRPr="009D002E">
              <w:rPr>
                <w:rFonts w:ascii="Helvetica Neue" w:hAnsi="Helvetica Neue"/>
                <w:b/>
              </w:rPr>
              <w:t>Judgments online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  <w:tc>
          <w:tcPr>
            <w:tcW w:w="1843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rPr>
                <w:rFonts w:ascii="Helvetica Neue Light" w:hAnsi="Helvetica Neue Light"/>
                <w:b w:val="0"/>
                <w:bCs w:val="0"/>
                <w:i/>
              </w:rPr>
            </w:pPr>
            <w:r>
              <w:rPr>
                <w:rFonts w:ascii="Helvetica Neue Light" w:hAnsi="Helvetica Neue Light"/>
                <w:b w:val="0"/>
                <w:bCs w:val="0"/>
              </w:rPr>
              <w:t>25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Number and percentage of criminal judgments (by year) uploaded to PacLII or a court website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 xml:space="preserve">Show this for each court jurisdiction: e.g. Supreme Court, Magistrates Court, Island Court   </w:t>
            </w:r>
          </w:p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rPr>
                <w:rFonts w:ascii="Helvetica Neue Light" w:hAnsi="Helvetica Neue Light"/>
                <w:b w:val="0"/>
                <w:bCs w:val="0"/>
                <w:i/>
              </w:rPr>
            </w:pPr>
            <w:r>
              <w:rPr>
                <w:rFonts w:ascii="Helvetica Neue Light" w:hAnsi="Helvetica Neue Light"/>
                <w:b w:val="0"/>
                <w:bCs w:val="0"/>
              </w:rPr>
              <w:lastRenderedPageBreak/>
              <w:t>26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Number and percentage of family law cases redacted/ anonymised and uploaded to PacLII or a court website</w:t>
            </w:r>
          </w:p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 xml:space="preserve">Show this for each court jurisdiction: e.g. Supreme Court, Magistrates Court, Island Court   </w:t>
            </w:r>
          </w:p>
          <w:p w:rsidR="005B4C88" w:rsidRPr="009D002E" w:rsidRDefault="005B4C88" w:rsidP="00CA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</w:tc>
      </w:tr>
      <w:tr w:rsidR="005B4C88" w:rsidRPr="009D002E" w:rsidTr="00CA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4C88" w:rsidRPr="009D002E" w:rsidRDefault="005B4C88" w:rsidP="00CA797E">
            <w:pPr>
              <w:rPr>
                <w:rFonts w:ascii="Helvetica Neue Light" w:hAnsi="Helvetica Neue Light"/>
                <w:b w:val="0"/>
                <w:bCs w:val="0"/>
                <w:i/>
              </w:rPr>
            </w:pPr>
            <w:r>
              <w:rPr>
                <w:rFonts w:ascii="Helvetica Neue Light" w:hAnsi="Helvetica Neue Light"/>
                <w:b w:val="0"/>
                <w:bCs w:val="0"/>
              </w:rPr>
              <w:t>27</w:t>
            </w:r>
          </w:p>
        </w:tc>
        <w:tc>
          <w:tcPr>
            <w:tcW w:w="4752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Number and percentage of civil law cases redacted/ anonymised and uploaded to PacLII or a court website</w:t>
            </w:r>
          </w:p>
        </w:tc>
        <w:tc>
          <w:tcPr>
            <w:tcW w:w="2761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  <w:r w:rsidRPr="009D002E">
              <w:rPr>
                <w:rFonts w:ascii="Wingdings" w:hAnsi="Wingdings"/>
                <w:color w:val="000000"/>
              </w:rPr>
              <w:t></w:t>
            </w:r>
          </w:p>
        </w:tc>
        <w:tc>
          <w:tcPr>
            <w:tcW w:w="1843" w:type="dxa"/>
          </w:tcPr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i/>
                <w:color w:val="000000"/>
              </w:rPr>
            </w:pPr>
          </w:p>
          <w:p w:rsidR="005B4C88" w:rsidRPr="009D002E" w:rsidRDefault="005B4C88" w:rsidP="00CA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MS Gothic" w:eastAsia="MS Gothic" w:hAnsi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111" w:type="dxa"/>
          </w:tcPr>
          <w:p w:rsidR="005B4C88" w:rsidRPr="009D002E" w:rsidRDefault="005B4C88" w:rsidP="00CA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i/>
              </w:rPr>
            </w:pPr>
            <w:r w:rsidRPr="009D002E">
              <w:rPr>
                <w:rFonts w:ascii="Helvetica Neue Light" w:hAnsi="Helvetica Neue Light"/>
              </w:rPr>
              <w:t>Show this for each court jurisdiction: e.g. Supreme Court, Magistrates Court, Island Court</w:t>
            </w:r>
            <w:r>
              <w:rPr>
                <w:rFonts w:ascii="Helvetica Neue Light" w:hAnsi="Helvetica Neue Light"/>
              </w:rPr>
              <w:t>.</w:t>
            </w:r>
            <w:r w:rsidRPr="009D002E">
              <w:rPr>
                <w:rFonts w:ascii="Helvetica Neue Light" w:hAnsi="Helvetica Neue Light"/>
              </w:rPr>
              <w:t xml:space="preserve">   </w:t>
            </w:r>
          </w:p>
        </w:tc>
      </w:tr>
    </w:tbl>
    <w:p w:rsidR="00E36202" w:rsidRDefault="00E36202"/>
    <w:sectPr w:rsidR="00E36202" w:rsidSect="00D72F0D">
      <w:headerReference w:type="default" r:id="rId18"/>
      <w:footerReference w:type="default" r:id="rId19"/>
      <w:pgSz w:w="16838" w:h="11906" w:orient="landscape"/>
      <w:pgMar w:top="1440" w:right="1440" w:bottom="1418" w:left="1440" w:header="426" w:footer="1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0C" w:rsidRDefault="0079250C" w:rsidP="00222E46">
      <w:pPr>
        <w:spacing w:after="0" w:line="240" w:lineRule="auto"/>
      </w:pPr>
      <w:r>
        <w:separator/>
      </w:r>
    </w:p>
  </w:endnote>
  <w:endnote w:type="continuationSeparator" w:id="0">
    <w:p w:rsidR="0079250C" w:rsidRDefault="0079250C" w:rsidP="0022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46" w:rsidRDefault="00222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06" w:type="dxa"/>
      <w:tblInd w:w="-743" w:type="dxa"/>
      <w:tblBorders>
        <w:top w:val="single" w:sz="18" w:space="0" w:color="0E6060"/>
      </w:tblBorders>
      <w:tblLayout w:type="fixed"/>
      <w:tblLook w:val="0000" w:firstRow="0" w:lastRow="0" w:firstColumn="0" w:lastColumn="0" w:noHBand="0" w:noVBand="0"/>
    </w:tblPr>
    <w:tblGrid>
      <w:gridCol w:w="12485"/>
      <w:gridCol w:w="3121"/>
    </w:tblGrid>
    <w:tr w:rsidR="00600726" w:rsidRPr="00545917" w:rsidTr="00B136A8">
      <w:trPr>
        <w:trHeight w:val="137"/>
      </w:trPr>
      <w:tc>
        <w:tcPr>
          <w:tcW w:w="12485" w:type="dxa"/>
          <w:tcBorders>
            <w:top w:val="single" w:sz="18" w:space="0" w:color="0E6060"/>
          </w:tcBorders>
        </w:tcPr>
        <w:p w:rsidR="00600726" w:rsidRPr="00545917" w:rsidRDefault="00600726" w:rsidP="00B136A8">
          <w:pPr>
            <w:snapToGrid w:val="0"/>
            <w:spacing w:before="120" w:after="0" w:line="240" w:lineRule="auto"/>
            <w:ind w:left="819"/>
            <w:rPr>
              <w:rFonts w:ascii="Arial Narrow" w:eastAsia="MS Mincho" w:hAnsi="Arial Narrow" w:cs="Calibri"/>
              <w:i/>
              <w:sz w:val="20"/>
              <w:szCs w:val="32"/>
              <w:lang w:eastAsia="en-AU"/>
            </w:rPr>
          </w:pPr>
          <w:r w:rsidRPr="00545917">
            <w:rPr>
              <w:rFonts w:ascii="Arial Narrow" w:eastAsia="MS ??" w:hAnsi="Arial Narrow" w:cs="Times New Roman"/>
              <w:i/>
              <w:sz w:val="20"/>
              <w:szCs w:val="20"/>
              <w:lang w:eastAsia="en-AU"/>
            </w:rPr>
            <w:t>PJDP is funded by the Government of New Zealand and managed by the Federal Court of Australia</w:t>
          </w:r>
        </w:p>
      </w:tc>
      <w:tc>
        <w:tcPr>
          <w:tcW w:w="3121" w:type="dxa"/>
          <w:tcBorders>
            <w:top w:val="single" w:sz="18" w:space="0" w:color="0E6060"/>
          </w:tcBorders>
          <w:vAlign w:val="bottom"/>
        </w:tcPr>
        <w:p w:rsidR="00600726" w:rsidRPr="00545917" w:rsidRDefault="00600726" w:rsidP="005B4C88">
          <w:pPr>
            <w:autoSpaceDE w:val="0"/>
            <w:autoSpaceDN w:val="0"/>
            <w:adjustRightInd w:val="0"/>
            <w:spacing w:after="0" w:line="240" w:lineRule="auto"/>
            <w:ind w:left="195" w:right="44"/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</w:pP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 xml:space="preserve">  A</w:t>
          </w:r>
          <w:r w:rsidR="005B4C88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>15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>-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begin"/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instrText xml:space="preserve"> PAGE </w:instrTex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separate"/>
          </w:r>
          <w:r w:rsidR="0018773E">
            <w:rPr>
              <w:rFonts w:ascii="Cambria" w:eastAsia="MS Mincho" w:hAnsi="Cambria" w:cs="Times New Roman"/>
              <w:noProof/>
              <w:color w:val="0E6060"/>
              <w:sz w:val="40"/>
              <w:szCs w:val="44"/>
              <w:lang w:eastAsia="en-AU"/>
            </w:rPr>
            <w:t>1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end"/>
          </w:r>
        </w:p>
        <w:p w:rsidR="00600726" w:rsidRPr="00545917" w:rsidRDefault="00600726" w:rsidP="00B136A8">
          <w:pPr>
            <w:spacing w:after="0" w:line="240" w:lineRule="auto"/>
            <w:rPr>
              <w:rFonts w:ascii="Arial Narrow" w:eastAsia="MS ??" w:hAnsi="Arial Narrow" w:cs="Times New Roman"/>
              <w:color w:val="0E6060"/>
              <w:sz w:val="5"/>
              <w:szCs w:val="24"/>
              <w:lang w:eastAsia="en-AU"/>
            </w:rPr>
          </w:pPr>
        </w:p>
      </w:tc>
    </w:tr>
  </w:tbl>
  <w:p w:rsidR="00222E46" w:rsidRDefault="00222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0C" w:rsidRDefault="0079250C" w:rsidP="00222E46">
      <w:pPr>
        <w:spacing w:after="0" w:line="240" w:lineRule="auto"/>
      </w:pPr>
      <w:r>
        <w:separator/>
      </w:r>
    </w:p>
  </w:footnote>
  <w:footnote w:type="continuationSeparator" w:id="0">
    <w:p w:rsidR="0079250C" w:rsidRDefault="0079250C" w:rsidP="0022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46" w:rsidRPr="00B44902" w:rsidRDefault="00222E46" w:rsidP="00222E46">
    <w:pPr>
      <w:pStyle w:val="Header"/>
      <w:rPr>
        <w:szCs w:val="1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AC7C088" wp14:editId="5C322E32">
          <wp:simplePos x="0" y="0"/>
          <wp:positionH relativeFrom="column">
            <wp:posOffset>-918845</wp:posOffset>
          </wp:positionH>
          <wp:positionV relativeFrom="paragraph">
            <wp:posOffset>23967</wp:posOffset>
          </wp:positionV>
          <wp:extent cx="7580630" cy="594995"/>
          <wp:effectExtent l="0" t="0" r="1270" b="0"/>
          <wp:wrapNone/>
          <wp:docPr id="9" name="Picture 9" descr="FCA Colour Bar (Horizontal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CA Colour Bar (Horizontal).bmp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E46" w:rsidRPr="000E14AE" w:rsidRDefault="00222E46" w:rsidP="00222E4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2319B2" wp14:editId="399D79DC">
              <wp:simplePos x="0" y="0"/>
              <wp:positionH relativeFrom="column">
                <wp:posOffset>-918845</wp:posOffset>
              </wp:positionH>
              <wp:positionV relativeFrom="paragraph">
                <wp:posOffset>4236248</wp:posOffset>
              </wp:positionV>
              <wp:extent cx="7667625" cy="492760"/>
              <wp:effectExtent l="0" t="0" r="9525" b="254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67625" cy="492760"/>
                      </a:xfrm>
                      <a:prstGeom prst="rect">
                        <a:avLst/>
                      </a:prstGeom>
                      <a:solidFill>
                        <a:srgbClr val="0E606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2DA91" id="Rectangle 5" o:spid="_x0000_s1026" style="position:absolute;margin-left:-72.35pt;margin-top:333.55pt;width:603.75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" fillcolor="#0e6060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8CF9A" wp14:editId="0F212941">
              <wp:simplePos x="0" y="0"/>
              <wp:positionH relativeFrom="column">
                <wp:posOffset>-918210</wp:posOffset>
              </wp:positionH>
              <wp:positionV relativeFrom="paragraph">
                <wp:posOffset>4681855</wp:posOffset>
              </wp:positionV>
              <wp:extent cx="7580630" cy="5613400"/>
              <wp:effectExtent l="0" t="0" r="1270" b="63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0630" cy="5613400"/>
                      </a:xfrm>
                      <a:prstGeom prst="rect">
                        <a:avLst/>
                      </a:prstGeom>
                      <a:solidFill>
                        <a:srgbClr val="CBDC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ECCBA" id="Rectangle 6" o:spid="_x0000_s1026" style="position:absolute;margin-left:-72.3pt;margin-top:368.65pt;width:596.9pt;height:4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" fillcolor="#cbdce1" stroked="f" strokecolor="white"/>
          </w:pict>
        </mc:Fallback>
      </mc:AlternateContent>
    </w:r>
  </w:p>
  <w:p w:rsidR="00222E46" w:rsidRDefault="00222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46" w:rsidRDefault="00222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46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74"/>
      <w:gridCol w:w="14172"/>
    </w:tblGrid>
    <w:tr w:rsidR="00600726" w:rsidRPr="00545917" w:rsidTr="00B136A8">
      <w:trPr>
        <w:trHeight w:val="745"/>
        <w:jc w:val="center"/>
      </w:trPr>
      <w:tc>
        <w:tcPr>
          <w:tcW w:w="1374" w:type="dxa"/>
          <w:tcBorders>
            <w:bottom w:val="nil"/>
          </w:tcBorders>
          <w:vAlign w:val="bottom"/>
        </w:tcPr>
        <w:p w:rsidR="00600726" w:rsidRPr="00545917" w:rsidRDefault="00600726" w:rsidP="00B136A8">
          <w:pPr>
            <w:spacing w:after="0" w:line="240" w:lineRule="auto"/>
            <w:rPr>
              <w:rFonts w:ascii="Arial Narrow" w:eastAsia="MS ??" w:hAnsi="Arial Narrow" w:cs="Times New Roman"/>
              <w:sz w:val="5"/>
              <w:szCs w:val="24"/>
              <w:lang w:eastAsia="en-AU"/>
            </w:rPr>
          </w:pPr>
        </w:p>
      </w:tc>
      <w:tc>
        <w:tcPr>
          <w:tcW w:w="14172" w:type="dxa"/>
          <w:tcBorders>
            <w:bottom w:val="nil"/>
          </w:tcBorders>
          <w:vAlign w:val="bottom"/>
        </w:tcPr>
        <w:p w:rsidR="00600726" w:rsidRPr="00545917" w:rsidRDefault="00600726" w:rsidP="00B136A8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</w:pPr>
          <w:r w:rsidRPr="00545917"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  <w:t>Pacific Judicial Development Programme</w:t>
          </w:r>
        </w:p>
        <w:p w:rsidR="00600726" w:rsidRPr="00545917" w:rsidRDefault="00600726" w:rsidP="00B136A8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Arial"/>
              <w:sz w:val="20"/>
              <w:szCs w:val="20"/>
              <w:lang w:eastAsia="en-AU"/>
            </w:rPr>
          </w:pPr>
          <w:r w:rsidRPr="00545917">
            <w:rPr>
              <w:rFonts w:ascii="Arial Narrow" w:eastAsia="MS ??" w:hAnsi="Arial Narrow" w:cs="Times New Roman"/>
              <w:sz w:val="20"/>
              <w:szCs w:val="68"/>
              <w:lang w:eastAsia="en-AU"/>
            </w:rPr>
            <w:t xml:space="preserve">Annual Court Reporting Toolkit </w:t>
          </w:r>
        </w:p>
      </w:tc>
    </w:tr>
    <w:tr w:rsidR="00600726" w:rsidRPr="00545917" w:rsidTr="00B136A8">
      <w:trPr>
        <w:trHeight w:val="272"/>
        <w:jc w:val="center"/>
      </w:trPr>
      <w:tc>
        <w:tcPr>
          <w:tcW w:w="15546" w:type="dxa"/>
          <w:gridSpan w:val="2"/>
          <w:tcBorders>
            <w:top w:val="nil"/>
            <w:bottom w:val="nil"/>
          </w:tcBorders>
        </w:tcPr>
        <w:p w:rsidR="00600726" w:rsidRPr="00545917" w:rsidRDefault="00600726" w:rsidP="00B136A8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right"/>
            <w:rPr>
              <w:rFonts w:ascii="Arial Narrow" w:eastAsia="MS Mincho" w:hAnsi="Arial Narrow" w:cs="Arial"/>
              <w:sz w:val="23"/>
              <w:szCs w:val="24"/>
              <w:lang w:eastAsia="en-AU"/>
            </w:rPr>
          </w:pPr>
          <w:r w:rsidRPr="00545917">
            <w:rPr>
              <w:rFonts w:ascii="Arial Narrow" w:eastAsia="MS Mincho" w:hAnsi="Arial Narrow" w:cs="Arial"/>
              <w:noProof/>
              <w:sz w:val="4"/>
              <w:szCs w:val="19"/>
              <w:lang w:eastAsia="en-AU"/>
            </w:rPr>
            <w:drawing>
              <wp:inline distT="0" distB="0" distL="0" distR="0" wp14:anchorId="2D8755EC" wp14:editId="3BF7FEE0">
                <wp:extent cx="9779000" cy="165100"/>
                <wp:effectExtent l="0" t="0" r="0" b="6350"/>
                <wp:docPr id="4" name="Picture 4" descr="FCA Colour Bar (Horizonta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CA Colour Bar (Horizonta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E46" w:rsidRDefault="00222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202"/>
    <w:multiLevelType w:val="hybridMultilevel"/>
    <w:tmpl w:val="7BB2BE1E"/>
    <w:lvl w:ilvl="0" w:tplc="969450A8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1D1E"/>
    <w:multiLevelType w:val="hybridMultilevel"/>
    <w:tmpl w:val="5CD6030C"/>
    <w:lvl w:ilvl="0" w:tplc="58448EA2">
      <w:start w:val="1"/>
      <w:numFmt w:val="upperRoman"/>
      <w:lvlText w:val="%1."/>
      <w:lvlJc w:val="left"/>
      <w:pPr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3073A7"/>
    <w:multiLevelType w:val="hybridMultilevel"/>
    <w:tmpl w:val="4A8AEC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D4145"/>
    <w:multiLevelType w:val="hybridMultilevel"/>
    <w:tmpl w:val="4D5C5AB4"/>
    <w:lvl w:ilvl="0" w:tplc="969450A8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E0014"/>
    <w:multiLevelType w:val="hybridMultilevel"/>
    <w:tmpl w:val="38E29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A7487"/>
    <w:multiLevelType w:val="hybridMultilevel"/>
    <w:tmpl w:val="E6BA214E"/>
    <w:lvl w:ilvl="0" w:tplc="1444D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46"/>
    <w:rsid w:val="00054BFF"/>
    <w:rsid w:val="0018773E"/>
    <w:rsid w:val="001A5600"/>
    <w:rsid w:val="00222E46"/>
    <w:rsid w:val="002502DE"/>
    <w:rsid w:val="00394D3E"/>
    <w:rsid w:val="00545917"/>
    <w:rsid w:val="005B4C88"/>
    <w:rsid w:val="00600726"/>
    <w:rsid w:val="0079250C"/>
    <w:rsid w:val="00B9568C"/>
    <w:rsid w:val="00BD20E3"/>
    <w:rsid w:val="00D72F0D"/>
    <w:rsid w:val="00E36202"/>
    <w:rsid w:val="00E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7EC9716-4531-41F6-A931-B0DEAEC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5917"/>
    <w:pPr>
      <w:keepNext/>
      <w:spacing w:before="240" w:after="60" w:line="240" w:lineRule="auto"/>
      <w:outlineLvl w:val="0"/>
    </w:pPr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46"/>
  </w:style>
  <w:style w:type="paragraph" w:styleId="Footer">
    <w:name w:val="footer"/>
    <w:basedOn w:val="Normal"/>
    <w:link w:val="Foot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46"/>
  </w:style>
  <w:style w:type="character" w:customStyle="1" w:styleId="Heading1Char">
    <w:name w:val="Heading 1 Char"/>
    <w:basedOn w:val="DefaultParagraphFont"/>
    <w:link w:val="Heading1"/>
    <w:rsid w:val="00545917"/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paragraph" w:styleId="ListParagraph">
    <w:name w:val="List Paragraph"/>
    <w:aliases w:val="Table Bullet,Rec para,Dot pt,F5 List Paragraph,No Spacing1,List Paragraph Char Char Char,Indicator Text,Numbered Para 1,Colorful List - Accent 11,Bullet 1,MAIN CONTENT,List Paragraph12,List Paragraph2,Normal numbered,OBC Bullet,L"/>
    <w:basedOn w:val="Normal"/>
    <w:link w:val="ListParagraphChar"/>
    <w:uiPriority w:val="34"/>
    <w:qFormat/>
    <w:rsid w:val="00545917"/>
    <w:pPr>
      <w:spacing w:after="0" w:line="240" w:lineRule="auto"/>
      <w:ind w:left="720"/>
    </w:pPr>
    <w:rPr>
      <w:rFonts w:ascii="Arial Narrow" w:eastAsia="MS ??" w:hAnsi="Arial Narrow" w:cs="Times New Roman"/>
      <w:sz w:val="20"/>
      <w:szCs w:val="20"/>
      <w:lang w:eastAsia="en-AU"/>
    </w:rPr>
  </w:style>
  <w:style w:type="character" w:customStyle="1" w:styleId="ListParagraphChar">
    <w:name w:val="List Paragraph Char"/>
    <w:aliases w:val="Table Bullet Char,Rec para Char,Dot pt Char,F5 List Paragraph Char,No Spacing1 Char,List Paragraph Char Char Char Char,Indicator Text Char,Numbered Para 1 Char,Colorful List - Accent 11 Char,Bullet 1 Char,MAIN CONTENT Char,L Char"/>
    <w:link w:val="ListParagraph"/>
    <w:uiPriority w:val="34"/>
    <w:locked/>
    <w:rsid w:val="00545917"/>
    <w:rPr>
      <w:rFonts w:ascii="Arial Narrow" w:eastAsia="MS ??" w:hAnsi="Arial Narrow" w:cs="Times New Roman"/>
      <w:sz w:val="20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545917"/>
    <w:pPr>
      <w:spacing w:after="0" w:line="240" w:lineRule="auto"/>
    </w:pPr>
    <w:rPr>
      <w:rFonts w:ascii="Calibri" w:eastAsia="MS ??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917"/>
    <w:rPr>
      <w:rFonts w:ascii="Calibri" w:eastAsia="MS ??" w:hAnsi="Calibri" w:cs="Times New Roman"/>
      <w:lang w:val="en-US"/>
    </w:rPr>
  </w:style>
  <w:style w:type="table" w:styleId="LightList-Accent5">
    <w:name w:val="Light List Accent 5"/>
    <w:basedOn w:val="TableNormal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17"/>
    <w:rPr>
      <w:rFonts w:ascii="Tahoma" w:hAnsi="Tahoma" w:cs="Tahoma"/>
      <w:sz w:val="16"/>
      <w:szCs w:val="16"/>
    </w:rPr>
  </w:style>
  <w:style w:type="table" w:customStyle="1" w:styleId="LightList-Accent51">
    <w:name w:val="Light List - Accent 51"/>
    <w:basedOn w:val="TableNormal"/>
    <w:next w:val="LightList-Accent5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3-Accent1">
    <w:name w:val="Medium Grid 3 Accent 1"/>
    <w:basedOn w:val="TableNormal"/>
    <w:uiPriority w:val="69"/>
    <w:rsid w:val="001A56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qFormat/>
    <w:rsid w:val="002502DE"/>
    <w:rPr>
      <w:rFonts w:ascii="Arial Narrow" w:hAnsi="Arial Narrow" w:cs="Times New Roman" w:hint="default"/>
      <w:color w:val="0000FF"/>
      <w:sz w:val="23"/>
      <w:u w:val="single"/>
    </w:rPr>
  </w:style>
  <w:style w:type="table" w:styleId="LightShading-Accent1">
    <w:name w:val="Light Shading Accent 1"/>
    <w:basedOn w:val="TableNormal"/>
    <w:uiPriority w:val="60"/>
    <w:rsid w:val="005B4C88"/>
    <w:pPr>
      <w:spacing w:line="288" w:lineRule="auto"/>
    </w:pPr>
    <w:rPr>
      <w:rFonts w:eastAsiaTheme="minorEastAsia"/>
      <w:color w:val="365F91" w:themeColor="accent1" w:themeShade="BF"/>
      <w:lang w:eastAsia="en-A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court.gov.au/pjdp/pjdp-toolkits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edcourt.gov.au/pjdp/pjdp-toolkits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15A6-7E1A-4E89-ADFC-14F1C593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1188</Words>
  <Characters>6772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Court Reporting Toolkit Annex 10</vt:lpstr>
    </vt:vector>
  </TitlesOfParts>
  <Company>Federal Court of Australia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Court Reporting Toolkit Annex 10</dc:title>
  <dc:creator>Sladjana Rstic</dc:creator>
  <cp:lastModifiedBy>Isere Meaney</cp:lastModifiedBy>
  <cp:revision>2</cp:revision>
  <dcterms:created xsi:type="dcterms:W3CDTF">2018-05-30T01:33:00Z</dcterms:created>
  <dcterms:modified xsi:type="dcterms:W3CDTF">2018-05-30T01:33:00Z</dcterms:modified>
</cp:coreProperties>
</file>