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4A01" w14:textId="77777777" w:rsidR="00E3119D" w:rsidRPr="002A3717" w:rsidRDefault="00EC4541" w:rsidP="00072EE5">
      <w:pPr>
        <w:pStyle w:val="ListParagraph"/>
        <w:spacing w:after="0"/>
        <w:ind w:left="360"/>
        <w:jc w:val="center"/>
        <w:outlineLvl w:val="0"/>
        <w:rPr>
          <w:rFonts w:eastAsia="Times New Roman" w:cs="Times New Roman"/>
          <w:b/>
          <w:kern w:val="36"/>
          <w:sz w:val="44"/>
          <w:szCs w:val="44"/>
          <w:lang w:val="en-US" w:eastAsia="en-AU"/>
        </w:rPr>
      </w:pPr>
      <w:r>
        <w:rPr>
          <w:rFonts w:eastAsia="Times New Roman" w:cs="Times New Roman"/>
          <w:b/>
          <w:kern w:val="36"/>
          <w:sz w:val="44"/>
          <w:szCs w:val="44"/>
          <w:lang w:val="en-US" w:eastAsia="en-AU"/>
        </w:rPr>
        <w:t xml:space="preserve">Corporations </w:t>
      </w:r>
      <w:r w:rsidR="00212D09">
        <w:rPr>
          <w:rFonts w:eastAsia="Times New Roman" w:cs="Times New Roman"/>
          <w:b/>
          <w:kern w:val="36"/>
          <w:sz w:val="44"/>
          <w:szCs w:val="44"/>
          <w:lang w:val="en-US" w:eastAsia="en-AU"/>
        </w:rPr>
        <w:t>Info</w:t>
      </w:r>
      <w:r w:rsidR="00E930CE">
        <w:rPr>
          <w:rFonts w:eastAsia="Times New Roman" w:cs="Times New Roman"/>
          <w:b/>
          <w:kern w:val="36"/>
          <w:sz w:val="44"/>
          <w:szCs w:val="44"/>
          <w:lang w:val="en-US" w:eastAsia="en-AU"/>
        </w:rPr>
        <w:t>rmation</w:t>
      </w:r>
      <w:r>
        <w:rPr>
          <w:rFonts w:eastAsia="Times New Roman" w:cs="Times New Roman"/>
          <w:b/>
          <w:kern w:val="36"/>
          <w:sz w:val="44"/>
          <w:szCs w:val="44"/>
          <w:lang w:val="en-US" w:eastAsia="en-AU"/>
        </w:rPr>
        <w:t xml:space="preserve"> Sheet 1:</w:t>
      </w:r>
    </w:p>
    <w:p w14:paraId="1E70C50F" w14:textId="77777777" w:rsidR="00414DF6" w:rsidRPr="002A3717" w:rsidRDefault="00414DF6" w:rsidP="00072EE5">
      <w:pPr>
        <w:pStyle w:val="ListParagraph"/>
        <w:spacing w:after="0"/>
        <w:ind w:left="360"/>
        <w:jc w:val="center"/>
        <w:outlineLvl w:val="0"/>
        <w:rPr>
          <w:rFonts w:eastAsia="Times New Roman" w:cs="Times New Roman"/>
          <w:b/>
          <w:kern w:val="36"/>
          <w:sz w:val="44"/>
          <w:szCs w:val="44"/>
          <w:lang w:val="en-US" w:eastAsia="en-AU"/>
        </w:rPr>
      </w:pPr>
      <w:r w:rsidRPr="002A3717">
        <w:rPr>
          <w:rFonts w:eastAsia="Times New Roman" w:cs="Times New Roman"/>
          <w:b/>
          <w:kern w:val="36"/>
          <w:sz w:val="44"/>
          <w:szCs w:val="44"/>
          <w:lang w:val="en-US" w:eastAsia="en-AU"/>
        </w:rPr>
        <w:t xml:space="preserve">Winding </w:t>
      </w:r>
      <w:r w:rsidR="00296806" w:rsidRPr="002A3717">
        <w:rPr>
          <w:rFonts w:eastAsia="Times New Roman" w:cs="Times New Roman"/>
          <w:b/>
          <w:kern w:val="36"/>
          <w:sz w:val="44"/>
          <w:szCs w:val="44"/>
          <w:lang w:val="en-US" w:eastAsia="en-AU"/>
        </w:rPr>
        <w:t>U</w:t>
      </w:r>
      <w:r w:rsidRPr="002A3717">
        <w:rPr>
          <w:rFonts w:eastAsia="Times New Roman" w:cs="Times New Roman"/>
          <w:b/>
          <w:kern w:val="36"/>
          <w:sz w:val="44"/>
          <w:szCs w:val="44"/>
          <w:lang w:val="en-US" w:eastAsia="en-AU"/>
        </w:rPr>
        <w:t xml:space="preserve">p </w:t>
      </w:r>
      <w:r w:rsidR="00072EE5" w:rsidRPr="002A3717">
        <w:rPr>
          <w:rFonts w:eastAsia="Times New Roman" w:cs="Times New Roman"/>
          <w:b/>
          <w:kern w:val="36"/>
          <w:sz w:val="44"/>
          <w:szCs w:val="44"/>
          <w:lang w:val="en-US" w:eastAsia="en-AU"/>
        </w:rPr>
        <w:t>P</w:t>
      </w:r>
      <w:r w:rsidR="001D791F" w:rsidRPr="002A3717">
        <w:rPr>
          <w:rFonts w:eastAsia="Times New Roman" w:cs="Times New Roman"/>
          <w:b/>
          <w:kern w:val="36"/>
          <w:sz w:val="44"/>
          <w:szCs w:val="44"/>
          <w:lang w:val="en-US" w:eastAsia="en-AU"/>
        </w:rPr>
        <w:t xml:space="preserve">roceedings </w:t>
      </w:r>
      <w:r w:rsidR="00072EE5" w:rsidRPr="002A3717">
        <w:rPr>
          <w:rFonts w:eastAsia="Times New Roman" w:cs="Times New Roman"/>
          <w:b/>
          <w:kern w:val="36"/>
          <w:sz w:val="44"/>
          <w:szCs w:val="44"/>
          <w:lang w:val="en-US" w:eastAsia="en-AU"/>
        </w:rPr>
        <w:t>B</w:t>
      </w:r>
      <w:r w:rsidR="001D791F" w:rsidRPr="002A3717">
        <w:rPr>
          <w:rFonts w:eastAsia="Times New Roman" w:cs="Times New Roman"/>
          <w:b/>
          <w:kern w:val="36"/>
          <w:sz w:val="44"/>
          <w:szCs w:val="44"/>
          <w:lang w:val="en-US" w:eastAsia="en-AU"/>
        </w:rPr>
        <w:t xml:space="preserve">ased on an </w:t>
      </w:r>
      <w:r w:rsidR="00072EE5" w:rsidRPr="002A3717">
        <w:rPr>
          <w:rFonts w:eastAsia="Times New Roman" w:cs="Times New Roman"/>
          <w:b/>
          <w:kern w:val="36"/>
          <w:sz w:val="44"/>
          <w:szCs w:val="44"/>
          <w:lang w:val="en-US" w:eastAsia="en-AU"/>
        </w:rPr>
        <w:t>U</w:t>
      </w:r>
      <w:r w:rsidR="001D791F" w:rsidRPr="002A3717">
        <w:rPr>
          <w:rFonts w:eastAsia="Times New Roman" w:cs="Times New Roman"/>
          <w:b/>
          <w:kern w:val="36"/>
          <w:sz w:val="44"/>
          <w:szCs w:val="44"/>
          <w:lang w:val="en-US" w:eastAsia="en-AU"/>
        </w:rPr>
        <w:t xml:space="preserve">nsatisfied </w:t>
      </w:r>
      <w:r w:rsidR="00072EE5" w:rsidRPr="002A3717">
        <w:rPr>
          <w:rFonts w:eastAsia="Times New Roman" w:cs="Times New Roman"/>
          <w:b/>
          <w:kern w:val="36"/>
          <w:sz w:val="44"/>
          <w:szCs w:val="44"/>
          <w:lang w:val="en-US" w:eastAsia="en-AU"/>
        </w:rPr>
        <w:t>St</w:t>
      </w:r>
      <w:r w:rsidR="001D791F" w:rsidRPr="002A3717">
        <w:rPr>
          <w:rFonts w:eastAsia="Times New Roman" w:cs="Times New Roman"/>
          <w:b/>
          <w:kern w:val="36"/>
          <w:sz w:val="44"/>
          <w:szCs w:val="44"/>
          <w:lang w:val="en-US" w:eastAsia="en-AU"/>
        </w:rPr>
        <w:t xml:space="preserve">atutory </w:t>
      </w:r>
      <w:r w:rsidR="00072EE5" w:rsidRPr="002A3717">
        <w:rPr>
          <w:rFonts w:eastAsia="Times New Roman" w:cs="Times New Roman"/>
          <w:b/>
          <w:kern w:val="36"/>
          <w:sz w:val="44"/>
          <w:szCs w:val="44"/>
          <w:lang w:val="en-US" w:eastAsia="en-AU"/>
        </w:rPr>
        <w:t>D</w:t>
      </w:r>
      <w:r w:rsidR="002A3717">
        <w:rPr>
          <w:rFonts w:eastAsia="Times New Roman" w:cs="Times New Roman"/>
          <w:b/>
          <w:kern w:val="36"/>
          <w:sz w:val="44"/>
          <w:szCs w:val="44"/>
          <w:lang w:val="en-US" w:eastAsia="en-AU"/>
        </w:rPr>
        <w:t>emand</w:t>
      </w:r>
    </w:p>
    <w:p w14:paraId="674488DE" w14:textId="77777777" w:rsidR="002A3717" w:rsidRDefault="002A3717" w:rsidP="002A3717">
      <w:pPr>
        <w:spacing w:after="0" w:line="23" w:lineRule="atLeast"/>
        <w:jc w:val="both"/>
        <w:rPr>
          <w:rFonts w:cs="Times New Roman"/>
          <w:b/>
          <w:sz w:val="24"/>
          <w:szCs w:val="24"/>
        </w:rPr>
      </w:pPr>
    </w:p>
    <w:p w14:paraId="4B43A43C" w14:textId="77777777" w:rsidR="001D791F" w:rsidRPr="00794560" w:rsidRDefault="001D791F" w:rsidP="004951AE">
      <w:pPr>
        <w:spacing w:line="23" w:lineRule="atLeast"/>
        <w:jc w:val="both"/>
        <w:rPr>
          <w:rFonts w:cs="Times New Roman"/>
          <w:b/>
          <w:sz w:val="28"/>
          <w:szCs w:val="28"/>
        </w:rPr>
      </w:pPr>
      <w:r w:rsidRPr="00794560">
        <w:rPr>
          <w:rFonts w:cs="Times New Roman"/>
          <w:b/>
          <w:sz w:val="28"/>
          <w:szCs w:val="28"/>
        </w:rPr>
        <w:t xml:space="preserve">About this </w:t>
      </w:r>
      <w:r w:rsidR="00212D09">
        <w:rPr>
          <w:rFonts w:cs="Times New Roman"/>
          <w:b/>
          <w:sz w:val="28"/>
          <w:szCs w:val="28"/>
        </w:rPr>
        <w:t>Info</w:t>
      </w:r>
      <w:r w:rsidR="00E930CE">
        <w:rPr>
          <w:rFonts w:cs="Times New Roman"/>
          <w:b/>
          <w:sz w:val="28"/>
          <w:szCs w:val="28"/>
        </w:rPr>
        <w:t>rmation</w:t>
      </w:r>
      <w:r w:rsidRPr="00794560">
        <w:rPr>
          <w:rFonts w:cs="Times New Roman"/>
          <w:b/>
          <w:sz w:val="28"/>
          <w:szCs w:val="28"/>
        </w:rPr>
        <w:t xml:space="preserve"> Sheet </w:t>
      </w:r>
    </w:p>
    <w:p w14:paraId="7D0067BC" w14:textId="77777777" w:rsidR="00414DF6" w:rsidRPr="002A3717" w:rsidRDefault="00414DF6" w:rsidP="004951AE">
      <w:pPr>
        <w:spacing w:after="240" w:line="23" w:lineRule="atLeast"/>
        <w:jc w:val="both"/>
        <w:rPr>
          <w:rFonts w:cs="Times New Roman"/>
          <w:sz w:val="24"/>
          <w:szCs w:val="24"/>
        </w:rPr>
      </w:pPr>
      <w:r w:rsidRPr="004951AE">
        <w:rPr>
          <w:rFonts w:cs="Times New Roman"/>
          <w:sz w:val="24"/>
          <w:szCs w:val="24"/>
        </w:rPr>
        <w:t xml:space="preserve">This </w:t>
      </w:r>
      <w:r w:rsidR="00212D09">
        <w:rPr>
          <w:rFonts w:cs="Times New Roman"/>
          <w:sz w:val="24"/>
          <w:szCs w:val="24"/>
        </w:rPr>
        <w:t>Info</w:t>
      </w:r>
      <w:r w:rsidR="00E930CE">
        <w:rPr>
          <w:rFonts w:cs="Times New Roman"/>
          <w:sz w:val="24"/>
          <w:szCs w:val="24"/>
        </w:rPr>
        <w:t>rmation</w:t>
      </w:r>
      <w:r w:rsidR="003C1BA0">
        <w:rPr>
          <w:rFonts w:cs="Times New Roman"/>
          <w:sz w:val="24"/>
          <w:szCs w:val="24"/>
        </w:rPr>
        <w:t xml:space="preserve"> Sheet</w:t>
      </w:r>
      <w:r w:rsidR="003C1BA0" w:rsidRPr="004951AE">
        <w:rPr>
          <w:rFonts w:cs="Times New Roman"/>
          <w:sz w:val="24"/>
          <w:szCs w:val="24"/>
        </w:rPr>
        <w:t xml:space="preserve"> </w:t>
      </w:r>
      <w:r w:rsidRPr="004951AE">
        <w:rPr>
          <w:rFonts w:cs="Times New Roman"/>
          <w:sz w:val="24"/>
          <w:szCs w:val="24"/>
        </w:rPr>
        <w:t xml:space="preserve">has been prepared for litigants who intend to make a winding up application </w:t>
      </w:r>
      <w:r w:rsidR="00C51882">
        <w:rPr>
          <w:rFonts w:cs="Times New Roman"/>
          <w:sz w:val="24"/>
          <w:szCs w:val="24"/>
        </w:rPr>
        <w:t xml:space="preserve">pursuant to s459P of the </w:t>
      </w:r>
      <w:r w:rsidR="00C51882">
        <w:rPr>
          <w:rFonts w:cs="Times New Roman"/>
          <w:i/>
          <w:sz w:val="24"/>
          <w:szCs w:val="24"/>
        </w:rPr>
        <w:t>Corporations Act</w:t>
      </w:r>
      <w:r w:rsidR="00B13C2E">
        <w:rPr>
          <w:rFonts w:cs="Times New Roman"/>
          <w:i/>
          <w:sz w:val="24"/>
          <w:szCs w:val="24"/>
        </w:rPr>
        <w:t xml:space="preserve"> 2001 </w:t>
      </w:r>
      <w:r w:rsidR="00B13C2E">
        <w:rPr>
          <w:rFonts w:cs="Times New Roman"/>
          <w:sz w:val="24"/>
          <w:szCs w:val="24"/>
        </w:rPr>
        <w:t>(</w:t>
      </w:r>
      <w:r w:rsidR="00B13C2E" w:rsidRPr="006C5203">
        <w:rPr>
          <w:rFonts w:cs="Times New Roman"/>
          <w:i/>
          <w:sz w:val="24"/>
          <w:szCs w:val="24"/>
        </w:rPr>
        <w:t>Cth</w:t>
      </w:r>
      <w:r w:rsidR="00B13C2E">
        <w:rPr>
          <w:rFonts w:cs="Times New Roman"/>
          <w:sz w:val="24"/>
          <w:szCs w:val="24"/>
        </w:rPr>
        <w:t xml:space="preserve">) </w:t>
      </w:r>
      <w:r w:rsidRPr="004951AE">
        <w:rPr>
          <w:rFonts w:cs="Times New Roman"/>
          <w:sz w:val="24"/>
          <w:szCs w:val="24"/>
        </w:rPr>
        <w:t xml:space="preserve">based on a company's failure to </w:t>
      </w:r>
      <w:r w:rsidR="002A3717">
        <w:rPr>
          <w:rFonts w:cs="Times New Roman"/>
          <w:sz w:val="24"/>
          <w:szCs w:val="24"/>
        </w:rPr>
        <w:t xml:space="preserve">comply with a </w:t>
      </w:r>
      <w:r w:rsidR="002B4257">
        <w:rPr>
          <w:rFonts w:cs="Times New Roman"/>
          <w:sz w:val="24"/>
          <w:szCs w:val="24"/>
        </w:rPr>
        <w:t>Statutory Demand</w:t>
      </w:r>
      <w:r w:rsidR="002A3717">
        <w:rPr>
          <w:rFonts w:cs="Times New Roman"/>
          <w:sz w:val="24"/>
          <w:szCs w:val="24"/>
        </w:rPr>
        <w:t>.</w:t>
      </w:r>
    </w:p>
    <w:p w14:paraId="61EFE4B0" w14:textId="07E411A9" w:rsidR="004951AE" w:rsidRPr="00C74C5E" w:rsidRDefault="004951AE" w:rsidP="004951AE">
      <w:pPr>
        <w:spacing w:after="240" w:line="23" w:lineRule="atLeast"/>
        <w:jc w:val="both"/>
        <w:rPr>
          <w:rFonts w:cs="Times New Roman"/>
          <w:sz w:val="24"/>
          <w:szCs w:val="24"/>
        </w:rPr>
      </w:pPr>
      <w:r w:rsidRPr="00C74C5E">
        <w:rPr>
          <w:rFonts w:cs="Times New Roman"/>
          <w:sz w:val="24"/>
          <w:szCs w:val="24"/>
        </w:rPr>
        <w:t xml:space="preserve">It is important to </w:t>
      </w:r>
      <w:r w:rsidR="00CC6C3F">
        <w:rPr>
          <w:rFonts w:cs="Times New Roman"/>
          <w:sz w:val="24"/>
          <w:szCs w:val="24"/>
        </w:rPr>
        <w:t xml:space="preserve">note the following: </w:t>
      </w:r>
      <w:r w:rsidRPr="00C74C5E">
        <w:rPr>
          <w:rFonts w:cs="Times New Roman"/>
          <w:sz w:val="24"/>
          <w:szCs w:val="24"/>
        </w:rPr>
        <w:t xml:space="preserve"> </w:t>
      </w:r>
    </w:p>
    <w:p w14:paraId="4B2522FB" w14:textId="77777777" w:rsidR="004951AE" w:rsidRPr="00C74C5E" w:rsidRDefault="00CC6C3F" w:rsidP="004951AE">
      <w:pPr>
        <w:pStyle w:val="ListParagraph"/>
        <w:numPr>
          <w:ilvl w:val="0"/>
          <w:numId w:val="33"/>
        </w:numPr>
        <w:spacing w:after="240" w:line="23" w:lineRule="atLeast"/>
        <w:ind w:left="714" w:hanging="357"/>
        <w:contextualSpacing w:val="0"/>
        <w:jc w:val="both"/>
        <w:rPr>
          <w:rFonts w:cs="Times New Roman"/>
          <w:sz w:val="24"/>
          <w:szCs w:val="24"/>
        </w:rPr>
      </w:pPr>
      <w:r>
        <w:rPr>
          <w:rFonts w:cs="Times New Roman"/>
          <w:sz w:val="24"/>
          <w:szCs w:val="24"/>
        </w:rPr>
        <w:t>t</w:t>
      </w:r>
      <w:r w:rsidR="004951AE" w:rsidRPr="00C74C5E">
        <w:rPr>
          <w:rFonts w:cs="Times New Roman"/>
          <w:sz w:val="24"/>
          <w:szCs w:val="24"/>
        </w:rPr>
        <w:t xml:space="preserve">his </w:t>
      </w:r>
      <w:r w:rsidR="00212D09">
        <w:rPr>
          <w:rFonts w:cs="Times New Roman"/>
          <w:sz w:val="24"/>
          <w:szCs w:val="24"/>
        </w:rPr>
        <w:t>Info</w:t>
      </w:r>
      <w:r w:rsidR="00E930CE">
        <w:rPr>
          <w:rFonts w:cs="Times New Roman"/>
          <w:sz w:val="24"/>
          <w:szCs w:val="24"/>
        </w:rPr>
        <w:t>rmation</w:t>
      </w:r>
      <w:r w:rsidR="004951AE" w:rsidRPr="00C74C5E">
        <w:rPr>
          <w:rFonts w:cs="Times New Roman"/>
          <w:sz w:val="24"/>
          <w:szCs w:val="24"/>
        </w:rPr>
        <w:t xml:space="preserve"> Sheet is published as part of a series of </w:t>
      </w:r>
      <w:r w:rsidR="00212D09">
        <w:rPr>
          <w:rFonts w:cs="Times New Roman"/>
          <w:sz w:val="24"/>
          <w:szCs w:val="24"/>
        </w:rPr>
        <w:t>info</w:t>
      </w:r>
      <w:r w:rsidR="00E930CE">
        <w:rPr>
          <w:rFonts w:cs="Times New Roman"/>
          <w:sz w:val="24"/>
          <w:szCs w:val="24"/>
        </w:rPr>
        <w:t>rmation</w:t>
      </w:r>
      <w:r w:rsidR="004951AE" w:rsidRPr="00C74C5E">
        <w:rPr>
          <w:rFonts w:cs="Times New Roman"/>
          <w:sz w:val="24"/>
          <w:szCs w:val="24"/>
        </w:rPr>
        <w:t xml:space="preserve"> sheets and practical guides and contains links to the most commonly used forms approved or prescribed by the relevant legislation or court rules. </w:t>
      </w:r>
    </w:p>
    <w:p w14:paraId="6ABBD85D" w14:textId="77777777" w:rsidR="004951AE" w:rsidRPr="00C74C5E" w:rsidRDefault="00CC6C3F" w:rsidP="004951AE">
      <w:pPr>
        <w:pStyle w:val="ListParagraph"/>
        <w:numPr>
          <w:ilvl w:val="0"/>
          <w:numId w:val="33"/>
        </w:numPr>
        <w:spacing w:after="240" w:line="23" w:lineRule="atLeast"/>
        <w:ind w:left="714" w:hanging="357"/>
        <w:contextualSpacing w:val="0"/>
        <w:jc w:val="both"/>
        <w:rPr>
          <w:rFonts w:cs="Times New Roman"/>
          <w:sz w:val="24"/>
          <w:szCs w:val="24"/>
        </w:rPr>
      </w:pPr>
      <w:r>
        <w:rPr>
          <w:sz w:val="24"/>
          <w:szCs w:val="24"/>
        </w:rPr>
        <w:t>t</w:t>
      </w:r>
      <w:r w:rsidR="004951AE" w:rsidRPr="00C74C5E">
        <w:rPr>
          <w:sz w:val="24"/>
          <w:szCs w:val="24"/>
        </w:rPr>
        <w:t xml:space="preserve">his </w:t>
      </w:r>
      <w:r w:rsidR="00212D09">
        <w:rPr>
          <w:sz w:val="24"/>
          <w:szCs w:val="24"/>
        </w:rPr>
        <w:t>Info</w:t>
      </w:r>
      <w:r w:rsidR="00E930CE">
        <w:rPr>
          <w:sz w:val="24"/>
          <w:szCs w:val="24"/>
        </w:rPr>
        <w:t>rmation</w:t>
      </w:r>
      <w:r w:rsidR="004951AE" w:rsidRPr="00C74C5E">
        <w:rPr>
          <w:sz w:val="24"/>
          <w:szCs w:val="24"/>
        </w:rPr>
        <w:t xml:space="preserve"> She</w:t>
      </w:r>
      <w:r w:rsidR="004951AE" w:rsidRPr="00794560">
        <w:rPr>
          <w:sz w:val="24"/>
          <w:szCs w:val="24"/>
        </w:rPr>
        <w:t>e</w:t>
      </w:r>
      <w:r w:rsidR="004951AE" w:rsidRPr="00C74C5E">
        <w:rPr>
          <w:sz w:val="24"/>
          <w:szCs w:val="24"/>
        </w:rPr>
        <w:t>t contains general info</w:t>
      </w:r>
      <w:bookmarkStart w:id="0" w:name="_GoBack"/>
      <w:bookmarkEnd w:id="0"/>
      <w:r w:rsidR="004951AE" w:rsidRPr="00C74C5E">
        <w:rPr>
          <w:sz w:val="24"/>
          <w:szCs w:val="24"/>
        </w:rPr>
        <w:t xml:space="preserve">rmation only and is not a substitute for the </w:t>
      </w:r>
      <w:r w:rsidR="004951AE" w:rsidRPr="00B13C2E">
        <w:rPr>
          <w:sz w:val="24"/>
          <w:szCs w:val="24"/>
        </w:rPr>
        <w:t>Corporations Act</w:t>
      </w:r>
      <w:r w:rsidR="004951AE" w:rsidRPr="00C74C5E">
        <w:rPr>
          <w:i/>
          <w:sz w:val="24"/>
          <w:szCs w:val="24"/>
        </w:rPr>
        <w:t xml:space="preserve"> </w:t>
      </w:r>
      <w:r w:rsidR="004951AE" w:rsidRPr="00C74C5E">
        <w:rPr>
          <w:sz w:val="24"/>
          <w:szCs w:val="24"/>
        </w:rPr>
        <w:t xml:space="preserve">or the </w:t>
      </w:r>
      <w:r w:rsidR="004951AE" w:rsidRPr="00E87D3A">
        <w:rPr>
          <w:rFonts w:cs="Times New Roman"/>
          <w:sz w:val="24"/>
          <w:szCs w:val="24"/>
        </w:rPr>
        <w:t>Corporations</w:t>
      </w:r>
      <w:r w:rsidR="004951AE" w:rsidRPr="00E87D3A">
        <w:rPr>
          <w:sz w:val="24"/>
          <w:szCs w:val="24"/>
        </w:rPr>
        <w:t xml:space="preserve"> Rules</w:t>
      </w:r>
      <w:r w:rsidR="00E87D3A">
        <w:rPr>
          <w:sz w:val="24"/>
          <w:szCs w:val="24"/>
        </w:rPr>
        <w:t xml:space="preserve">. </w:t>
      </w:r>
      <w:r w:rsidR="004951AE" w:rsidRPr="00C74C5E">
        <w:rPr>
          <w:sz w:val="24"/>
          <w:szCs w:val="24"/>
        </w:rPr>
        <w:t xml:space="preserve">To the extent that there is </w:t>
      </w:r>
      <w:r w:rsidR="004951AE" w:rsidRPr="00B13C2E">
        <w:rPr>
          <w:sz w:val="24"/>
          <w:szCs w:val="24"/>
        </w:rPr>
        <w:t>any inconsistency or discrepancy, the Act and Rules</w:t>
      </w:r>
      <w:r w:rsidR="002B4257">
        <w:rPr>
          <w:sz w:val="24"/>
          <w:szCs w:val="24"/>
        </w:rPr>
        <w:t xml:space="preserve"> as interpreted by the courts prevail. </w:t>
      </w:r>
    </w:p>
    <w:p w14:paraId="4368582D" w14:textId="77777777" w:rsidR="004951AE" w:rsidRPr="00C74C5E" w:rsidRDefault="00CC6C3F" w:rsidP="009C0FC3">
      <w:pPr>
        <w:pStyle w:val="ListParagraph"/>
        <w:numPr>
          <w:ilvl w:val="0"/>
          <w:numId w:val="33"/>
        </w:numPr>
        <w:spacing w:after="240" w:line="23" w:lineRule="atLeast"/>
        <w:ind w:left="714" w:hanging="357"/>
        <w:contextualSpacing w:val="0"/>
        <w:jc w:val="both"/>
        <w:rPr>
          <w:rFonts w:cs="Times New Roman"/>
          <w:sz w:val="24"/>
          <w:szCs w:val="24"/>
        </w:rPr>
      </w:pPr>
      <w:r>
        <w:rPr>
          <w:rFonts w:cs="Times New Roman"/>
          <w:sz w:val="24"/>
          <w:szCs w:val="24"/>
        </w:rPr>
        <w:t>w</w:t>
      </w:r>
      <w:r w:rsidR="00C32D91">
        <w:rPr>
          <w:rFonts w:cs="Times New Roman"/>
          <w:sz w:val="24"/>
          <w:szCs w:val="24"/>
        </w:rPr>
        <w:t>hile r</w:t>
      </w:r>
      <w:r w:rsidR="004951AE" w:rsidRPr="009C0FC3">
        <w:rPr>
          <w:rFonts w:cs="Times New Roman"/>
          <w:sz w:val="24"/>
          <w:szCs w:val="24"/>
        </w:rPr>
        <w:t xml:space="preserve">egistry staff can provide practical assistance to litigants they cannot provide legal advice or assist with the content of any document. The onus is on the party </w:t>
      </w:r>
      <w:r w:rsidR="002C66DD" w:rsidRPr="009C0FC3">
        <w:rPr>
          <w:rFonts w:cs="Times New Roman"/>
          <w:sz w:val="24"/>
          <w:szCs w:val="24"/>
        </w:rPr>
        <w:t>making the application</w:t>
      </w:r>
      <w:r w:rsidR="004951AE" w:rsidRPr="009C0FC3">
        <w:rPr>
          <w:rFonts w:cs="Times New Roman"/>
          <w:sz w:val="24"/>
          <w:szCs w:val="24"/>
        </w:rPr>
        <w:t xml:space="preserve"> to undertake their own enquiries and assessment of the legal issues. </w:t>
      </w:r>
    </w:p>
    <w:p w14:paraId="150BA1DF" w14:textId="77777777" w:rsidR="004951AE" w:rsidRPr="004951AE" w:rsidRDefault="002B4257" w:rsidP="004951AE">
      <w:pPr>
        <w:spacing w:line="23" w:lineRule="atLeast"/>
        <w:jc w:val="both"/>
        <w:rPr>
          <w:sz w:val="24"/>
          <w:szCs w:val="24"/>
        </w:rPr>
      </w:pPr>
      <w:r>
        <w:rPr>
          <w:sz w:val="24"/>
          <w:szCs w:val="24"/>
        </w:rPr>
        <w:t>References and l</w:t>
      </w:r>
      <w:r w:rsidR="004951AE" w:rsidRPr="004951AE">
        <w:rPr>
          <w:sz w:val="24"/>
          <w:szCs w:val="24"/>
        </w:rPr>
        <w:t>inks to Legislation, Court Rules and Approved Forms:</w:t>
      </w:r>
    </w:p>
    <w:p w14:paraId="7A4DB496" w14:textId="4A36D28D" w:rsidR="002A3717" w:rsidRPr="002A3717" w:rsidRDefault="00AF51AE" w:rsidP="004951AE">
      <w:pPr>
        <w:pStyle w:val="Dimi05"/>
        <w:numPr>
          <w:ilvl w:val="0"/>
          <w:numId w:val="27"/>
        </w:numPr>
        <w:spacing w:before="0" w:line="23" w:lineRule="atLeast"/>
        <w:jc w:val="both"/>
        <w:rPr>
          <w:color w:val="000000" w:themeColor="text1"/>
          <w:lang w:eastAsia="en-AU"/>
        </w:rPr>
      </w:pPr>
      <w:hyperlink r:id="rId8" w:history="1">
        <w:r w:rsidRPr="004E5C2E">
          <w:rPr>
            <w:rStyle w:val="Hyperlink"/>
            <w:rFonts w:asciiTheme="minorHAnsi" w:hAnsiTheme="minorHAnsi" w:cs="Times New Roman"/>
            <w:i/>
          </w:rPr>
          <w:t>Corporations Act 2001</w:t>
        </w:r>
      </w:hyperlink>
      <w:r>
        <w:t xml:space="preserve"> </w:t>
      </w:r>
      <w:r w:rsidR="00941856" w:rsidRPr="00CC6C3F">
        <w:rPr>
          <w:lang w:eastAsia="en-AU"/>
        </w:rPr>
        <w:t>(Cth)</w:t>
      </w:r>
      <w:r w:rsidR="004951AE" w:rsidRPr="00CC6C3F">
        <w:rPr>
          <w:lang w:eastAsia="en-AU"/>
        </w:rPr>
        <w:t xml:space="preserve"> </w:t>
      </w:r>
      <w:r w:rsidR="002B4257">
        <w:rPr>
          <w:lang w:eastAsia="en-AU"/>
        </w:rPr>
        <w:t>(</w:t>
      </w:r>
      <w:r w:rsidR="004951AE" w:rsidRPr="004E5C2E">
        <w:rPr>
          <w:b/>
          <w:lang w:eastAsia="en-AU"/>
        </w:rPr>
        <w:t>Corporations Act</w:t>
      </w:r>
      <w:r w:rsidR="004951AE" w:rsidRPr="004951AE">
        <w:rPr>
          <w:lang w:eastAsia="en-AU"/>
        </w:rPr>
        <w:t>)</w:t>
      </w:r>
      <w:r w:rsidR="002A3717" w:rsidRPr="00072EE5">
        <w:rPr>
          <w:i/>
          <w:iCs/>
          <w:lang w:eastAsia="en-AU"/>
        </w:rPr>
        <w:t xml:space="preserve"> </w:t>
      </w:r>
    </w:p>
    <w:p w14:paraId="1215D0C3" w14:textId="30C18A34" w:rsidR="00941856" w:rsidRPr="004951AE" w:rsidRDefault="00AF51AE" w:rsidP="004951AE">
      <w:pPr>
        <w:pStyle w:val="Dimi05"/>
        <w:numPr>
          <w:ilvl w:val="0"/>
          <w:numId w:val="27"/>
        </w:numPr>
        <w:spacing w:before="0" w:line="23" w:lineRule="atLeast"/>
        <w:jc w:val="both"/>
        <w:rPr>
          <w:color w:val="000000" w:themeColor="text1"/>
          <w:lang w:eastAsia="en-AU"/>
        </w:rPr>
      </w:pPr>
      <w:hyperlink r:id="rId9" w:history="1">
        <w:r w:rsidRPr="004E5C2E">
          <w:rPr>
            <w:rStyle w:val="Hyperlink"/>
            <w:rFonts w:asciiTheme="minorHAnsi" w:hAnsiTheme="minorHAnsi" w:cs="Times New Roman"/>
            <w:i/>
          </w:rPr>
          <w:t>Federal Court (Corporations) Rules 2000</w:t>
        </w:r>
      </w:hyperlink>
      <w:r>
        <w:t xml:space="preserve"> </w:t>
      </w:r>
      <w:r w:rsidR="004951AE">
        <w:rPr>
          <w:iCs/>
          <w:lang w:eastAsia="en-AU"/>
        </w:rPr>
        <w:t>(</w:t>
      </w:r>
      <w:r w:rsidR="004951AE" w:rsidRPr="004E5C2E">
        <w:rPr>
          <w:b/>
          <w:iCs/>
          <w:lang w:eastAsia="en-AU"/>
        </w:rPr>
        <w:t>Corporations Rules</w:t>
      </w:r>
      <w:r w:rsidR="004951AE">
        <w:rPr>
          <w:iCs/>
          <w:lang w:eastAsia="en-AU"/>
        </w:rPr>
        <w:t>)</w:t>
      </w:r>
      <w:r w:rsidR="00941856" w:rsidRPr="00072EE5">
        <w:rPr>
          <w:i/>
          <w:iCs/>
          <w:lang w:eastAsia="en-AU"/>
        </w:rPr>
        <w:t xml:space="preserve"> </w:t>
      </w:r>
    </w:p>
    <w:p w14:paraId="69F67C77" w14:textId="27082034" w:rsidR="00941856" w:rsidRPr="004951AE" w:rsidRDefault="00AF51AE" w:rsidP="004951AE">
      <w:pPr>
        <w:pStyle w:val="Dimi05"/>
        <w:numPr>
          <w:ilvl w:val="0"/>
          <w:numId w:val="27"/>
        </w:numPr>
        <w:spacing w:before="0" w:line="23" w:lineRule="atLeast"/>
        <w:jc w:val="both"/>
        <w:rPr>
          <w:color w:val="000000" w:themeColor="text1"/>
          <w:lang w:eastAsia="en-AU"/>
        </w:rPr>
      </w:pPr>
      <w:hyperlink r:id="rId10" w:history="1">
        <w:r w:rsidRPr="004E5C2E">
          <w:rPr>
            <w:rStyle w:val="Hyperlink"/>
            <w:rFonts w:asciiTheme="minorHAnsi" w:hAnsiTheme="minorHAnsi" w:cs="Times New Roman"/>
            <w:i/>
          </w:rPr>
          <w:t>Corporations Regulations 2001</w:t>
        </w:r>
      </w:hyperlink>
      <w:r>
        <w:t xml:space="preserve"> </w:t>
      </w:r>
      <w:r w:rsidR="002B4257">
        <w:rPr>
          <w:iCs/>
          <w:lang w:eastAsia="en-AU"/>
        </w:rPr>
        <w:t>(</w:t>
      </w:r>
      <w:r w:rsidR="004951AE" w:rsidRPr="004E5C2E">
        <w:rPr>
          <w:b/>
          <w:iCs/>
          <w:lang w:eastAsia="en-AU"/>
        </w:rPr>
        <w:t>Corporations Regulations</w:t>
      </w:r>
      <w:r w:rsidR="004951AE">
        <w:rPr>
          <w:iCs/>
          <w:lang w:eastAsia="en-AU"/>
        </w:rPr>
        <w:t xml:space="preserve">) </w:t>
      </w:r>
    </w:p>
    <w:p w14:paraId="3011C0D7" w14:textId="1510011E" w:rsidR="00941856" w:rsidRPr="00072EE5" w:rsidRDefault="00AF51AE" w:rsidP="004951AE">
      <w:pPr>
        <w:pStyle w:val="Dimi05"/>
        <w:numPr>
          <w:ilvl w:val="0"/>
          <w:numId w:val="27"/>
        </w:numPr>
        <w:spacing w:before="0" w:line="23" w:lineRule="atLeast"/>
        <w:jc w:val="both"/>
        <w:rPr>
          <w:rStyle w:val="Hyperlink"/>
          <w:rFonts w:asciiTheme="minorHAnsi" w:hAnsiTheme="minorHAnsi" w:cs="Times New Roman"/>
          <w:color w:val="000000" w:themeColor="text1"/>
          <w:u w:val="none"/>
          <w:lang w:eastAsia="en-AU"/>
        </w:rPr>
      </w:pPr>
      <w:hyperlink r:id="rId11" w:history="1">
        <w:r w:rsidRPr="004E5C2E">
          <w:rPr>
            <w:rStyle w:val="Hyperlink"/>
            <w:rFonts w:asciiTheme="minorHAnsi" w:hAnsiTheme="minorHAnsi" w:cs="Times New Roman"/>
            <w:i/>
          </w:rPr>
          <w:t>Federal Court Rules 2011</w:t>
        </w:r>
      </w:hyperlink>
      <w:r>
        <w:t xml:space="preserve"> </w:t>
      </w:r>
      <w:r w:rsidR="004951AE">
        <w:rPr>
          <w:iCs/>
          <w:lang w:eastAsia="en-AU"/>
        </w:rPr>
        <w:t>(</w:t>
      </w:r>
      <w:r w:rsidR="004951AE" w:rsidRPr="004E5C2E">
        <w:rPr>
          <w:b/>
          <w:iCs/>
          <w:lang w:eastAsia="en-AU"/>
        </w:rPr>
        <w:t>FCA Rules</w:t>
      </w:r>
      <w:r w:rsidR="004951AE" w:rsidRPr="002B4257">
        <w:rPr>
          <w:iCs/>
          <w:lang w:eastAsia="en-AU"/>
        </w:rPr>
        <w:t>)</w:t>
      </w:r>
      <w:r w:rsidR="004951AE">
        <w:rPr>
          <w:iCs/>
          <w:lang w:eastAsia="en-AU"/>
        </w:rPr>
        <w:t xml:space="preserve"> </w:t>
      </w:r>
    </w:p>
    <w:p w14:paraId="341FC941" w14:textId="77777777" w:rsidR="00941856" w:rsidRDefault="00941856" w:rsidP="00072EE5">
      <w:pPr>
        <w:spacing w:after="0"/>
        <w:jc w:val="both"/>
        <w:rPr>
          <w:rFonts w:eastAsia="Times New Roman" w:cs="Times New Roman"/>
          <w:sz w:val="24"/>
          <w:szCs w:val="24"/>
          <w:lang w:val="en-US" w:eastAsia="en-AU"/>
        </w:rPr>
      </w:pPr>
    </w:p>
    <w:p w14:paraId="42789196" w14:textId="77777777" w:rsidR="00072EE5" w:rsidRDefault="00072EE5" w:rsidP="00072EE5">
      <w:pPr>
        <w:spacing w:after="0"/>
        <w:jc w:val="both"/>
        <w:rPr>
          <w:rFonts w:eastAsia="Times New Roman" w:cs="Times New Roman"/>
          <w:sz w:val="24"/>
          <w:szCs w:val="24"/>
          <w:lang w:val="en-US" w:eastAsia="en-AU"/>
        </w:rPr>
      </w:pPr>
    </w:p>
    <w:p w14:paraId="26761291" w14:textId="77777777" w:rsidR="00072EE5" w:rsidRDefault="00072EE5" w:rsidP="00072EE5">
      <w:pPr>
        <w:spacing w:after="0"/>
        <w:jc w:val="both"/>
        <w:rPr>
          <w:rFonts w:eastAsia="Times New Roman" w:cs="Times New Roman"/>
          <w:sz w:val="24"/>
          <w:szCs w:val="24"/>
          <w:lang w:val="en-US" w:eastAsia="en-AU"/>
        </w:rPr>
      </w:pPr>
    </w:p>
    <w:p w14:paraId="1AB30DCF" w14:textId="77777777" w:rsidR="000A1891" w:rsidRDefault="000A1891" w:rsidP="00072EE5">
      <w:pPr>
        <w:spacing w:after="0"/>
        <w:jc w:val="both"/>
        <w:rPr>
          <w:rFonts w:eastAsia="Times New Roman" w:cs="Times New Roman"/>
          <w:sz w:val="24"/>
          <w:szCs w:val="24"/>
          <w:lang w:val="en-US" w:eastAsia="en-AU"/>
        </w:rPr>
      </w:pPr>
    </w:p>
    <w:p w14:paraId="62257C76" w14:textId="77777777" w:rsidR="00E97C95" w:rsidRDefault="00E97C95">
      <w:pPr>
        <w:rPr>
          <w:rFonts w:eastAsia="Times New Roman" w:cs="Arial"/>
          <w:b/>
          <w:sz w:val="28"/>
          <w:szCs w:val="28"/>
          <w:lang w:val="en-US" w:eastAsia="en-AU"/>
        </w:rPr>
      </w:pPr>
      <w:r>
        <w:rPr>
          <w:rFonts w:eastAsia="Times New Roman" w:cs="Arial"/>
          <w:b/>
          <w:sz w:val="28"/>
          <w:szCs w:val="28"/>
          <w:lang w:val="en-US" w:eastAsia="en-AU"/>
        </w:rPr>
        <w:br w:type="page"/>
      </w:r>
    </w:p>
    <w:p w14:paraId="5324B8E5" w14:textId="77777777" w:rsidR="00414DF6" w:rsidRPr="000A1891" w:rsidRDefault="00FC3AC4" w:rsidP="000A1891">
      <w:pPr>
        <w:pStyle w:val="ListParagraph"/>
        <w:numPr>
          <w:ilvl w:val="0"/>
          <w:numId w:val="30"/>
        </w:numPr>
        <w:spacing w:after="240"/>
        <w:ind w:left="709" w:hanging="709"/>
        <w:contextualSpacing w:val="0"/>
        <w:jc w:val="both"/>
        <w:rPr>
          <w:rFonts w:eastAsia="Times New Roman" w:cs="Arial"/>
          <w:b/>
          <w:sz w:val="28"/>
          <w:szCs w:val="28"/>
          <w:lang w:val="en-US" w:eastAsia="en-AU"/>
        </w:rPr>
      </w:pPr>
      <w:r>
        <w:rPr>
          <w:rFonts w:eastAsia="Times New Roman" w:cs="Arial"/>
          <w:b/>
          <w:sz w:val="28"/>
          <w:szCs w:val="28"/>
          <w:lang w:val="en-US" w:eastAsia="en-AU"/>
        </w:rPr>
        <w:lastRenderedPageBreak/>
        <w:t>Nature of Application</w:t>
      </w:r>
    </w:p>
    <w:p w14:paraId="42D616F6" w14:textId="77777777" w:rsidR="00E203C4" w:rsidRDefault="00C3180E" w:rsidP="00116AA6">
      <w:pPr>
        <w:pStyle w:val="ListParagraph"/>
        <w:numPr>
          <w:ilvl w:val="1"/>
          <w:numId w:val="42"/>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A creditor of a company can make an application</w:t>
      </w:r>
      <w:r w:rsidR="00BC1D4F">
        <w:rPr>
          <w:rFonts w:eastAsia="Times New Roman" w:cs="Times New Roman"/>
          <w:sz w:val="24"/>
          <w:szCs w:val="24"/>
          <w:lang w:val="en-US" w:eastAsia="en-AU"/>
        </w:rPr>
        <w:t xml:space="preserve"> to the Court</w:t>
      </w:r>
      <w:r>
        <w:rPr>
          <w:rFonts w:eastAsia="Times New Roman" w:cs="Times New Roman"/>
          <w:sz w:val="24"/>
          <w:szCs w:val="24"/>
          <w:lang w:val="en-US" w:eastAsia="en-AU"/>
        </w:rPr>
        <w:t xml:space="preserve"> </w:t>
      </w:r>
      <w:r w:rsidR="00E203C4">
        <w:rPr>
          <w:rFonts w:eastAsia="Times New Roman" w:cs="Times New Roman"/>
          <w:sz w:val="24"/>
          <w:szCs w:val="24"/>
          <w:lang w:val="en-US" w:eastAsia="en-AU"/>
        </w:rPr>
        <w:t>under s</w:t>
      </w:r>
      <w:r w:rsidR="009927A4">
        <w:rPr>
          <w:rFonts w:eastAsia="Times New Roman" w:cs="Times New Roman"/>
          <w:sz w:val="24"/>
          <w:szCs w:val="24"/>
          <w:lang w:val="en-US" w:eastAsia="en-AU"/>
        </w:rPr>
        <w:t>459</w:t>
      </w:r>
      <w:r w:rsidR="00A23CAC">
        <w:rPr>
          <w:rFonts w:eastAsia="Times New Roman" w:cs="Times New Roman"/>
          <w:sz w:val="24"/>
          <w:szCs w:val="24"/>
          <w:lang w:val="en-US" w:eastAsia="en-AU"/>
        </w:rPr>
        <w:t>P</w:t>
      </w:r>
      <w:r w:rsidR="0008539D">
        <w:rPr>
          <w:rFonts w:eastAsia="Times New Roman" w:cs="Times New Roman"/>
          <w:sz w:val="24"/>
          <w:szCs w:val="24"/>
          <w:lang w:val="en-US" w:eastAsia="en-AU"/>
        </w:rPr>
        <w:t xml:space="preserve"> of the </w:t>
      </w:r>
      <w:r w:rsidR="002B4257" w:rsidRPr="00B13C2E">
        <w:rPr>
          <w:sz w:val="24"/>
          <w:szCs w:val="24"/>
        </w:rPr>
        <w:t>Corporations Act</w:t>
      </w:r>
      <w:r w:rsidR="002B4257" w:rsidRPr="00C74C5E">
        <w:rPr>
          <w:i/>
          <w:sz w:val="24"/>
          <w:szCs w:val="24"/>
        </w:rPr>
        <w:t xml:space="preserve"> </w:t>
      </w:r>
      <w:r w:rsidR="00BC1D4F">
        <w:rPr>
          <w:rFonts w:eastAsia="Times New Roman" w:cs="Times New Roman"/>
          <w:sz w:val="24"/>
          <w:szCs w:val="24"/>
          <w:lang w:val="en-US" w:eastAsia="en-AU"/>
        </w:rPr>
        <w:t xml:space="preserve">for </w:t>
      </w:r>
      <w:r w:rsidR="00695FF1">
        <w:rPr>
          <w:rFonts w:eastAsia="Times New Roman" w:cs="Times New Roman"/>
          <w:sz w:val="24"/>
          <w:szCs w:val="24"/>
          <w:lang w:val="en-US" w:eastAsia="en-AU"/>
        </w:rPr>
        <w:t>order</w:t>
      </w:r>
      <w:r w:rsidR="00BC1D4F">
        <w:rPr>
          <w:rFonts w:eastAsia="Times New Roman" w:cs="Times New Roman"/>
          <w:sz w:val="24"/>
          <w:szCs w:val="24"/>
          <w:lang w:val="en-US" w:eastAsia="en-AU"/>
        </w:rPr>
        <w:t>s</w:t>
      </w:r>
      <w:r w:rsidR="00695FF1">
        <w:rPr>
          <w:rFonts w:eastAsia="Times New Roman" w:cs="Times New Roman"/>
          <w:sz w:val="24"/>
          <w:szCs w:val="24"/>
          <w:lang w:val="en-US" w:eastAsia="en-AU"/>
        </w:rPr>
        <w:t xml:space="preserve"> winding up the company in insolvency</w:t>
      </w:r>
      <w:r w:rsidR="00A23CAC">
        <w:rPr>
          <w:rFonts w:eastAsia="Times New Roman" w:cs="Times New Roman"/>
          <w:sz w:val="24"/>
          <w:szCs w:val="24"/>
          <w:lang w:val="en-US" w:eastAsia="en-AU"/>
        </w:rPr>
        <w:t xml:space="preserve"> under s459A</w:t>
      </w:r>
      <w:r w:rsidR="009927A4">
        <w:rPr>
          <w:rFonts w:eastAsia="Times New Roman" w:cs="Times New Roman"/>
          <w:sz w:val="24"/>
          <w:szCs w:val="24"/>
          <w:lang w:val="en-US" w:eastAsia="en-AU"/>
        </w:rPr>
        <w:t>.</w:t>
      </w:r>
    </w:p>
    <w:p w14:paraId="2A3BB92E" w14:textId="77777777" w:rsidR="002324DC" w:rsidRDefault="009927A4" w:rsidP="00116AA6">
      <w:pPr>
        <w:pStyle w:val="ListParagraph"/>
        <w:numPr>
          <w:ilvl w:val="1"/>
          <w:numId w:val="42"/>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The most common basis for an application</w:t>
      </w:r>
      <w:r w:rsidR="00734338">
        <w:rPr>
          <w:rFonts w:eastAsia="Times New Roman" w:cs="Times New Roman"/>
          <w:sz w:val="24"/>
          <w:szCs w:val="24"/>
          <w:lang w:val="en-US" w:eastAsia="en-AU"/>
        </w:rPr>
        <w:t xml:space="preserve"> under s459</w:t>
      </w:r>
      <w:r w:rsidR="00B90A05">
        <w:rPr>
          <w:rFonts w:eastAsia="Times New Roman" w:cs="Times New Roman"/>
          <w:sz w:val="24"/>
          <w:szCs w:val="24"/>
          <w:lang w:val="en-US" w:eastAsia="en-AU"/>
        </w:rPr>
        <w:t>P</w:t>
      </w:r>
      <w:r>
        <w:rPr>
          <w:rFonts w:eastAsia="Times New Roman" w:cs="Times New Roman"/>
          <w:sz w:val="24"/>
          <w:szCs w:val="24"/>
          <w:lang w:val="en-US" w:eastAsia="en-AU"/>
        </w:rPr>
        <w:t xml:space="preserve"> is </w:t>
      </w:r>
      <w:r w:rsidR="009217CC">
        <w:rPr>
          <w:rFonts w:eastAsia="Times New Roman" w:cs="Times New Roman"/>
          <w:sz w:val="24"/>
          <w:szCs w:val="24"/>
          <w:lang w:val="en-US" w:eastAsia="en-AU"/>
        </w:rPr>
        <w:t>that the</w:t>
      </w:r>
      <w:r w:rsidR="00531BD7">
        <w:rPr>
          <w:rFonts w:eastAsia="Times New Roman" w:cs="Times New Roman"/>
          <w:sz w:val="24"/>
          <w:szCs w:val="24"/>
          <w:lang w:val="en-US" w:eastAsia="en-AU"/>
        </w:rPr>
        <w:t xml:space="preserve"> subject</w:t>
      </w:r>
      <w:r w:rsidR="009217CC">
        <w:rPr>
          <w:rFonts w:eastAsia="Times New Roman" w:cs="Times New Roman"/>
          <w:sz w:val="24"/>
          <w:szCs w:val="24"/>
          <w:lang w:val="en-US" w:eastAsia="en-AU"/>
        </w:rPr>
        <w:t xml:space="preserve"> company has failed to comply with </w:t>
      </w:r>
      <w:r>
        <w:rPr>
          <w:rFonts w:eastAsia="Times New Roman" w:cs="Times New Roman"/>
          <w:sz w:val="24"/>
          <w:szCs w:val="24"/>
          <w:lang w:val="en-US" w:eastAsia="en-AU"/>
        </w:rPr>
        <w:t xml:space="preserve">a </w:t>
      </w:r>
      <w:r w:rsidR="002B4257">
        <w:rPr>
          <w:rFonts w:eastAsia="Times New Roman" w:cs="Times New Roman"/>
          <w:sz w:val="24"/>
          <w:szCs w:val="24"/>
          <w:lang w:val="en-US" w:eastAsia="en-AU"/>
        </w:rPr>
        <w:t>Statutory Demand</w:t>
      </w:r>
      <w:r w:rsidR="009E0ACB">
        <w:rPr>
          <w:rFonts w:eastAsia="Times New Roman" w:cs="Times New Roman"/>
          <w:sz w:val="24"/>
          <w:szCs w:val="24"/>
          <w:lang w:val="en-US" w:eastAsia="en-AU"/>
        </w:rPr>
        <w:t xml:space="preserve"> and is presumed</w:t>
      </w:r>
      <w:r w:rsidR="002D23E5">
        <w:rPr>
          <w:rFonts w:eastAsia="Times New Roman" w:cs="Times New Roman"/>
          <w:sz w:val="24"/>
          <w:szCs w:val="24"/>
          <w:lang w:val="en-US" w:eastAsia="en-AU"/>
        </w:rPr>
        <w:t xml:space="preserve"> to be insolvent</w:t>
      </w:r>
      <w:r w:rsidR="009E0ACB">
        <w:rPr>
          <w:rFonts w:eastAsia="Times New Roman" w:cs="Times New Roman"/>
          <w:sz w:val="24"/>
          <w:szCs w:val="24"/>
          <w:lang w:val="en-US" w:eastAsia="en-AU"/>
        </w:rPr>
        <w:t xml:space="preserve"> </w:t>
      </w:r>
      <w:r w:rsidR="007C7BD9">
        <w:rPr>
          <w:rFonts w:eastAsia="Times New Roman" w:cs="Times New Roman"/>
          <w:sz w:val="24"/>
          <w:szCs w:val="24"/>
          <w:lang w:val="en-US" w:eastAsia="en-AU"/>
        </w:rPr>
        <w:t>(s459C(2)(a))</w:t>
      </w:r>
      <w:r w:rsidR="00C3180E">
        <w:rPr>
          <w:rFonts w:eastAsia="Times New Roman" w:cs="Times New Roman"/>
          <w:sz w:val="24"/>
          <w:szCs w:val="24"/>
          <w:lang w:val="en-US" w:eastAsia="en-AU"/>
        </w:rPr>
        <w:t xml:space="preserve">. </w:t>
      </w:r>
    </w:p>
    <w:p w14:paraId="503BDD12" w14:textId="77777777" w:rsidR="00310A8E" w:rsidRDefault="000C4C5E" w:rsidP="00116AA6">
      <w:pPr>
        <w:pStyle w:val="ListParagraph"/>
        <w:numPr>
          <w:ilvl w:val="1"/>
          <w:numId w:val="42"/>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A summary </w:t>
      </w:r>
      <w:r w:rsidR="00310A8E">
        <w:rPr>
          <w:rFonts w:eastAsia="Times New Roman" w:cs="Times New Roman"/>
          <w:sz w:val="24"/>
          <w:szCs w:val="24"/>
          <w:lang w:val="en-US" w:eastAsia="en-AU"/>
        </w:rPr>
        <w:t xml:space="preserve">of the </w:t>
      </w:r>
      <w:r w:rsidR="002B4257">
        <w:rPr>
          <w:rFonts w:eastAsia="Times New Roman" w:cs="Times New Roman"/>
          <w:sz w:val="24"/>
          <w:szCs w:val="24"/>
          <w:lang w:val="en-US" w:eastAsia="en-AU"/>
        </w:rPr>
        <w:t>Statutory Demand</w:t>
      </w:r>
      <w:r w:rsidR="00310A8E">
        <w:rPr>
          <w:rFonts w:eastAsia="Times New Roman" w:cs="Times New Roman"/>
          <w:sz w:val="24"/>
          <w:szCs w:val="24"/>
          <w:lang w:val="en-US" w:eastAsia="en-AU"/>
        </w:rPr>
        <w:t xml:space="preserve"> procedure and the presumption of insolvency is set out below.</w:t>
      </w:r>
    </w:p>
    <w:p w14:paraId="239CE0B2" w14:textId="77777777" w:rsidR="00414DF6" w:rsidRPr="000A1891" w:rsidRDefault="00296806" w:rsidP="000A1891">
      <w:pPr>
        <w:pStyle w:val="ListParagraph"/>
        <w:numPr>
          <w:ilvl w:val="0"/>
          <w:numId w:val="30"/>
        </w:numPr>
        <w:spacing w:before="360" w:after="240"/>
        <w:ind w:left="709" w:hanging="709"/>
        <w:contextualSpacing w:val="0"/>
        <w:jc w:val="both"/>
        <w:rPr>
          <w:rFonts w:eastAsia="Times New Roman" w:cs="Arial"/>
          <w:b/>
          <w:sz w:val="28"/>
          <w:szCs w:val="28"/>
          <w:lang w:val="en-US" w:eastAsia="en-AU"/>
        </w:rPr>
      </w:pPr>
      <w:r w:rsidRPr="000A1891">
        <w:rPr>
          <w:rFonts w:eastAsia="Times New Roman" w:cs="Arial"/>
          <w:b/>
          <w:sz w:val="28"/>
          <w:szCs w:val="28"/>
          <w:lang w:val="en-US" w:eastAsia="en-AU"/>
        </w:rPr>
        <w:t>M</w:t>
      </w:r>
      <w:r w:rsidR="00414DF6" w:rsidRPr="000A1891">
        <w:rPr>
          <w:rFonts w:eastAsia="Times New Roman" w:cs="Arial"/>
          <w:b/>
          <w:sz w:val="28"/>
          <w:szCs w:val="28"/>
          <w:lang w:val="en-US" w:eastAsia="en-AU"/>
        </w:rPr>
        <w:t>ak</w:t>
      </w:r>
      <w:r w:rsidR="00EA2283">
        <w:rPr>
          <w:rFonts w:eastAsia="Times New Roman" w:cs="Arial"/>
          <w:b/>
          <w:sz w:val="28"/>
          <w:szCs w:val="28"/>
          <w:lang w:val="en-US" w:eastAsia="en-AU"/>
        </w:rPr>
        <w:t>ing</w:t>
      </w:r>
      <w:r w:rsidR="00414DF6" w:rsidRPr="000A1891">
        <w:rPr>
          <w:rFonts w:eastAsia="Times New Roman" w:cs="Arial"/>
          <w:b/>
          <w:sz w:val="28"/>
          <w:szCs w:val="28"/>
          <w:lang w:val="en-US" w:eastAsia="en-AU"/>
        </w:rPr>
        <w:t xml:space="preserve"> a </w:t>
      </w:r>
      <w:r w:rsidRPr="000A1891">
        <w:rPr>
          <w:rFonts w:eastAsia="Times New Roman" w:cs="Arial"/>
          <w:b/>
          <w:sz w:val="28"/>
          <w:szCs w:val="28"/>
          <w:lang w:val="en-US" w:eastAsia="en-AU"/>
        </w:rPr>
        <w:t>St</w:t>
      </w:r>
      <w:r w:rsidR="00414DF6" w:rsidRPr="000A1891">
        <w:rPr>
          <w:rFonts w:eastAsia="Times New Roman" w:cs="Arial"/>
          <w:b/>
          <w:sz w:val="28"/>
          <w:szCs w:val="28"/>
          <w:lang w:val="en-US" w:eastAsia="en-AU"/>
        </w:rPr>
        <w:t xml:space="preserve">atutory </w:t>
      </w:r>
      <w:r w:rsidRPr="000A1891">
        <w:rPr>
          <w:rFonts w:eastAsia="Times New Roman" w:cs="Arial"/>
          <w:b/>
          <w:sz w:val="28"/>
          <w:szCs w:val="28"/>
          <w:lang w:val="en-US" w:eastAsia="en-AU"/>
        </w:rPr>
        <w:t>D</w:t>
      </w:r>
      <w:r w:rsidR="00414DF6" w:rsidRPr="000A1891">
        <w:rPr>
          <w:rFonts w:eastAsia="Times New Roman" w:cs="Arial"/>
          <w:b/>
          <w:sz w:val="28"/>
          <w:szCs w:val="28"/>
          <w:lang w:val="en-US" w:eastAsia="en-AU"/>
        </w:rPr>
        <w:t xml:space="preserve">emand </w:t>
      </w:r>
    </w:p>
    <w:p w14:paraId="5464C862" w14:textId="220787A9" w:rsidR="00EC670A" w:rsidRDefault="002B4257" w:rsidP="00116AA6">
      <w:pPr>
        <w:pStyle w:val="ListParagraph"/>
        <w:numPr>
          <w:ilvl w:val="1"/>
          <w:numId w:val="43"/>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A Statutory D</w:t>
      </w:r>
      <w:r w:rsidR="00EC670A" w:rsidRPr="00B21448">
        <w:rPr>
          <w:rFonts w:eastAsia="Times New Roman" w:cs="Times New Roman"/>
          <w:sz w:val="24"/>
          <w:szCs w:val="24"/>
          <w:lang w:val="en-US" w:eastAsia="en-AU"/>
        </w:rPr>
        <w:t xml:space="preserve">emand is a </w:t>
      </w:r>
      <w:r w:rsidR="00EC670A">
        <w:rPr>
          <w:rFonts w:eastAsia="Times New Roman" w:cs="Times New Roman"/>
          <w:sz w:val="24"/>
          <w:szCs w:val="24"/>
          <w:lang w:val="en-US" w:eastAsia="en-AU"/>
        </w:rPr>
        <w:t xml:space="preserve">creditor’s formal, written request </w:t>
      </w:r>
      <w:r w:rsidR="00EC670A" w:rsidRPr="00B21448">
        <w:rPr>
          <w:rFonts w:eastAsia="Times New Roman" w:cs="Times New Roman"/>
          <w:sz w:val="24"/>
          <w:szCs w:val="24"/>
          <w:lang w:val="en-US" w:eastAsia="en-AU"/>
        </w:rPr>
        <w:t>requiring</w:t>
      </w:r>
      <w:r w:rsidR="00EC670A">
        <w:rPr>
          <w:rFonts w:eastAsia="Times New Roman" w:cs="Times New Roman"/>
          <w:sz w:val="24"/>
          <w:szCs w:val="24"/>
          <w:lang w:val="en-US" w:eastAsia="en-AU"/>
        </w:rPr>
        <w:t xml:space="preserve"> a company to pay a debt </w:t>
      </w:r>
      <w:r w:rsidR="00EC670A" w:rsidRPr="00B21448">
        <w:rPr>
          <w:rFonts w:eastAsia="Times New Roman" w:cs="Times New Roman"/>
          <w:sz w:val="24"/>
          <w:szCs w:val="24"/>
          <w:lang w:val="en-US" w:eastAsia="en-AU"/>
        </w:rPr>
        <w:t xml:space="preserve">within </w:t>
      </w:r>
      <w:r w:rsidR="00804DD7">
        <w:rPr>
          <w:rFonts w:eastAsia="Times New Roman" w:cs="Times New Roman"/>
          <w:sz w:val="24"/>
          <w:szCs w:val="24"/>
          <w:lang w:val="en-US" w:eastAsia="en-AU"/>
        </w:rPr>
        <w:t xml:space="preserve">the statutory period (currently </w:t>
      </w:r>
      <w:r w:rsidR="00EC670A" w:rsidRPr="00B21448">
        <w:rPr>
          <w:rFonts w:eastAsia="Times New Roman" w:cs="Times New Roman"/>
          <w:sz w:val="24"/>
          <w:szCs w:val="24"/>
          <w:lang w:val="en-US" w:eastAsia="en-AU"/>
        </w:rPr>
        <w:t>21 days</w:t>
      </w:r>
      <w:r w:rsidR="00804DD7">
        <w:rPr>
          <w:rFonts w:eastAsia="Times New Roman" w:cs="Times New Roman"/>
          <w:sz w:val="24"/>
          <w:szCs w:val="24"/>
          <w:lang w:val="en-US" w:eastAsia="en-AU"/>
        </w:rPr>
        <w:t>)</w:t>
      </w:r>
      <w:r w:rsidR="00EC670A" w:rsidRPr="00B21448">
        <w:rPr>
          <w:rFonts w:eastAsia="Times New Roman" w:cs="Times New Roman"/>
          <w:sz w:val="24"/>
          <w:szCs w:val="24"/>
          <w:lang w:val="en-US" w:eastAsia="en-AU"/>
        </w:rPr>
        <w:t>.</w:t>
      </w:r>
    </w:p>
    <w:p w14:paraId="39682886" w14:textId="77777777" w:rsidR="00D11968" w:rsidRDefault="00414DF6" w:rsidP="00116AA6">
      <w:pPr>
        <w:pStyle w:val="ListParagraph"/>
        <w:numPr>
          <w:ilvl w:val="1"/>
          <w:numId w:val="43"/>
        </w:numPr>
        <w:spacing w:after="240"/>
        <w:ind w:left="709" w:hanging="709"/>
        <w:contextualSpacing w:val="0"/>
        <w:jc w:val="both"/>
        <w:rPr>
          <w:rFonts w:eastAsia="Times New Roman" w:cs="Times New Roman"/>
          <w:sz w:val="24"/>
          <w:szCs w:val="24"/>
          <w:lang w:val="en-US" w:eastAsia="en-AU"/>
        </w:rPr>
      </w:pPr>
      <w:r w:rsidRPr="00AF325B">
        <w:rPr>
          <w:rFonts w:eastAsia="Times New Roman" w:cs="Times New Roman"/>
          <w:sz w:val="24"/>
          <w:szCs w:val="24"/>
          <w:lang w:val="en-US" w:eastAsia="en-AU"/>
        </w:rPr>
        <w:t xml:space="preserve">The requirements for making a </w:t>
      </w:r>
      <w:r w:rsidR="002B4257">
        <w:rPr>
          <w:rFonts w:eastAsia="Times New Roman" w:cs="Times New Roman"/>
          <w:sz w:val="24"/>
          <w:szCs w:val="24"/>
          <w:lang w:val="en-US" w:eastAsia="en-AU"/>
        </w:rPr>
        <w:t>Statutory D</w:t>
      </w:r>
      <w:r w:rsidRPr="00AF325B">
        <w:rPr>
          <w:rFonts w:eastAsia="Times New Roman" w:cs="Times New Roman"/>
          <w:sz w:val="24"/>
          <w:szCs w:val="24"/>
          <w:lang w:val="en-US" w:eastAsia="en-AU"/>
        </w:rPr>
        <w:t xml:space="preserve">emand are set out in </w:t>
      </w:r>
      <w:r w:rsidR="00E92656" w:rsidRPr="00AF325B">
        <w:rPr>
          <w:rFonts w:eastAsia="Times New Roman" w:cs="Times New Roman"/>
          <w:sz w:val="24"/>
          <w:szCs w:val="24"/>
          <w:lang w:val="en-US" w:eastAsia="en-AU"/>
        </w:rPr>
        <w:t xml:space="preserve">s459E of the </w:t>
      </w:r>
      <w:hyperlink r:id="rId12" w:history="1">
        <w:r w:rsidR="00E92656" w:rsidRPr="002B4257">
          <w:rPr>
            <w:rFonts w:eastAsia="Times New Roman" w:cs="Times New Roman"/>
            <w:sz w:val="24"/>
            <w:szCs w:val="24"/>
            <w:lang w:val="en-US" w:eastAsia="en-AU"/>
          </w:rPr>
          <w:t>Corporations Ac</w:t>
        </w:r>
        <w:r w:rsidR="003D63AD" w:rsidRPr="002B4257">
          <w:rPr>
            <w:rFonts w:eastAsia="Times New Roman" w:cs="Times New Roman"/>
            <w:sz w:val="24"/>
            <w:szCs w:val="24"/>
            <w:lang w:val="en-US" w:eastAsia="en-AU"/>
          </w:rPr>
          <w:t>t</w:t>
        </w:r>
      </w:hyperlink>
      <w:r w:rsidR="00E92656" w:rsidRPr="00AF325B">
        <w:rPr>
          <w:rFonts w:eastAsia="Times New Roman" w:cs="Times New Roman"/>
          <w:sz w:val="24"/>
          <w:szCs w:val="24"/>
          <w:lang w:val="en-US" w:eastAsia="en-AU"/>
        </w:rPr>
        <w:t xml:space="preserve">. </w:t>
      </w:r>
      <w:r w:rsidR="00D11968">
        <w:rPr>
          <w:rFonts w:eastAsia="Times New Roman" w:cs="Times New Roman"/>
          <w:sz w:val="24"/>
          <w:szCs w:val="24"/>
          <w:lang w:val="en-US" w:eastAsia="en-AU"/>
        </w:rPr>
        <w:t>Relevantly, the demand:</w:t>
      </w:r>
    </w:p>
    <w:p w14:paraId="6BE77D1C" w14:textId="15EC14DF" w:rsidR="00D11968" w:rsidRDefault="00D11968" w:rsidP="00A23CAC">
      <w:pPr>
        <w:pStyle w:val="ListParagraph"/>
        <w:numPr>
          <w:ilvl w:val="0"/>
          <w:numId w:val="39"/>
        </w:numPr>
        <w:spacing w:after="240"/>
        <w:ind w:left="1134" w:hanging="425"/>
        <w:contextualSpacing w:val="0"/>
        <w:jc w:val="both"/>
        <w:rPr>
          <w:rFonts w:eastAsia="Times New Roman" w:cs="Times New Roman"/>
          <w:sz w:val="24"/>
          <w:szCs w:val="24"/>
          <w:lang w:val="en-US" w:eastAsia="en-AU"/>
        </w:rPr>
      </w:pPr>
      <w:r>
        <w:rPr>
          <w:rFonts w:eastAsia="Times New Roman" w:cs="Times New Roman"/>
          <w:sz w:val="24"/>
          <w:szCs w:val="24"/>
          <w:lang w:val="en-US" w:eastAsia="en-AU"/>
        </w:rPr>
        <w:t>must relate to a debt or debts that are due and payab</w:t>
      </w:r>
      <w:r w:rsidR="002B4257">
        <w:rPr>
          <w:rFonts w:eastAsia="Times New Roman" w:cs="Times New Roman"/>
          <w:sz w:val="24"/>
          <w:szCs w:val="24"/>
          <w:lang w:val="en-US" w:eastAsia="en-AU"/>
        </w:rPr>
        <w:t>le and total at least $</w:t>
      </w:r>
      <w:r w:rsidR="00804DD7">
        <w:rPr>
          <w:rFonts w:eastAsia="Times New Roman" w:cs="Times New Roman"/>
          <w:sz w:val="24"/>
          <w:szCs w:val="24"/>
          <w:lang w:val="en-US" w:eastAsia="en-AU"/>
        </w:rPr>
        <w:t>4</w:t>
      </w:r>
      <w:r w:rsidR="002B4257">
        <w:rPr>
          <w:rFonts w:eastAsia="Times New Roman" w:cs="Times New Roman"/>
          <w:sz w:val="24"/>
          <w:szCs w:val="24"/>
          <w:lang w:val="en-US" w:eastAsia="en-AU"/>
        </w:rPr>
        <w:t>,000</w:t>
      </w:r>
    </w:p>
    <w:p w14:paraId="2AB7929C" w14:textId="77777777" w:rsidR="005D6E68" w:rsidRDefault="005D6E68" w:rsidP="00A23CAC">
      <w:pPr>
        <w:pStyle w:val="ListParagraph"/>
        <w:numPr>
          <w:ilvl w:val="0"/>
          <w:numId w:val="39"/>
        </w:numPr>
        <w:spacing w:after="240"/>
        <w:ind w:left="1134" w:hanging="425"/>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must </w:t>
      </w:r>
      <w:r w:rsidR="002B4257">
        <w:rPr>
          <w:rFonts w:eastAsia="Times New Roman" w:cs="Times New Roman"/>
          <w:sz w:val="24"/>
          <w:szCs w:val="24"/>
          <w:lang w:val="en-US" w:eastAsia="en-AU"/>
        </w:rPr>
        <w:t>specify the debt and its amount</w:t>
      </w:r>
    </w:p>
    <w:p w14:paraId="5F8032D4" w14:textId="77777777" w:rsidR="00D11968" w:rsidRDefault="00D11968" w:rsidP="00A23CAC">
      <w:pPr>
        <w:pStyle w:val="ListParagraph"/>
        <w:numPr>
          <w:ilvl w:val="0"/>
          <w:numId w:val="39"/>
        </w:numPr>
        <w:spacing w:after="240"/>
        <w:ind w:left="1134" w:hanging="425"/>
        <w:contextualSpacing w:val="0"/>
        <w:jc w:val="both"/>
        <w:rPr>
          <w:rFonts w:eastAsia="Times New Roman" w:cs="Times New Roman"/>
          <w:sz w:val="24"/>
          <w:szCs w:val="24"/>
          <w:lang w:val="en-US" w:eastAsia="en-AU"/>
        </w:rPr>
      </w:pPr>
      <w:r>
        <w:rPr>
          <w:rFonts w:eastAsia="Times New Roman" w:cs="Times New Roman"/>
          <w:sz w:val="24"/>
          <w:szCs w:val="24"/>
          <w:lang w:val="en-US" w:eastAsia="en-AU"/>
        </w:rPr>
        <w:t>must be in writing, in accordance with the prescribed</w:t>
      </w:r>
      <w:r w:rsidR="00D9324C">
        <w:rPr>
          <w:rFonts w:eastAsia="Times New Roman" w:cs="Times New Roman"/>
          <w:sz w:val="24"/>
          <w:szCs w:val="24"/>
          <w:lang w:val="en-US" w:eastAsia="en-AU"/>
        </w:rPr>
        <w:t xml:space="preserve"> form, which is</w:t>
      </w:r>
      <w:r w:rsidR="002B4257">
        <w:rPr>
          <w:rFonts w:eastAsia="Times New Roman" w:cs="Times New Roman"/>
          <w:sz w:val="24"/>
          <w:szCs w:val="24"/>
          <w:lang w:val="en-US" w:eastAsia="en-AU"/>
        </w:rPr>
        <w:t xml:space="preserve"> Form 509H</w:t>
      </w:r>
    </w:p>
    <w:p w14:paraId="542AC5C8" w14:textId="1CE96483" w:rsidR="00D11968" w:rsidRDefault="00D11968" w:rsidP="00A23CAC">
      <w:pPr>
        <w:pStyle w:val="ListParagraph"/>
        <w:numPr>
          <w:ilvl w:val="0"/>
          <w:numId w:val="39"/>
        </w:numPr>
        <w:spacing w:after="240"/>
        <w:ind w:left="1134" w:hanging="425"/>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must require compliance with the demand within </w:t>
      </w:r>
      <w:r w:rsidR="001E7366">
        <w:rPr>
          <w:rFonts w:eastAsia="Times New Roman" w:cs="Times New Roman"/>
          <w:sz w:val="24"/>
          <w:szCs w:val="24"/>
          <w:lang w:val="en-US" w:eastAsia="en-AU"/>
        </w:rPr>
        <w:t xml:space="preserve">the statutory period (currently </w:t>
      </w:r>
      <w:r w:rsidR="001E7366" w:rsidRPr="00AF325B">
        <w:rPr>
          <w:rFonts w:eastAsia="Times New Roman" w:cs="Times New Roman"/>
          <w:sz w:val="24"/>
          <w:szCs w:val="24"/>
          <w:lang w:val="en-US" w:eastAsia="en-AU"/>
        </w:rPr>
        <w:t>21 days</w:t>
      </w:r>
      <w:r w:rsidR="001E7366">
        <w:rPr>
          <w:rFonts w:eastAsia="Times New Roman" w:cs="Times New Roman"/>
          <w:sz w:val="24"/>
          <w:szCs w:val="24"/>
          <w:lang w:val="en-US" w:eastAsia="en-AU"/>
        </w:rPr>
        <w:t>)</w:t>
      </w:r>
      <w:r w:rsidR="001E7366" w:rsidRPr="00AF325B">
        <w:rPr>
          <w:rFonts w:eastAsia="Times New Roman" w:cs="Times New Roman"/>
          <w:sz w:val="24"/>
          <w:szCs w:val="24"/>
          <w:lang w:val="en-US" w:eastAsia="en-AU"/>
        </w:rPr>
        <w:t xml:space="preserve"> </w:t>
      </w:r>
      <w:r>
        <w:rPr>
          <w:rFonts w:eastAsia="Times New Roman" w:cs="Times New Roman"/>
          <w:sz w:val="24"/>
          <w:szCs w:val="24"/>
          <w:lang w:val="en-US" w:eastAsia="en-AU"/>
        </w:rPr>
        <w:t xml:space="preserve">after the </w:t>
      </w:r>
      <w:r w:rsidR="002B4257">
        <w:rPr>
          <w:rFonts w:eastAsia="Times New Roman" w:cs="Times New Roman"/>
          <w:sz w:val="24"/>
          <w:szCs w:val="24"/>
          <w:lang w:val="en-US" w:eastAsia="en-AU"/>
        </w:rPr>
        <w:t>demand is served on the company</w:t>
      </w:r>
    </w:p>
    <w:p w14:paraId="07F27089" w14:textId="77777777" w:rsidR="00D11968" w:rsidRDefault="00D11968" w:rsidP="00A23CAC">
      <w:pPr>
        <w:pStyle w:val="ListParagraph"/>
        <w:numPr>
          <w:ilvl w:val="0"/>
          <w:numId w:val="39"/>
        </w:numPr>
        <w:spacing w:after="240"/>
        <w:ind w:left="1134" w:hanging="425"/>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must be signed </w:t>
      </w:r>
      <w:r w:rsidR="002B4257">
        <w:rPr>
          <w:rFonts w:eastAsia="Times New Roman" w:cs="Times New Roman"/>
          <w:sz w:val="24"/>
          <w:szCs w:val="24"/>
          <w:lang w:val="en-US" w:eastAsia="en-AU"/>
        </w:rPr>
        <w:t>by or on behalf of the creditor,</w:t>
      </w:r>
      <w:r w:rsidR="004D78FD">
        <w:rPr>
          <w:rFonts w:eastAsia="Times New Roman" w:cs="Times New Roman"/>
          <w:sz w:val="24"/>
          <w:szCs w:val="24"/>
          <w:lang w:val="en-US" w:eastAsia="en-AU"/>
        </w:rPr>
        <w:t xml:space="preserve"> and</w:t>
      </w:r>
    </w:p>
    <w:p w14:paraId="7AD3FA4D" w14:textId="40C1C397" w:rsidR="00D11968" w:rsidRDefault="004D78FD" w:rsidP="00A23CAC">
      <w:pPr>
        <w:pStyle w:val="ListParagraph"/>
        <w:numPr>
          <w:ilvl w:val="0"/>
          <w:numId w:val="39"/>
        </w:numPr>
        <w:spacing w:after="240"/>
        <w:ind w:left="1134" w:hanging="425"/>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if relying on a debt that is not a judgment debt, the demand must be accompanied by an affidavit that verifies the debt is due and payable </w:t>
      </w:r>
      <w:r w:rsidR="008A1299">
        <w:rPr>
          <w:rFonts w:eastAsia="Times New Roman" w:cs="Times New Roman"/>
          <w:sz w:val="24"/>
          <w:szCs w:val="24"/>
          <w:lang w:val="en-US" w:eastAsia="en-AU"/>
        </w:rPr>
        <w:t>by</w:t>
      </w:r>
      <w:r w:rsidR="004B2C85">
        <w:rPr>
          <w:rFonts w:eastAsia="Times New Roman" w:cs="Times New Roman"/>
          <w:sz w:val="24"/>
          <w:szCs w:val="24"/>
          <w:lang w:val="en-US" w:eastAsia="en-AU"/>
        </w:rPr>
        <w:t xml:space="preserve"> the</w:t>
      </w:r>
      <w:r>
        <w:rPr>
          <w:rFonts w:eastAsia="Times New Roman" w:cs="Times New Roman"/>
          <w:sz w:val="24"/>
          <w:szCs w:val="24"/>
          <w:lang w:val="en-US" w:eastAsia="en-AU"/>
        </w:rPr>
        <w:t xml:space="preserve"> company and complies </w:t>
      </w:r>
      <w:r w:rsidR="002B4257">
        <w:rPr>
          <w:rFonts w:eastAsia="Times New Roman" w:cs="Times New Roman"/>
          <w:sz w:val="24"/>
          <w:szCs w:val="24"/>
          <w:lang w:val="en-US" w:eastAsia="en-AU"/>
        </w:rPr>
        <w:t>with the rules (</w:t>
      </w:r>
      <w:r w:rsidR="007119AE" w:rsidRPr="00D93DEC">
        <w:rPr>
          <w:rFonts w:eastAsia="Times New Roman" w:cs="Times New Roman"/>
          <w:sz w:val="24"/>
          <w:szCs w:val="24"/>
          <w:lang w:val="en-US" w:eastAsia="en-AU"/>
        </w:rPr>
        <w:t>Corporations Form 7 – Affidavit accompanying Statutory Demand</w:t>
      </w:r>
      <w:r>
        <w:rPr>
          <w:rFonts w:eastAsia="Times New Roman" w:cs="Times New Roman"/>
          <w:sz w:val="24"/>
          <w:szCs w:val="24"/>
          <w:lang w:val="en-US" w:eastAsia="en-AU"/>
        </w:rPr>
        <w:t>).</w:t>
      </w:r>
      <w:r w:rsidR="00A23CAC">
        <w:rPr>
          <w:rFonts w:eastAsia="Times New Roman" w:cs="Times New Roman"/>
          <w:sz w:val="24"/>
          <w:szCs w:val="24"/>
          <w:lang w:val="en-US" w:eastAsia="en-AU"/>
        </w:rPr>
        <w:t xml:space="preserve"> The affidavit verifying the </w:t>
      </w:r>
      <w:r w:rsidR="002B4257">
        <w:rPr>
          <w:rFonts w:eastAsia="Times New Roman" w:cs="Times New Roman"/>
          <w:sz w:val="24"/>
          <w:szCs w:val="24"/>
          <w:lang w:val="en-US" w:eastAsia="en-AU"/>
        </w:rPr>
        <w:t>Statutory Demand</w:t>
      </w:r>
      <w:r w:rsidR="00A23CAC">
        <w:rPr>
          <w:rFonts w:eastAsia="Times New Roman" w:cs="Times New Roman"/>
          <w:sz w:val="24"/>
          <w:szCs w:val="24"/>
          <w:lang w:val="en-US" w:eastAsia="en-AU"/>
        </w:rPr>
        <w:t xml:space="preserve"> must not pre-date the </w:t>
      </w:r>
      <w:r w:rsidR="002B4257">
        <w:rPr>
          <w:rFonts w:eastAsia="Times New Roman" w:cs="Times New Roman"/>
          <w:sz w:val="24"/>
          <w:szCs w:val="24"/>
          <w:lang w:val="en-US" w:eastAsia="en-AU"/>
        </w:rPr>
        <w:t>Statutory Demand</w:t>
      </w:r>
      <w:r w:rsidR="00A23CAC">
        <w:rPr>
          <w:rFonts w:eastAsia="Times New Roman" w:cs="Times New Roman"/>
          <w:sz w:val="24"/>
          <w:szCs w:val="24"/>
          <w:lang w:val="en-US" w:eastAsia="en-AU"/>
        </w:rPr>
        <w:t>.</w:t>
      </w:r>
    </w:p>
    <w:p w14:paraId="31366791" w14:textId="567EFD33" w:rsidR="00497D13" w:rsidRPr="00A23CAC" w:rsidRDefault="001C18BB" w:rsidP="00116AA6">
      <w:pPr>
        <w:pStyle w:val="ListParagraph"/>
        <w:numPr>
          <w:ilvl w:val="1"/>
          <w:numId w:val="43"/>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A </w:t>
      </w:r>
      <w:r w:rsidR="002B4257">
        <w:rPr>
          <w:rFonts w:eastAsia="Times New Roman" w:cs="Times New Roman"/>
          <w:sz w:val="24"/>
          <w:szCs w:val="24"/>
          <w:lang w:val="en-US" w:eastAsia="en-AU"/>
        </w:rPr>
        <w:t>Statutory Demand</w:t>
      </w:r>
      <w:r w:rsidR="00B04353">
        <w:rPr>
          <w:rFonts w:eastAsia="Times New Roman" w:cs="Times New Roman"/>
          <w:sz w:val="24"/>
          <w:szCs w:val="24"/>
          <w:lang w:val="en-US" w:eastAsia="en-AU"/>
        </w:rPr>
        <w:t xml:space="preserve"> in the correct form is given effect b</w:t>
      </w:r>
      <w:r>
        <w:rPr>
          <w:rFonts w:eastAsia="Times New Roman" w:cs="Times New Roman"/>
          <w:sz w:val="24"/>
          <w:szCs w:val="24"/>
          <w:lang w:val="en-US" w:eastAsia="en-AU"/>
        </w:rPr>
        <w:t xml:space="preserve">y serving the demand and any accompanying affidavit on the company. </w:t>
      </w:r>
      <w:r w:rsidR="00B7082C">
        <w:rPr>
          <w:rFonts w:eastAsia="Times New Roman" w:cs="Times New Roman"/>
          <w:sz w:val="24"/>
          <w:szCs w:val="24"/>
          <w:lang w:val="en-US" w:eastAsia="en-AU"/>
        </w:rPr>
        <w:t>Service would generally be in accordance with s</w:t>
      </w:r>
      <w:r w:rsidR="00B7082C" w:rsidRPr="00AF325B">
        <w:rPr>
          <w:rFonts w:eastAsia="Times New Roman" w:cs="Times New Roman"/>
          <w:sz w:val="24"/>
          <w:szCs w:val="24"/>
          <w:lang w:val="en-US" w:eastAsia="en-AU"/>
        </w:rPr>
        <w:t xml:space="preserve">109X of the </w:t>
      </w:r>
      <w:r w:rsidR="00B7082C" w:rsidRPr="007800C6">
        <w:rPr>
          <w:rFonts w:eastAsia="Times New Roman" w:cs="Times New Roman"/>
          <w:sz w:val="24"/>
          <w:szCs w:val="24"/>
          <w:lang w:val="en-US" w:eastAsia="en-AU"/>
        </w:rPr>
        <w:t>Corporations Act</w:t>
      </w:r>
      <w:r w:rsidR="00B7082C">
        <w:rPr>
          <w:rFonts w:eastAsia="Times New Roman" w:cs="Times New Roman"/>
          <w:sz w:val="24"/>
          <w:szCs w:val="24"/>
          <w:lang w:val="en-US" w:eastAsia="en-AU"/>
        </w:rPr>
        <w:t xml:space="preserve"> which provides that a document may be served on a company by leaving it at, or posting it to the company’s registered office or by delivering the document personally to a director who resides in Australia.  Where documents are served by prepaid post at the registered office, s29 of the </w:t>
      </w:r>
      <w:hyperlink r:id="rId13" w:history="1">
        <w:r w:rsidR="00B7082C" w:rsidRPr="00CC6C3F">
          <w:rPr>
            <w:rStyle w:val="Hyperlink"/>
            <w:rFonts w:asciiTheme="minorHAnsi" w:eastAsia="Times New Roman" w:hAnsiTheme="minorHAnsi" w:cs="Times New Roman"/>
            <w:i/>
            <w:sz w:val="24"/>
            <w:szCs w:val="24"/>
            <w:lang w:val="en-US" w:eastAsia="en-AU"/>
          </w:rPr>
          <w:t>Acts Interpretation Act 1901</w:t>
        </w:r>
      </w:hyperlink>
      <w:r w:rsidR="00B7082C">
        <w:rPr>
          <w:rFonts w:eastAsia="Times New Roman" w:cs="Times New Roman"/>
          <w:i/>
          <w:sz w:val="24"/>
          <w:szCs w:val="24"/>
          <w:lang w:val="en-US" w:eastAsia="en-AU"/>
        </w:rPr>
        <w:t xml:space="preserve"> </w:t>
      </w:r>
      <w:r w:rsidR="00B7082C">
        <w:rPr>
          <w:rFonts w:eastAsia="Times New Roman" w:cs="Times New Roman"/>
          <w:sz w:val="24"/>
          <w:szCs w:val="24"/>
          <w:lang w:val="en-US" w:eastAsia="en-AU"/>
        </w:rPr>
        <w:t>(Cth)</w:t>
      </w:r>
      <w:r w:rsidR="00B7082C">
        <w:rPr>
          <w:rFonts w:eastAsia="Times New Roman" w:cs="Times New Roman"/>
          <w:i/>
          <w:sz w:val="24"/>
          <w:szCs w:val="24"/>
          <w:lang w:val="en-US" w:eastAsia="en-AU"/>
        </w:rPr>
        <w:t xml:space="preserve"> </w:t>
      </w:r>
      <w:r w:rsidR="00B7082C" w:rsidRPr="00B0212D">
        <w:rPr>
          <w:rFonts w:eastAsia="Times New Roman" w:cs="Times New Roman"/>
          <w:sz w:val="24"/>
          <w:szCs w:val="24"/>
          <w:lang w:val="en-US" w:eastAsia="en-AU"/>
        </w:rPr>
        <w:t xml:space="preserve">deems a document to be served, subject to the contrary </w:t>
      </w:r>
      <w:r w:rsidR="00B7082C" w:rsidRPr="00B0212D">
        <w:rPr>
          <w:rFonts w:eastAsia="Times New Roman" w:cs="Times New Roman"/>
          <w:sz w:val="24"/>
          <w:szCs w:val="24"/>
          <w:lang w:val="en-US" w:eastAsia="en-AU"/>
        </w:rPr>
        <w:lastRenderedPageBreak/>
        <w:t xml:space="preserve">being proven, where there’s direct and admissible </w:t>
      </w:r>
      <w:r w:rsidR="00B7082C">
        <w:rPr>
          <w:rFonts w:eastAsia="Times New Roman" w:cs="Times New Roman"/>
          <w:sz w:val="24"/>
          <w:szCs w:val="24"/>
          <w:lang w:val="en-US" w:eastAsia="en-AU"/>
        </w:rPr>
        <w:t xml:space="preserve">proof that the document was posted in an envelope with the correct name and address; proof that the envelope contained the relevant documents to be served; proof that the envelope was prepaid and bore the correct cost of postage and proof that the envelope was placed in the post.  Under s160 of the </w:t>
      </w:r>
      <w:hyperlink r:id="rId14" w:history="1">
        <w:r w:rsidR="00B7082C" w:rsidRPr="00E004F7">
          <w:rPr>
            <w:rStyle w:val="Hyperlink"/>
            <w:rFonts w:asciiTheme="minorHAnsi" w:eastAsia="Times New Roman" w:hAnsiTheme="minorHAnsi" w:cs="Times New Roman"/>
            <w:i/>
            <w:sz w:val="24"/>
            <w:szCs w:val="24"/>
            <w:lang w:val="en-US" w:eastAsia="en-AU"/>
          </w:rPr>
          <w:t>Evidence Act 1995</w:t>
        </w:r>
      </w:hyperlink>
      <w:r w:rsidR="00B7082C">
        <w:rPr>
          <w:rFonts w:eastAsia="Times New Roman" w:cs="Times New Roman"/>
          <w:i/>
          <w:sz w:val="24"/>
          <w:szCs w:val="24"/>
          <w:lang w:val="en-US" w:eastAsia="en-AU"/>
        </w:rPr>
        <w:t xml:space="preserve"> </w:t>
      </w:r>
      <w:r w:rsidR="00B7082C">
        <w:rPr>
          <w:rFonts w:eastAsia="Times New Roman" w:cs="Times New Roman"/>
          <w:sz w:val="24"/>
          <w:szCs w:val="24"/>
          <w:lang w:val="en-US" w:eastAsia="en-AU"/>
        </w:rPr>
        <w:t xml:space="preserve">(Cth), a document which is posted is presumed to be served on the </w:t>
      </w:r>
      <w:r w:rsidR="00804DD7">
        <w:rPr>
          <w:rFonts w:eastAsia="Times New Roman" w:cs="Times New Roman"/>
          <w:sz w:val="24"/>
          <w:szCs w:val="24"/>
          <w:lang w:val="en-US" w:eastAsia="en-AU"/>
        </w:rPr>
        <w:t xml:space="preserve">seventh </w:t>
      </w:r>
      <w:r w:rsidR="00B7082C">
        <w:rPr>
          <w:rFonts w:eastAsia="Times New Roman" w:cs="Times New Roman"/>
          <w:sz w:val="24"/>
          <w:szCs w:val="24"/>
          <w:lang w:val="en-US" w:eastAsia="en-AU"/>
        </w:rPr>
        <w:t xml:space="preserve">working day after posting unless there is contrary evidence. </w:t>
      </w:r>
      <w:r w:rsidR="00B7082C" w:rsidRPr="00AF325B">
        <w:rPr>
          <w:rFonts w:eastAsia="Times New Roman" w:cs="Times New Roman"/>
          <w:sz w:val="24"/>
          <w:szCs w:val="24"/>
          <w:lang w:val="en-US" w:eastAsia="en-AU"/>
        </w:rPr>
        <w:t xml:space="preserve">For more information about service see: </w:t>
      </w:r>
      <w:r w:rsidR="00B7082C">
        <w:rPr>
          <w:rFonts w:eastAsia="Times New Roman" w:cs="Times New Roman"/>
          <w:sz w:val="24"/>
          <w:szCs w:val="24"/>
          <w:lang w:val="en-US" w:eastAsia="en-AU"/>
        </w:rPr>
        <w:t>s</w:t>
      </w:r>
      <w:r w:rsidR="00B7082C" w:rsidRPr="00AF325B">
        <w:rPr>
          <w:rFonts w:eastAsia="Times New Roman" w:cs="Times New Roman"/>
          <w:sz w:val="24"/>
          <w:szCs w:val="24"/>
          <w:lang w:val="en-US" w:eastAsia="en-AU"/>
        </w:rPr>
        <w:t xml:space="preserve">109X of the </w:t>
      </w:r>
      <w:r w:rsidR="00B7082C" w:rsidRPr="007800C6">
        <w:rPr>
          <w:rFonts w:eastAsia="Times New Roman" w:cs="Times New Roman"/>
          <w:sz w:val="24"/>
          <w:szCs w:val="24"/>
          <w:lang w:val="en-US" w:eastAsia="en-AU"/>
        </w:rPr>
        <w:t>Corporations Act</w:t>
      </w:r>
      <w:r w:rsidR="00B7082C">
        <w:rPr>
          <w:rFonts w:eastAsia="Times New Roman" w:cs="Times New Roman"/>
          <w:sz w:val="24"/>
          <w:szCs w:val="24"/>
          <w:lang w:val="en-US" w:eastAsia="en-AU"/>
        </w:rPr>
        <w:t>; s</w:t>
      </w:r>
      <w:r w:rsidR="00B7082C" w:rsidRPr="00AF325B">
        <w:rPr>
          <w:rFonts w:eastAsia="Times New Roman" w:cs="Times New Roman"/>
          <w:sz w:val="24"/>
          <w:szCs w:val="24"/>
          <w:lang w:val="en-US" w:eastAsia="en-AU"/>
        </w:rPr>
        <w:t xml:space="preserve">29 of the </w:t>
      </w:r>
      <w:r w:rsidR="00B7082C" w:rsidRPr="007119AE">
        <w:rPr>
          <w:rFonts w:eastAsia="Times New Roman" w:cs="Times New Roman"/>
          <w:sz w:val="24"/>
          <w:szCs w:val="24"/>
          <w:lang w:val="en-US" w:eastAsia="en-AU"/>
        </w:rPr>
        <w:t>Acts Interpretation Act</w:t>
      </w:r>
      <w:r w:rsidR="00B7082C">
        <w:rPr>
          <w:rFonts w:eastAsia="Times New Roman" w:cs="Times New Roman"/>
          <w:i/>
          <w:sz w:val="24"/>
          <w:szCs w:val="24"/>
          <w:lang w:val="en" w:eastAsia="en-AU"/>
        </w:rPr>
        <w:t xml:space="preserve"> </w:t>
      </w:r>
      <w:r w:rsidR="00B7082C" w:rsidRPr="00AF325B">
        <w:rPr>
          <w:rFonts w:eastAsia="Times New Roman" w:cs="Times New Roman"/>
          <w:sz w:val="24"/>
          <w:szCs w:val="24"/>
          <w:lang w:val="en-US" w:eastAsia="en-AU"/>
        </w:rPr>
        <w:t xml:space="preserve">and s160 of the </w:t>
      </w:r>
      <w:r w:rsidR="00B7082C" w:rsidRPr="007119AE">
        <w:rPr>
          <w:rFonts w:eastAsia="Times New Roman" w:cs="Times New Roman"/>
          <w:sz w:val="24"/>
          <w:szCs w:val="24"/>
          <w:lang w:val="en-US" w:eastAsia="en-AU"/>
        </w:rPr>
        <w:t>Evidence Act.</w:t>
      </w:r>
    </w:p>
    <w:p w14:paraId="0F2FE871" w14:textId="77777777" w:rsidR="002F3166" w:rsidRDefault="002F3166" w:rsidP="00116AA6">
      <w:pPr>
        <w:pStyle w:val="ListParagraph"/>
        <w:numPr>
          <w:ilvl w:val="1"/>
          <w:numId w:val="43"/>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Serving a demand has serious consequences and a creditor should obtain legal advice to ensure it is entitled to make a </w:t>
      </w:r>
      <w:r w:rsidR="002B4257">
        <w:rPr>
          <w:rFonts w:eastAsia="Times New Roman" w:cs="Times New Roman"/>
          <w:sz w:val="24"/>
          <w:szCs w:val="24"/>
          <w:lang w:val="en-US" w:eastAsia="en-AU"/>
        </w:rPr>
        <w:t>Statutory Demand</w:t>
      </w:r>
      <w:r>
        <w:rPr>
          <w:rFonts w:eastAsia="Times New Roman" w:cs="Times New Roman"/>
          <w:sz w:val="24"/>
          <w:szCs w:val="24"/>
          <w:lang w:val="en-US" w:eastAsia="en-AU"/>
        </w:rPr>
        <w:t xml:space="preserve">. </w:t>
      </w:r>
    </w:p>
    <w:p w14:paraId="3BF4E475" w14:textId="77777777" w:rsidR="00401539" w:rsidRPr="00CC6C3F" w:rsidRDefault="000B3EB1" w:rsidP="00A23CAC">
      <w:pPr>
        <w:pStyle w:val="ListParagraph"/>
        <w:keepNext/>
        <w:spacing w:after="240"/>
        <w:ind w:left="709"/>
        <w:contextualSpacing w:val="0"/>
        <w:jc w:val="both"/>
        <w:rPr>
          <w:rFonts w:eastAsia="Times New Roman" w:cs="Times New Roman"/>
          <w:i/>
          <w:sz w:val="24"/>
          <w:szCs w:val="24"/>
          <w:lang w:val="en-US" w:eastAsia="en-AU"/>
        </w:rPr>
      </w:pPr>
      <w:r w:rsidRPr="00CC6C3F">
        <w:rPr>
          <w:rFonts w:eastAsia="Times New Roman" w:cs="Times New Roman"/>
          <w:i/>
          <w:sz w:val="24"/>
          <w:szCs w:val="24"/>
          <w:lang w:val="en-US" w:eastAsia="en-AU"/>
        </w:rPr>
        <w:t>The period for c</w:t>
      </w:r>
      <w:r w:rsidR="00401539" w:rsidRPr="00CC6C3F">
        <w:rPr>
          <w:rFonts w:eastAsia="Times New Roman" w:cs="Times New Roman"/>
          <w:i/>
          <w:sz w:val="24"/>
          <w:szCs w:val="24"/>
          <w:lang w:val="en-US" w:eastAsia="en-AU"/>
        </w:rPr>
        <w:t xml:space="preserve">ompliance with a </w:t>
      </w:r>
      <w:r w:rsidR="002B4257" w:rsidRPr="00CC6C3F">
        <w:rPr>
          <w:rFonts w:eastAsia="Times New Roman" w:cs="Times New Roman"/>
          <w:i/>
          <w:sz w:val="24"/>
          <w:szCs w:val="24"/>
          <w:lang w:val="en-US" w:eastAsia="en-AU"/>
        </w:rPr>
        <w:t>Statutory Demand</w:t>
      </w:r>
    </w:p>
    <w:p w14:paraId="3CED3931" w14:textId="60C47A9F" w:rsidR="009529C7" w:rsidRDefault="0044696B" w:rsidP="00116AA6">
      <w:pPr>
        <w:pStyle w:val="ListParagraph"/>
        <w:numPr>
          <w:ilvl w:val="1"/>
          <w:numId w:val="43"/>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If</w:t>
      </w:r>
      <w:r w:rsidR="006C1649">
        <w:rPr>
          <w:rFonts w:eastAsia="Times New Roman" w:cs="Times New Roman"/>
          <w:sz w:val="24"/>
          <w:szCs w:val="24"/>
          <w:lang w:val="en-US" w:eastAsia="en-AU"/>
        </w:rPr>
        <w:t xml:space="preserve"> a debtor company is served with a </w:t>
      </w:r>
      <w:r w:rsidR="002B4257">
        <w:rPr>
          <w:rFonts w:eastAsia="Times New Roman" w:cs="Times New Roman"/>
          <w:sz w:val="24"/>
          <w:szCs w:val="24"/>
          <w:lang w:val="en-US" w:eastAsia="en-AU"/>
        </w:rPr>
        <w:t>Statutory Demand</w:t>
      </w:r>
      <w:r w:rsidR="006C1649">
        <w:rPr>
          <w:rFonts w:eastAsia="Times New Roman" w:cs="Times New Roman"/>
          <w:sz w:val="24"/>
          <w:szCs w:val="24"/>
          <w:lang w:val="en-US" w:eastAsia="en-AU"/>
        </w:rPr>
        <w:t>, it has</w:t>
      </w:r>
      <w:r w:rsidR="00804DD7">
        <w:rPr>
          <w:rFonts w:eastAsia="Times New Roman" w:cs="Times New Roman"/>
          <w:sz w:val="24"/>
          <w:szCs w:val="24"/>
          <w:lang w:val="en-US" w:eastAsia="en-AU"/>
        </w:rPr>
        <w:t xml:space="preserve"> the statutory period (currently</w:t>
      </w:r>
      <w:r w:rsidR="006C1649">
        <w:rPr>
          <w:rFonts w:eastAsia="Times New Roman" w:cs="Times New Roman"/>
          <w:sz w:val="24"/>
          <w:szCs w:val="24"/>
          <w:lang w:val="en-US" w:eastAsia="en-AU"/>
        </w:rPr>
        <w:t xml:space="preserve"> </w:t>
      </w:r>
      <w:r w:rsidR="003E4ACD" w:rsidRPr="00AF325B">
        <w:rPr>
          <w:rFonts w:eastAsia="Times New Roman" w:cs="Times New Roman"/>
          <w:sz w:val="24"/>
          <w:szCs w:val="24"/>
          <w:lang w:val="en-US" w:eastAsia="en-AU"/>
        </w:rPr>
        <w:t>21 days</w:t>
      </w:r>
      <w:r w:rsidR="00804DD7">
        <w:rPr>
          <w:rFonts w:eastAsia="Times New Roman" w:cs="Times New Roman"/>
          <w:sz w:val="24"/>
          <w:szCs w:val="24"/>
          <w:lang w:val="en-US" w:eastAsia="en-AU"/>
        </w:rPr>
        <w:t>)</w:t>
      </w:r>
      <w:r w:rsidR="003E4ACD" w:rsidRPr="00AF325B">
        <w:rPr>
          <w:rFonts w:eastAsia="Times New Roman" w:cs="Times New Roman"/>
          <w:sz w:val="24"/>
          <w:szCs w:val="24"/>
          <w:lang w:val="en-US" w:eastAsia="en-AU"/>
        </w:rPr>
        <w:t xml:space="preserve"> </w:t>
      </w:r>
      <w:r w:rsidR="00804DD7">
        <w:rPr>
          <w:rFonts w:eastAsia="Times New Roman" w:cs="Times New Roman"/>
          <w:sz w:val="24"/>
          <w:szCs w:val="24"/>
          <w:lang w:val="en-US" w:eastAsia="en-AU"/>
        </w:rPr>
        <w:t>after</w:t>
      </w:r>
      <w:r w:rsidR="00804DD7" w:rsidRPr="00AF325B">
        <w:rPr>
          <w:rFonts w:eastAsia="Times New Roman" w:cs="Times New Roman"/>
          <w:sz w:val="24"/>
          <w:szCs w:val="24"/>
          <w:lang w:val="en-US" w:eastAsia="en-AU"/>
        </w:rPr>
        <w:t xml:space="preserve"> </w:t>
      </w:r>
      <w:r w:rsidR="003E4ACD" w:rsidRPr="00AF325B">
        <w:rPr>
          <w:rFonts w:eastAsia="Times New Roman" w:cs="Times New Roman"/>
          <w:sz w:val="24"/>
          <w:szCs w:val="24"/>
          <w:lang w:val="en-US" w:eastAsia="en-AU"/>
        </w:rPr>
        <w:t>service of the demand to either</w:t>
      </w:r>
      <w:r w:rsidR="009529C7">
        <w:rPr>
          <w:rFonts w:eastAsia="Times New Roman" w:cs="Times New Roman"/>
          <w:sz w:val="24"/>
          <w:szCs w:val="24"/>
          <w:lang w:val="en-US" w:eastAsia="en-AU"/>
        </w:rPr>
        <w:t>:</w:t>
      </w:r>
    </w:p>
    <w:p w14:paraId="73B7DAB9" w14:textId="77777777" w:rsidR="009529C7" w:rsidRDefault="003E4ACD" w:rsidP="00A23CAC">
      <w:pPr>
        <w:pStyle w:val="ListParagraph"/>
        <w:numPr>
          <w:ilvl w:val="0"/>
          <w:numId w:val="36"/>
        </w:numPr>
        <w:spacing w:after="240"/>
        <w:ind w:left="1276" w:hanging="567"/>
        <w:contextualSpacing w:val="0"/>
        <w:jc w:val="both"/>
        <w:rPr>
          <w:rFonts w:eastAsia="Times New Roman" w:cs="Times New Roman"/>
          <w:sz w:val="24"/>
          <w:szCs w:val="24"/>
          <w:lang w:val="en-US" w:eastAsia="en-AU"/>
        </w:rPr>
      </w:pPr>
      <w:r w:rsidRPr="00AF325B">
        <w:rPr>
          <w:rFonts w:eastAsia="Times New Roman" w:cs="Times New Roman"/>
          <w:sz w:val="24"/>
          <w:szCs w:val="24"/>
          <w:lang w:val="en-US" w:eastAsia="en-AU"/>
        </w:rPr>
        <w:t>comply with the demand</w:t>
      </w:r>
      <w:r w:rsidR="00CC6C3F">
        <w:rPr>
          <w:rFonts w:eastAsia="Times New Roman" w:cs="Times New Roman"/>
          <w:sz w:val="24"/>
          <w:szCs w:val="24"/>
          <w:lang w:val="en-US" w:eastAsia="en-AU"/>
        </w:rPr>
        <w:t>,</w:t>
      </w:r>
      <w:r w:rsidRPr="00AF325B">
        <w:rPr>
          <w:rFonts w:eastAsia="Times New Roman" w:cs="Times New Roman"/>
          <w:sz w:val="24"/>
          <w:szCs w:val="24"/>
          <w:lang w:val="en-US" w:eastAsia="en-AU"/>
        </w:rPr>
        <w:t xml:space="preserve"> or </w:t>
      </w:r>
    </w:p>
    <w:p w14:paraId="6F4EE7CF" w14:textId="77777777" w:rsidR="009529C7" w:rsidRDefault="00497D13" w:rsidP="00A23CAC">
      <w:pPr>
        <w:pStyle w:val="ListParagraph"/>
        <w:numPr>
          <w:ilvl w:val="0"/>
          <w:numId w:val="36"/>
        </w:numPr>
        <w:spacing w:after="240"/>
        <w:ind w:left="1276" w:hanging="567"/>
        <w:contextualSpacing w:val="0"/>
        <w:jc w:val="both"/>
        <w:rPr>
          <w:rFonts w:eastAsia="Times New Roman" w:cs="Times New Roman"/>
          <w:sz w:val="24"/>
          <w:szCs w:val="24"/>
          <w:lang w:val="en-US" w:eastAsia="en-AU"/>
        </w:rPr>
      </w:pPr>
      <w:r w:rsidRPr="00AF325B">
        <w:rPr>
          <w:rFonts w:eastAsia="Times New Roman" w:cs="Times New Roman"/>
          <w:sz w:val="24"/>
          <w:szCs w:val="24"/>
          <w:lang w:val="en-US" w:eastAsia="en-AU"/>
        </w:rPr>
        <w:t xml:space="preserve">apply to the Court under s459G of the Corporations Act for an order that the demand be set aside. </w:t>
      </w:r>
    </w:p>
    <w:p w14:paraId="411FF319" w14:textId="7A2C6993" w:rsidR="006442BC" w:rsidRPr="00A23CAC" w:rsidRDefault="006442BC" w:rsidP="00116AA6">
      <w:pPr>
        <w:pStyle w:val="ListParagraph"/>
        <w:numPr>
          <w:ilvl w:val="1"/>
          <w:numId w:val="43"/>
        </w:numPr>
        <w:spacing w:after="240"/>
        <w:ind w:left="709" w:hanging="709"/>
        <w:contextualSpacing w:val="0"/>
        <w:jc w:val="both"/>
        <w:rPr>
          <w:rFonts w:eastAsia="Times New Roman" w:cs="Times New Roman"/>
          <w:sz w:val="24"/>
          <w:szCs w:val="24"/>
          <w:lang w:val="en-US" w:eastAsia="en-AU"/>
        </w:rPr>
      </w:pPr>
      <w:r w:rsidRPr="00AF325B">
        <w:rPr>
          <w:rFonts w:eastAsia="Times New Roman" w:cs="Times New Roman"/>
          <w:sz w:val="24"/>
          <w:szCs w:val="24"/>
          <w:lang w:val="en-US" w:eastAsia="en-AU"/>
        </w:rPr>
        <w:t xml:space="preserve">Any application under s459G of the Corporations Act </w:t>
      </w:r>
      <w:r>
        <w:rPr>
          <w:rFonts w:eastAsia="Times New Roman" w:cs="Times New Roman"/>
          <w:sz w:val="24"/>
          <w:szCs w:val="24"/>
          <w:lang w:val="en-US" w:eastAsia="en-AU"/>
        </w:rPr>
        <w:t xml:space="preserve">to set aside a </w:t>
      </w:r>
      <w:r w:rsidR="002B4257">
        <w:rPr>
          <w:rFonts w:eastAsia="Times New Roman" w:cs="Times New Roman"/>
          <w:sz w:val="24"/>
          <w:szCs w:val="24"/>
          <w:lang w:val="en-US" w:eastAsia="en-AU"/>
        </w:rPr>
        <w:t>Statutory Demand</w:t>
      </w:r>
      <w:r>
        <w:rPr>
          <w:rFonts w:eastAsia="Times New Roman" w:cs="Times New Roman"/>
          <w:sz w:val="24"/>
          <w:szCs w:val="24"/>
          <w:lang w:val="en-US" w:eastAsia="en-AU"/>
        </w:rPr>
        <w:t xml:space="preserve"> </w:t>
      </w:r>
      <w:r w:rsidRPr="00AF325B">
        <w:rPr>
          <w:rFonts w:eastAsia="Times New Roman" w:cs="Times New Roman"/>
          <w:sz w:val="24"/>
          <w:szCs w:val="24"/>
          <w:lang w:val="en-US" w:eastAsia="en-AU"/>
        </w:rPr>
        <w:t xml:space="preserve">must be filed with the </w:t>
      </w:r>
      <w:r w:rsidR="00250FA3">
        <w:rPr>
          <w:rFonts w:eastAsia="Times New Roman" w:cs="Times New Roman"/>
          <w:sz w:val="24"/>
          <w:szCs w:val="24"/>
          <w:lang w:val="en-US" w:eastAsia="en-AU"/>
        </w:rPr>
        <w:t>C</w:t>
      </w:r>
      <w:r w:rsidRPr="00AF325B">
        <w:rPr>
          <w:rFonts w:eastAsia="Times New Roman" w:cs="Times New Roman"/>
          <w:sz w:val="24"/>
          <w:szCs w:val="24"/>
          <w:lang w:val="en-US" w:eastAsia="en-AU"/>
        </w:rPr>
        <w:t xml:space="preserve">ourt and served on the creditor within </w:t>
      </w:r>
      <w:r w:rsidR="00804DD7">
        <w:rPr>
          <w:rFonts w:eastAsia="Times New Roman" w:cs="Times New Roman"/>
          <w:sz w:val="24"/>
          <w:szCs w:val="24"/>
          <w:lang w:val="en-US" w:eastAsia="en-AU"/>
        </w:rPr>
        <w:t xml:space="preserve">the statutory period (currently </w:t>
      </w:r>
      <w:r w:rsidR="00804DD7" w:rsidRPr="00AF325B">
        <w:rPr>
          <w:rFonts w:eastAsia="Times New Roman" w:cs="Times New Roman"/>
          <w:sz w:val="24"/>
          <w:szCs w:val="24"/>
          <w:lang w:val="en-US" w:eastAsia="en-AU"/>
        </w:rPr>
        <w:t>21 days</w:t>
      </w:r>
      <w:r w:rsidR="00804DD7">
        <w:rPr>
          <w:rFonts w:eastAsia="Times New Roman" w:cs="Times New Roman"/>
          <w:sz w:val="24"/>
          <w:szCs w:val="24"/>
          <w:lang w:val="en-US" w:eastAsia="en-AU"/>
        </w:rPr>
        <w:t>)</w:t>
      </w:r>
      <w:r w:rsidR="00804DD7" w:rsidRPr="00AF325B">
        <w:rPr>
          <w:rFonts w:eastAsia="Times New Roman" w:cs="Times New Roman"/>
          <w:sz w:val="24"/>
          <w:szCs w:val="24"/>
          <w:lang w:val="en-US" w:eastAsia="en-AU"/>
        </w:rPr>
        <w:t xml:space="preserve"> </w:t>
      </w:r>
      <w:r w:rsidRPr="00AF325B">
        <w:rPr>
          <w:rFonts w:eastAsia="Times New Roman" w:cs="Times New Roman"/>
          <w:sz w:val="24"/>
          <w:szCs w:val="24"/>
          <w:lang w:val="en-US" w:eastAsia="en-AU"/>
        </w:rPr>
        <w:t>after service of the demand. The compliance period ha</w:t>
      </w:r>
      <w:r w:rsidR="00250FA3">
        <w:rPr>
          <w:rFonts w:eastAsia="Times New Roman" w:cs="Times New Roman"/>
          <w:sz w:val="24"/>
          <w:szCs w:val="24"/>
          <w:lang w:val="en-US" w:eastAsia="en-AU"/>
        </w:rPr>
        <w:t>s been strictly applied by the c</w:t>
      </w:r>
      <w:r w:rsidRPr="00AF325B">
        <w:rPr>
          <w:rFonts w:eastAsia="Times New Roman" w:cs="Times New Roman"/>
          <w:sz w:val="24"/>
          <w:szCs w:val="24"/>
          <w:lang w:val="en-US" w:eastAsia="en-AU"/>
        </w:rPr>
        <w:t xml:space="preserve">ourts and no extensions of time, or dispensation with these requirements, can be given. </w:t>
      </w:r>
    </w:p>
    <w:p w14:paraId="01BDEC83" w14:textId="77777777" w:rsidR="009529C7" w:rsidRDefault="008B22F5" w:rsidP="00116AA6">
      <w:pPr>
        <w:pStyle w:val="ListParagraph"/>
        <w:numPr>
          <w:ilvl w:val="1"/>
          <w:numId w:val="43"/>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T</w:t>
      </w:r>
      <w:r w:rsidR="00645112" w:rsidRPr="00AF325B">
        <w:rPr>
          <w:rFonts w:eastAsia="Times New Roman" w:cs="Times New Roman"/>
          <w:sz w:val="24"/>
          <w:szCs w:val="24"/>
          <w:lang w:val="en-US" w:eastAsia="en-AU"/>
        </w:rPr>
        <w:t xml:space="preserve">he </w:t>
      </w:r>
      <w:r w:rsidR="006C1649">
        <w:rPr>
          <w:rFonts w:eastAsia="Times New Roman" w:cs="Times New Roman"/>
          <w:sz w:val="24"/>
          <w:szCs w:val="24"/>
          <w:lang w:val="en-US" w:eastAsia="en-AU"/>
        </w:rPr>
        <w:t>C</w:t>
      </w:r>
      <w:r w:rsidR="006C1649" w:rsidRPr="00AF325B">
        <w:rPr>
          <w:rFonts w:eastAsia="Times New Roman" w:cs="Times New Roman"/>
          <w:sz w:val="24"/>
          <w:szCs w:val="24"/>
          <w:lang w:val="en-US" w:eastAsia="en-AU"/>
        </w:rPr>
        <w:t xml:space="preserve">ourt </w:t>
      </w:r>
      <w:r w:rsidR="00645112" w:rsidRPr="00AF325B">
        <w:rPr>
          <w:rFonts w:eastAsia="Times New Roman" w:cs="Times New Roman"/>
          <w:sz w:val="24"/>
          <w:szCs w:val="24"/>
          <w:lang w:val="en-US" w:eastAsia="en-AU"/>
        </w:rPr>
        <w:t xml:space="preserve">may set aside a </w:t>
      </w:r>
      <w:r w:rsidR="002B4257">
        <w:rPr>
          <w:rFonts w:eastAsia="Times New Roman" w:cs="Times New Roman"/>
          <w:sz w:val="24"/>
          <w:szCs w:val="24"/>
          <w:lang w:val="en-US" w:eastAsia="en-AU"/>
        </w:rPr>
        <w:t>Statutory Demand</w:t>
      </w:r>
      <w:r w:rsidR="00645112" w:rsidRPr="00AF325B">
        <w:rPr>
          <w:rFonts w:eastAsia="Times New Roman" w:cs="Times New Roman"/>
          <w:sz w:val="24"/>
          <w:szCs w:val="24"/>
          <w:lang w:val="en-US" w:eastAsia="en-AU"/>
        </w:rPr>
        <w:t xml:space="preserve"> </w:t>
      </w:r>
      <w:r w:rsidR="009529C7">
        <w:rPr>
          <w:rFonts w:eastAsia="Times New Roman" w:cs="Times New Roman"/>
          <w:sz w:val="24"/>
          <w:szCs w:val="24"/>
          <w:lang w:val="en-US" w:eastAsia="en-AU"/>
        </w:rPr>
        <w:t>if:</w:t>
      </w:r>
    </w:p>
    <w:p w14:paraId="6E271CAD" w14:textId="77777777" w:rsidR="009529C7" w:rsidRDefault="00645112" w:rsidP="00A23CAC">
      <w:pPr>
        <w:pStyle w:val="ListParagraph"/>
        <w:numPr>
          <w:ilvl w:val="0"/>
          <w:numId w:val="38"/>
        </w:numPr>
        <w:spacing w:after="240"/>
        <w:ind w:left="1276" w:hanging="567"/>
        <w:contextualSpacing w:val="0"/>
        <w:jc w:val="both"/>
        <w:rPr>
          <w:rFonts w:eastAsia="Times New Roman" w:cs="Times New Roman"/>
          <w:sz w:val="24"/>
          <w:szCs w:val="24"/>
          <w:lang w:val="en-US" w:eastAsia="en-AU"/>
        </w:rPr>
      </w:pPr>
      <w:r w:rsidRPr="00AF325B">
        <w:rPr>
          <w:rFonts w:eastAsia="Times New Roman" w:cs="Times New Roman"/>
          <w:sz w:val="24"/>
          <w:szCs w:val="24"/>
          <w:lang w:val="en-US" w:eastAsia="en-AU"/>
        </w:rPr>
        <w:t>there is a genuine dispute as to the debt</w:t>
      </w:r>
      <w:r w:rsidR="00A41261">
        <w:rPr>
          <w:rFonts w:eastAsia="Times New Roman" w:cs="Times New Roman"/>
          <w:sz w:val="24"/>
          <w:szCs w:val="24"/>
          <w:lang w:val="en-US" w:eastAsia="en-AU"/>
        </w:rPr>
        <w:t xml:space="preserve"> (s459H(1)(a))</w:t>
      </w:r>
      <w:r w:rsidRPr="00AF325B">
        <w:rPr>
          <w:rFonts w:eastAsia="Times New Roman" w:cs="Times New Roman"/>
          <w:sz w:val="24"/>
          <w:szCs w:val="24"/>
          <w:lang w:val="en-US" w:eastAsia="en-AU"/>
        </w:rPr>
        <w:t xml:space="preserve"> </w:t>
      </w:r>
    </w:p>
    <w:p w14:paraId="6D8416CD" w14:textId="77777777" w:rsidR="00EA4870" w:rsidRDefault="00645112" w:rsidP="00A23CAC">
      <w:pPr>
        <w:pStyle w:val="ListParagraph"/>
        <w:numPr>
          <w:ilvl w:val="0"/>
          <w:numId w:val="38"/>
        </w:numPr>
        <w:spacing w:after="240"/>
        <w:ind w:left="1276" w:hanging="567"/>
        <w:contextualSpacing w:val="0"/>
        <w:jc w:val="both"/>
        <w:rPr>
          <w:rFonts w:eastAsia="Times New Roman" w:cs="Times New Roman"/>
          <w:sz w:val="24"/>
          <w:szCs w:val="24"/>
          <w:lang w:val="en-US" w:eastAsia="en-AU"/>
        </w:rPr>
      </w:pPr>
      <w:r w:rsidRPr="00AF325B">
        <w:rPr>
          <w:rFonts w:eastAsia="Times New Roman" w:cs="Times New Roman"/>
          <w:sz w:val="24"/>
          <w:szCs w:val="24"/>
          <w:lang w:val="en-US" w:eastAsia="en-AU"/>
        </w:rPr>
        <w:t>the company has an offsetting claim</w:t>
      </w:r>
      <w:r w:rsidR="00A41261">
        <w:rPr>
          <w:rFonts w:eastAsia="Times New Roman" w:cs="Times New Roman"/>
          <w:sz w:val="24"/>
          <w:szCs w:val="24"/>
          <w:lang w:val="en-US" w:eastAsia="en-AU"/>
        </w:rPr>
        <w:t xml:space="preserve"> (s459H(1)(b))</w:t>
      </w:r>
    </w:p>
    <w:p w14:paraId="7F6BB446" w14:textId="77777777" w:rsidR="00A41261" w:rsidRDefault="00A41261" w:rsidP="00A23CAC">
      <w:pPr>
        <w:pStyle w:val="ListParagraph"/>
        <w:numPr>
          <w:ilvl w:val="0"/>
          <w:numId w:val="38"/>
        </w:numPr>
        <w:spacing w:after="240"/>
        <w:ind w:left="1276" w:hanging="567"/>
        <w:contextualSpacing w:val="0"/>
        <w:jc w:val="both"/>
        <w:rPr>
          <w:rFonts w:eastAsia="Times New Roman" w:cs="Times New Roman"/>
          <w:sz w:val="24"/>
          <w:szCs w:val="24"/>
          <w:lang w:val="en-US" w:eastAsia="en-AU"/>
        </w:rPr>
      </w:pPr>
      <w:r>
        <w:rPr>
          <w:rFonts w:eastAsia="Times New Roman" w:cs="Times New Roman"/>
          <w:sz w:val="24"/>
          <w:szCs w:val="24"/>
          <w:lang w:val="en-US" w:eastAsia="en-AU"/>
        </w:rPr>
        <w:t>there is a defect in the demand that will cause substantial injustice unless the demand is set aside (s459J(1)(a)</w:t>
      </w:r>
      <w:r w:rsidR="00CC6C3F">
        <w:rPr>
          <w:rFonts w:eastAsia="Times New Roman" w:cs="Times New Roman"/>
          <w:sz w:val="24"/>
          <w:szCs w:val="24"/>
          <w:lang w:val="en-US" w:eastAsia="en-AU"/>
        </w:rPr>
        <w:t>,</w:t>
      </w:r>
      <w:r>
        <w:rPr>
          <w:rFonts w:eastAsia="Times New Roman" w:cs="Times New Roman"/>
          <w:sz w:val="24"/>
          <w:szCs w:val="24"/>
          <w:lang w:val="en-US" w:eastAsia="en-AU"/>
        </w:rPr>
        <w:t xml:space="preserve"> or</w:t>
      </w:r>
    </w:p>
    <w:p w14:paraId="61EFE0BB" w14:textId="77777777" w:rsidR="00A41261" w:rsidRDefault="00A41261" w:rsidP="00A23CAC">
      <w:pPr>
        <w:pStyle w:val="ListParagraph"/>
        <w:numPr>
          <w:ilvl w:val="0"/>
          <w:numId w:val="38"/>
        </w:numPr>
        <w:spacing w:after="240"/>
        <w:ind w:left="1276" w:hanging="567"/>
        <w:contextualSpacing w:val="0"/>
        <w:jc w:val="both"/>
        <w:rPr>
          <w:rFonts w:eastAsia="Times New Roman" w:cs="Times New Roman"/>
          <w:sz w:val="24"/>
          <w:szCs w:val="24"/>
          <w:lang w:val="en-US" w:eastAsia="en-AU"/>
        </w:rPr>
      </w:pPr>
      <w:r>
        <w:rPr>
          <w:rFonts w:eastAsia="Times New Roman" w:cs="Times New Roman"/>
          <w:sz w:val="24"/>
          <w:szCs w:val="24"/>
          <w:lang w:val="en-US" w:eastAsia="en-AU"/>
        </w:rPr>
        <w:t>for some other reason (s459J(1)(b)).</w:t>
      </w:r>
    </w:p>
    <w:p w14:paraId="4A8D5726" w14:textId="77777777" w:rsidR="000B3EB1" w:rsidRPr="00A23CAC" w:rsidRDefault="00A540A6" w:rsidP="00116AA6">
      <w:pPr>
        <w:pStyle w:val="ListParagraph"/>
        <w:numPr>
          <w:ilvl w:val="1"/>
          <w:numId w:val="43"/>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If a company has applied to set aside a </w:t>
      </w:r>
      <w:r w:rsidR="002B4257">
        <w:rPr>
          <w:rFonts w:eastAsia="Times New Roman" w:cs="Times New Roman"/>
          <w:sz w:val="24"/>
          <w:szCs w:val="24"/>
          <w:lang w:val="en-US" w:eastAsia="en-AU"/>
        </w:rPr>
        <w:t>Statutory Demand</w:t>
      </w:r>
      <w:r>
        <w:rPr>
          <w:rFonts w:eastAsia="Times New Roman" w:cs="Times New Roman"/>
          <w:sz w:val="24"/>
          <w:szCs w:val="24"/>
          <w:lang w:val="en-US" w:eastAsia="en-AU"/>
        </w:rPr>
        <w:t>, t</w:t>
      </w:r>
      <w:r w:rsidR="000B3EB1">
        <w:rPr>
          <w:rFonts w:eastAsia="Times New Roman" w:cs="Times New Roman"/>
          <w:sz w:val="24"/>
          <w:szCs w:val="24"/>
          <w:lang w:val="en-US" w:eastAsia="en-AU"/>
        </w:rPr>
        <w:t xml:space="preserve">he time for compliance with </w:t>
      </w:r>
      <w:r>
        <w:rPr>
          <w:rFonts w:eastAsia="Times New Roman" w:cs="Times New Roman"/>
          <w:sz w:val="24"/>
          <w:szCs w:val="24"/>
          <w:lang w:val="en-US" w:eastAsia="en-AU"/>
        </w:rPr>
        <w:t xml:space="preserve">the </w:t>
      </w:r>
      <w:r w:rsidR="000B3EB1">
        <w:rPr>
          <w:rFonts w:eastAsia="Times New Roman" w:cs="Times New Roman"/>
          <w:sz w:val="24"/>
          <w:szCs w:val="24"/>
          <w:lang w:val="en-US" w:eastAsia="en-AU"/>
        </w:rPr>
        <w:t>demand will automatically be extended pending the determination of the application</w:t>
      </w:r>
      <w:r w:rsidR="000A5D68">
        <w:rPr>
          <w:rFonts w:eastAsia="Times New Roman" w:cs="Times New Roman"/>
          <w:sz w:val="24"/>
          <w:szCs w:val="24"/>
          <w:lang w:val="en-US" w:eastAsia="en-AU"/>
        </w:rPr>
        <w:t xml:space="preserve"> </w:t>
      </w:r>
      <w:r w:rsidR="00A44FFE">
        <w:rPr>
          <w:rFonts w:eastAsia="Times New Roman" w:cs="Times New Roman"/>
          <w:sz w:val="24"/>
          <w:szCs w:val="24"/>
          <w:lang w:val="en-US" w:eastAsia="en-AU"/>
        </w:rPr>
        <w:t>(s459F(2)</w:t>
      </w:r>
      <w:r w:rsidR="00781020">
        <w:rPr>
          <w:rFonts w:eastAsia="Times New Roman" w:cs="Times New Roman"/>
          <w:sz w:val="24"/>
          <w:szCs w:val="24"/>
          <w:lang w:val="en-US" w:eastAsia="en-AU"/>
        </w:rPr>
        <w:t>)</w:t>
      </w:r>
      <w:r w:rsidR="00A44FFE">
        <w:rPr>
          <w:rFonts w:eastAsia="Times New Roman" w:cs="Times New Roman"/>
          <w:sz w:val="24"/>
          <w:szCs w:val="24"/>
          <w:lang w:val="en-US" w:eastAsia="en-AU"/>
        </w:rPr>
        <w:t xml:space="preserve">. </w:t>
      </w:r>
      <w:r w:rsidR="001B049A">
        <w:rPr>
          <w:rFonts w:eastAsia="Times New Roman" w:cs="Times New Roman"/>
          <w:sz w:val="24"/>
          <w:szCs w:val="24"/>
          <w:lang w:val="en-US" w:eastAsia="en-AU"/>
        </w:rPr>
        <w:t>If</w:t>
      </w:r>
      <w:r w:rsidR="000B3EB1">
        <w:rPr>
          <w:rFonts w:eastAsia="Times New Roman" w:cs="Times New Roman"/>
          <w:sz w:val="24"/>
          <w:szCs w:val="24"/>
          <w:lang w:val="en-US" w:eastAsia="en-AU"/>
        </w:rPr>
        <w:t xml:space="preserve"> the Court sets the </w:t>
      </w:r>
      <w:r w:rsidR="002B4257">
        <w:rPr>
          <w:rFonts w:eastAsia="Times New Roman" w:cs="Times New Roman"/>
          <w:sz w:val="24"/>
          <w:szCs w:val="24"/>
          <w:lang w:val="en-US" w:eastAsia="en-AU"/>
        </w:rPr>
        <w:t>Statutory Demand</w:t>
      </w:r>
      <w:r w:rsidR="000B3EB1">
        <w:rPr>
          <w:rFonts w:eastAsia="Times New Roman" w:cs="Times New Roman"/>
          <w:sz w:val="24"/>
          <w:szCs w:val="24"/>
          <w:lang w:val="en-US" w:eastAsia="en-AU"/>
        </w:rPr>
        <w:t xml:space="preserve"> aside, the demand will be of no force or effect and no presumption of insolvency will arise as a result of non-compliance. If, however, the set aside application is dismissed, the</w:t>
      </w:r>
      <w:r w:rsidR="00AD130A">
        <w:rPr>
          <w:rFonts w:eastAsia="Times New Roman" w:cs="Times New Roman"/>
          <w:sz w:val="24"/>
          <w:szCs w:val="24"/>
          <w:lang w:val="en-US" w:eastAsia="en-AU"/>
        </w:rPr>
        <w:t xml:space="preserve"> </w:t>
      </w:r>
      <w:r w:rsidR="000B3EB1">
        <w:rPr>
          <w:rFonts w:eastAsia="Times New Roman" w:cs="Times New Roman"/>
          <w:sz w:val="24"/>
          <w:szCs w:val="24"/>
          <w:lang w:val="en-US" w:eastAsia="en-AU"/>
        </w:rPr>
        <w:t xml:space="preserve">time for the </w:t>
      </w:r>
      <w:r w:rsidR="000B3EB1">
        <w:rPr>
          <w:rFonts w:eastAsia="Times New Roman" w:cs="Times New Roman"/>
          <w:sz w:val="24"/>
          <w:szCs w:val="24"/>
          <w:lang w:val="en-US" w:eastAsia="en-AU"/>
        </w:rPr>
        <w:lastRenderedPageBreak/>
        <w:t>company to comply with the demand will be extended until 7 days after the date of the dismissal, unless the Court specifies another period (s459F).</w:t>
      </w:r>
    </w:p>
    <w:p w14:paraId="2B553841" w14:textId="77777777" w:rsidR="009D5558" w:rsidRDefault="009D5558" w:rsidP="00116AA6">
      <w:pPr>
        <w:pStyle w:val="ListParagraph"/>
        <w:numPr>
          <w:ilvl w:val="1"/>
          <w:numId w:val="43"/>
        </w:numPr>
        <w:spacing w:after="240"/>
        <w:ind w:left="709" w:hanging="709"/>
        <w:contextualSpacing w:val="0"/>
        <w:jc w:val="both"/>
        <w:rPr>
          <w:rFonts w:eastAsia="Times New Roman" w:cs="Times New Roman"/>
          <w:sz w:val="24"/>
          <w:szCs w:val="24"/>
          <w:lang w:val="en-US" w:eastAsia="en-AU"/>
        </w:rPr>
      </w:pPr>
      <w:r w:rsidRPr="00AF325B">
        <w:rPr>
          <w:rFonts w:eastAsia="Times New Roman" w:cs="Times New Roman"/>
          <w:sz w:val="24"/>
          <w:szCs w:val="24"/>
          <w:lang w:val="en-US" w:eastAsia="en-AU"/>
        </w:rPr>
        <w:t xml:space="preserve">Challenging a </w:t>
      </w:r>
      <w:r w:rsidR="002B4257">
        <w:rPr>
          <w:rFonts w:eastAsia="Times New Roman" w:cs="Times New Roman"/>
          <w:sz w:val="24"/>
          <w:szCs w:val="24"/>
          <w:lang w:val="en-US" w:eastAsia="en-AU"/>
        </w:rPr>
        <w:t>Statutory Demand</w:t>
      </w:r>
      <w:r w:rsidRPr="00AF325B">
        <w:rPr>
          <w:rFonts w:eastAsia="Times New Roman" w:cs="Times New Roman"/>
          <w:sz w:val="24"/>
          <w:szCs w:val="24"/>
          <w:lang w:val="en-US" w:eastAsia="en-AU"/>
        </w:rPr>
        <w:t xml:space="preserve"> is a complex area of the law</w:t>
      </w:r>
      <w:r w:rsidR="00C93BCA">
        <w:rPr>
          <w:rFonts w:eastAsia="Times New Roman" w:cs="Times New Roman"/>
          <w:sz w:val="24"/>
          <w:szCs w:val="24"/>
          <w:lang w:val="en-US" w:eastAsia="en-AU"/>
        </w:rPr>
        <w:t>. I</w:t>
      </w:r>
      <w:r>
        <w:rPr>
          <w:rFonts w:eastAsia="Times New Roman" w:cs="Times New Roman"/>
          <w:sz w:val="24"/>
          <w:szCs w:val="24"/>
          <w:lang w:val="en-US" w:eastAsia="en-AU"/>
        </w:rPr>
        <w:t xml:space="preserve">t is important for a company that has been served with a </w:t>
      </w:r>
      <w:r w:rsidR="002B4257">
        <w:rPr>
          <w:rFonts w:eastAsia="Times New Roman" w:cs="Times New Roman"/>
          <w:sz w:val="24"/>
          <w:szCs w:val="24"/>
          <w:lang w:val="en-US" w:eastAsia="en-AU"/>
        </w:rPr>
        <w:t>Statutory Demand</w:t>
      </w:r>
      <w:r>
        <w:rPr>
          <w:rFonts w:eastAsia="Times New Roman" w:cs="Times New Roman"/>
          <w:sz w:val="24"/>
          <w:szCs w:val="24"/>
          <w:lang w:val="en-US" w:eastAsia="en-AU"/>
        </w:rPr>
        <w:t xml:space="preserve"> to</w:t>
      </w:r>
      <w:r w:rsidRPr="00AF325B">
        <w:rPr>
          <w:rFonts w:eastAsia="Times New Roman" w:cs="Times New Roman"/>
          <w:sz w:val="24"/>
          <w:szCs w:val="24"/>
          <w:lang w:val="en-US" w:eastAsia="en-AU"/>
        </w:rPr>
        <w:t xml:space="preserve"> obtain legal advice </w:t>
      </w:r>
      <w:r>
        <w:rPr>
          <w:rFonts w:eastAsia="Times New Roman" w:cs="Times New Roman"/>
          <w:sz w:val="24"/>
          <w:szCs w:val="24"/>
          <w:lang w:val="en-US" w:eastAsia="en-AU"/>
        </w:rPr>
        <w:t>in order to understand its</w:t>
      </w:r>
      <w:r w:rsidRPr="00AF325B">
        <w:rPr>
          <w:rFonts w:eastAsia="Times New Roman" w:cs="Times New Roman"/>
          <w:sz w:val="24"/>
          <w:szCs w:val="24"/>
          <w:lang w:val="en-US" w:eastAsia="en-AU"/>
        </w:rPr>
        <w:t xml:space="preserve"> </w:t>
      </w:r>
      <w:r>
        <w:rPr>
          <w:rFonts w:eastAsia="Times New Roman" w:cs="Times New Roman"/>
          <w:sz w:val="24"/>
          <w:szCs w:val="24"/>
          <w:lang w:val="en-US" w:eastAsia="en-AU"/>
        </w:rPr>
        <w:t>rights and obligations</w:t>
      </w:r>
      <w:r w:rsidRPr="00AF325B">
        <w:rPr>
          <w:rFonts w:eastAsia="Times New Roman" w:cs="Times New Roman"/>
          <w:sz w:val="24"/>
          <w:szCs w:val="24"/>
          <w:lang w:val="en-US" w:eastAsia="en-AU"/>
        </w:rPr>
        <w:t xml:space="preserve">. </w:t>
      </w:r>
    </w:p>
    <w:p w14:paraId="7F5BDB38" w14:textId="77777777" w:rsidR="00414DF6" w:rsidRPr="000A1891" w:rsidRDefault="000F3EA7" w:rsidP="00A23CAC">
      <w:pPr>
        <w:pStyle w:val="ListParagraph"/>
        <w:keepNext/>
        <w:numPr>
          <w:ilvl w:val="0"/>
          <w:numId w:val="30"/>
        </w:numPr>
        <w:spacing w:before="360" w:after="240"/>
        <w:ind w:left="709" w:hanging="709"/>
        <w:contextualSpacing w:val="0"/>
        <w:jc w:val="both"/>
        <w:rPr>
          <w:rFonts w:eastAsia="Times New Roman" w:cs="Arial"/>
          <w:b/>
          <w:sz w:val="28"/>
          <w:szCs w:val="28"/>
          <w:lang w:val="en-US" w:eastAsia="en-AU"/>
        </w:rPr>
      </w:pPr>
      <w:r>
        <w:rPr>
          <w:rFonts w:eastAsia="Times New Roman" w:cs="Arial"/>
          <w:b/>
          <w:sz w:val="28"/>
          <w:szCs w:val="28"/>
          <w:lang w:val="en-US" w:eastAsia="en-AU"/>
        </w:rPr>
        <w:t>Making</w:t>
      </w:r>
      <w:r w:rsidR="00414DF6" w:rsidRPr="000A1891">
        <w:rPr>
          <w:rFonts w:eastAsia="Times New Roman" w:cs="Arial"/>
          <w:b/>
          <w:sz w:val="28"/>
          <w:szCs w:val="28"/>
          <w:lang w:val="en-US" w:eastAsia="en-AU"/>
        </w:rPr>
        <w:t xml:space="preserve"> an </w:t>
      </w:r>
      <w:r w:rsidR="00296806" w:rsidRPr="000A1891">
        <w:rPr>
          <w:rFonts w:eastAsia="Times New Roman" w:cs="Arial"/>
          <w:b/>
          <w:sz w:val="28"/>
          <w:szCs w:val="28"/>
          <w:lang w:val="en-US" w:eastAsia="en-AU"/>
        </w:rPr>
        <w:t>A</w:t>
      </w:r>
      <w:r w:rsidR="00414DF6" w:rsidRPr="000A1891">
        <w:rPr>
          <w:rFonts w:eastAsia="Times New Roman" w:cs="Arial"/>
          <w:b/>
          <w:sz w:val="28"/>
          <w:szCs w:val="28"/>
          <w:lang w:val="en-US" w:eastAsia="en-AU"/>
        </w:rPr>
        <w:t xml:space="preserve">pplication for a </w:t>
      </w:r>
      <w:r w:rsidR="00296806" w:rsidRPr="000A1891">
        <w:rPr>
          <w:rFonts w:eastAsia="Times New Roman" w:cs="Arial"/>
          <w:b/>
          <w:sz w:val="28"/>
          <w:szCs w:val="28"/>
          <w:lang w:val="en-US" w:eastAsia="en-AU"/>
        </w:rPr>
        <w:t>W</w:t>
      </w:r>
      <w:r w:rsidR="00414DF6" w:rsidRPr="000A1891">
        <w:rPr>
          <w:rFonts w:eastAsia="Times New Roman" w:cs="Arial"/>
          <w:b/>
          <w:sz w:val="28"/>
          <w:szCs w:val="28"/>
          <w:lang w:val="en-US" w:eastAsia="en-AU"/>
        </w:rPr>
        <w:t xml:space="preserve">inding </w:t>
      </w:r>
      <w:r w:rsidR="00296806" w:rsidRPr="000A1891">
        <w:rPr>
          <w:rFonts w:eastAsia="Times New Roman" w:cs="Arial"/>
          <w:b/>
          <w:sz w:val="28"/>
          <w:szCs w:val="28"/>
          <w:lang w:val="en-US" w:eastAsia="en-AU"/>
        </w:rPr>
        <w:t>U</w:t>
      </w:r>
      <w:r w:rsidR="00414DF6" w:rsidRPr="000A1891">
        <w:rPr>
          <w:rFonts w:eastAsia="Times New Roman" w:cs="Arial"/>
          <w:b/>
          <w:sz w:val="28"/>
          <w:szCs w:val="28"/>
          <w:lang w:val="en-US" w:eastAsia="en-AU"/>
        </w:rPr>
        <w:t xml:space="preserve">p </w:t>
      </w:r>
      <w:r w:rsidR="00296806" w:rsidRPr="000A1891">
        <w:rPr>
          <w:rFonts w:eastAsia="Times New Roman" w:cs="Arial"/>
          <w:b/>
          <w:sz w:val="28"/>
          <w:szCs w:val="28"/>
          <w:lang w:val="en-US" w:eastAsia="en-AU"/>
        </w:rPr>
        <w:t>O</w:t>
      </w:r>
      <w:r w:rsidR="00414DF6" w:rsidRPr="000A1891">
        <w:rPr>
          <w:rFonts w:eastAsia="Times New Roman" w:cs="Arial"/>
          <w:b/>
          <w:sz w:val="28"/>
          <w:szCs w:val="28"/>
          <w:lang w:val="en-US" w:eastAsia="en-AU"/>
        </w:rPr>
        <w:t>rder</w:t>
      </w:r>
    </w:p>
    <w:p w14:paraId="01F5E9BC" w14:textId="77777777" w:rsidR="00FE044E" w:rsidRPr="00B21448" w:rsidRDefault="00FE044E" w:rsidP="00116AA6">
      <w:pPr>
        <w:pStyle w:val="ListParagraph"/>
        <w:numPr>
          <w:ilvl w:val="1"/>
          <w:numId w:val="45"/>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If a company fails to comply with a </w:t>
      </w:r>
      <w:r w:rsidR="002B4257">
        <w:rPr>
          <w:rFonts w:eastAsia="Times New Roman" w:cs="Times New Roman"/>
          <w:sz w:val="24"/>
          <w:szCs w:val="24"/>
          <w:lang w:val="en-US" w:eastAsia="en-AU"/>
        </w:rPr>
        <w:t>Statutory Demand</w:t>
      </w:r>
      <w:r>
        <w:rPr>
          <w:rFonts w:eastAsia="Times New Roman" w:cs="Times New Roman"/>
          <w:sz w:val="24"/>
          <w:szCs w:val="24"/>
          <w:lang w:val="en-US" w:eastAsia="en-AU"/>
        </w:rPr>
        <w:t xml:space="preserve"> within the time provided</w:t>
      </w:r>
      <w:r w:rsidRPr="00B21448">
        <w:rPr>
          <w:rFonts w:eastAsia="Times New Roman" w:cs="Times New Roman"/>
          <w:sz w:val="24"/>
          <w:szCs w:val="24"/>
          <w:lang w:val="en-US" w:eastAsia="en-AU"/>
        </w:rPr>
        <w:t xml:space="preserve">, </w:t>
      </w:r>
      <w:r>
        <w:rPr>
          <w:rFonts w:eastAsia="Times New Roman" w:cs="Times New Roman"/>
          <w:sz w:val="24"/>
          <w:szCs w:val="24"/>
          <w:lang w:val="en-US" w:eastAsia="en-AU"/>
        </w:rPr>
        <w:t xml:space="preserve">the company is presumed insolvent under the </w:t>
      </w:r>
      <w:r w:rsidRPr="00CC6C3F">
        <w:rPr>
          <w:rFonts w:eastAsia="Times New Roman" w:cs="Times New Roman"/>
          <w:sz w:val="24"/>
          <w:szCs w:val="24"/>
          <w:lang w:val="en-US" w:eastAsia="en-AU"/>
        </w:rPr>
        <w:t>Corporations Act</w:t>
      </w:r>
      <w:r w:rsidRPr="00B21448">
        <w:rPr>
          <w:rFonts w:eastAsia="Times New Roman" w:cs="Times New Roman"/>
          <w:sz w:val="24"/>
          <w:szCs w:val="24"/>
          <w:lang w:val="en-US" w:eastAsia="en-AU"/>
        </w:rPr>
        <w:t>. Within three months of the date of non-compliance, the creditor who served the demand may rely on the presumption of insolvency as the basis for an application to the Court</w:t>
      </w:r>
      <w:r>
        <w:rPr>
          <w:rFonts w:eastAsia="Times New Roman" w:cs="Times New Roman"/>
          <w:sz w:val="24"/>
          <w:szCs w:val="24"/>
          <w:lang w:val="en-US" w:eastAsia="en-AU"/>
        </w:rPr>
        <w:t xml:space="preserve"> for </w:t>
      </w:r>
      <w:r w:rsidR="00500D71">
        <w:rPr>
          <w:rFonts w:eastAsia="Times New Roman" w:cs="Times New Roman"/>
          <w:sz w:val="24"/>
          <w:szCs w:val="24"/>
          <w:lang w:val="en-US" w:eastAsia="en-AU"/>
        </w:rPr>
        <w:t xml:space="preserve">orders </w:t>
      </w:r>
      <w:r>
        <w:rPr>
          <w:rFonts w:eastAsia="Times New Roman" w:cs="Times New Roman"/>
          <w:sz w:val="24"/>
          <w:szCs w:val="24"/>
          <w:lang w:val="en-US" w:eastAsia="en-AU"/>
        </w:rPr>
        <w:t>winding up the company</w:t>
      </w:r>
      <w:r w:rsidRPr="00B21448">
        <w:rPr>
          <w:rFonts w:eastAsia="Times New Roman" w:cs="Times New Roman"/>
          <w:sz w:val="24"/>
          <w:szCs w:val="24"/>
          <w:lang w:val="en-US" w:eastAsia="en-AU"/>
        </w:rPr>
        <w:t xml:space="preserve">. </w:t>
      </w:r>
      <w:r>
        <w:rPr>
          <w:rFonts w:eastAsia="Times New Roman" w:cs="Times New Roman"/>
          <w:sz w:val="24"/>
          <w:szCs w:val="24"/>
          <w:lang w:val="en-US" w:eastAsia="en-AU"/>
        </w:rPr>
        <w:t xml:space="preserve">The effect of the presumption </w:t>
      </w:r>
      <w:r w:rsidRPr="00B21448">
        <w:rPr>
          <w:rFonts w:eastAsia="Times New Roman" w:cs="Times New Roman"/>
          <w:sz w:val="24"/>
          <w:szCs w:val="24"/>
          <w:lang w:val="en-US" w:eastAsia="en-AU"/>
        </w:rPr>
        <w:t>is that the Court must presume, subject to evidence to the contrary, that the company is insolvent and should be wound up.</w:t>
      </w:r>
    </w:p>
    <w:p w14:paraId="52148479" w14:textId="37C774C2" w:rsidR="009D5558" w:rsidRDefault="009E0E38" w:rsidP="00116AA6">
      <w:pPr>
        <w:pStyle w:val="ListParagraph"/>
        <w:numPr>
          <w:ilvl w:val="1"/>
          <w:numId w:val="45"/>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In making </w:t>
      </w:r>
      <w:r w:rsidR="00D22E7D">
        <w:rPr>
          <w:rFonts w:eastAsia="Times New Roman" w:cs="Times New Roman"/>
          <w:sz w:val="24"/>
          <w:szCs w:val="24"/>
          <w:lang w:val="en-US" w:eastAsia="en-AU"/>
        </w:rPr>
        <w:t>such an application</w:t>
      </w:r>
      <w:r w:rsidR="00735BDA">
        <w:rPr>
          <w:rFonts w:eastAsia="Times New Roman" w:cs="Times New Roman"/>
          <w:sz w:val="24"/>
          <w:szCs w:val="24"/>
          <w:lang w:val="en-US" w:eastAsia="en-AU"/>
        </w:rPr>
        <w:t xml:space="preserve">, </w:t>
      </w:r>
      <w:r w:rsidR="001C18BB">
        <w:rPr>
          <w:rFonts w:eastAsia="Times New Roman" w:cs="Times New Roman"/>
          <w:sz w:val="24"/>
          <w:szCs w:val="24"/>
          <w:lang w:val="en-US" w:eastAsia="en-AU"/>
        </w:rPr>
        <w:t xml:space="preserve">a creditor </w:t>
      </w:r>
      <w:r w:rsidR="009D5558">
        <w:rPr>
          <w:rFonts w:eastAsia="Times New Roman" w:cs="Times New Roman"/>
          <w:sz w:val="24"/>
          <w:szCs w:val="24"/>
          <w:lang w:val="en-US" w:eastAsia="en-AU"/>
        </w:rPr>
        <w:t xml:space="preserve">should ensure that the </w:t>
      </w:r>
      <w:r w:rsidR="00500D71">
        <w:rPr>
          <w:rFonts w:eastAsia="Times New Roman" w:cs="Times New Roman"/>
          <w:sz w:val="24"/>
          <w:szCs w:val="24"/>
          <w:lang w:val="en-US" w:eastAsia="en-AU"/>
        </w:rPr>
        <w:t>debtor</w:t>
      </w:r>
      <w:r w:rsidR="00540D5E">
        <w:rPr>
          <w:rFonts w:eastAsia="Times New Roman" w:cs="Times New Roman"/>
          <w:sz w:val="24"/>
          <w:szCs w:val="24"/>
          <w:lang w:val="en-US" w:eastAsia="en-AU"/>
        </w:rPr>
        <w:t xml:space="preserve"> </w:t>
      </w:r>
      <w:r w:rsidR="009D5558">
        <w:rPr>
          <w:rFonts w:eastAsia="Times New Roman" w:cs="Times New Roman"/>
          <w:sz w:val="24"/>
          <w:szCs w:val="24"/>
          <w:lang w:val="en-US" w:eastAsia="en-AU"/>
        </w:rPr>
        <w:t xml:space="preserve">company has </w:t>
      </w:r>
      <w:r>
        <w:rPr>
          <w:rFonts w:eastAsia="Times New Roman" w:cs="Times New Roman"/>
          <w:sz w:val="24"/>
          <w:szCs w:val="24"/>
          <w:lang w:val="en-US" w:eastAsia="en-AU"/>
        </w:rPr>
        <w:t xml:space="preserve">in fact </w:t>
      </w:r>
      <w:r w:rsidR="009D5558">
        <w:rPr>
          <w:rFonts w:eastAsia="Times New Roman" w:cs="Times New Roman"/>
          <w:sz w:val="24"/>
          <w:szCs w:val="24"/>
          <w:lang w:val="en-US" w:eastAsia="en-AU"/>
        </w:rPr>
        <w:t>failed to comply with the</w:t>
      </w:r>
      <w:r w:rsidR="00540D5E">
        <w:rPr>
          <w:rFonts w:eastAsia="Times New Roman" w:cs="Times New Roman"/>
          <w:sz w:val="24"/>
          <w:szCs w:val="24"/>
          <w:lang w:val="en-US" w:eastAsia="en-AU"/>
        </w:rPr>
        <w:t xml:space="preserve"> relevant</w:t>
      </w:r>
      <w:r w:rsidR="009D5558">
        <w:rPr>
          <w:rFonts w:eastAsia="Times New Roman" w:cs="Times New Roman"/>
          <w:sz w:val="24"/>
          <w:szCs w:val="24"/>
          <w:lang w:val="en-US" w:eastAsia="en-AU"/>
        </w:rPr>
        <w:t xml:space="preserve"> </w:t>
      </w:r>
      <w:r w:rsidR="002B4257">
        <w:rPr>
          <w:rFonts w:eastAsia="Times New Roman" w:cs="Times New Roman"/>
          <w:sz w:val="24"/>
          <w:szCs w:val="24"/>
          <w:lang w:val="en-US" w:eastAsia="en-AU"/>
        </w:rPr>
        <w:t>Statutory Demand</w:t>
      </w:r>
      <w:r w:rsidR="009D5558">
        <w:rPr>
          <w:rFonts w:eastAsia="Times New Roman" w:cs="Times New Roman"/>
          <w:sz w:val="24"/>
          <w:szCs w:val="24"/>
          <w:lang w:val="en-US" w:eastAsia="en-AU"/>
        </w:rPr>
        <w:t xml:space="preserve"> and that a presumption of insolvency is available.</w:t>
      </w:r>
    </w:p>
    <w:p w14:paraId="782AF21E" w14:textId="4A9F84D7" w:rsidR="00AF2D98" w:rsidRDefault="00AD130A" w:rsidP="00116AA6">
      <w:pPr>
        <w:pStyle w:val="ListParagraph"/>
        <w:numPr>
          <w:ilvl w:val="1"/>
          <w:numId w:val="45"/>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In </w:t>
      </w:r>
      <w:r w:rsidR="00C763CE">
        <w:rPr>
          <w:rFonts w:eastAsia="Times New Roman" w:cs="Times New Roman"/>
          <w:sz w:val="24"/>
          <w:szCs w:val="24"/>
          <w:lang w:val="en-US" w:eastAsia="en-AU"/>
        </w:rPr>
        <w:t>calculating</w:t>
      </w:r>
      <w:r>
        <w:rPr>
          <w:rFonts w:eastAsia="Times New Roman" w:cs="Times New Roman"/>
          <w:sz w:val="24"/>
          <w:szCs w:val="24"/>
          <w:lang w:val="en-US" w:eastAsia="en-AU"/>
        </w:rPr>
        <w:t xml:space="preserve"> the date of </w:t>
      </w:r>
      <w:r w:rsidR="004C341D">
        <w:rPr>
          <w:rFonts w:eastAsia="Times New Roman" w:cs="Times New Roman"/>
          <w:sz w:val="24"/>
          <w:szCs w:val="24"/>
          <w:lang w:val="en-US" w:eastAsia="en-AU"/>
        </w:rPr>
        <w:t xml:space="preserve">a company’s </w:t>
      </w:r>
      <w:r>
        <w:rPr>
          <w:rFonts w:eastAsia="Times New Roman" w:cs="Times New Roman"/>
          <w:sz w:val="24"/>
          <w:szCs w:val="24"/>
          <w:lang w:val="en-US" w:eastAsia="en-AU"/>
        </w:rPr>
        <w:t>non-compliance</w:t>
      </w:r>
      <w:r w:rsidR="0078521A">
        <w:rPr>
          <w:rFonts w:eastAsia="Times New Roman" w:cs="Times New Roman"/>
          <w:sz w:val="24"/>
          <w:szCs w:val="24"/>
          <w:lang w:val="en-US" w:eastAsia="en-AU"/>
        </w:rPr>
        <w:t xml:space="preserve"> with a </w:t>
      </w:r>
      <w:r w:rsidR="002B4257">
        <w:rPr>
          <w:rFonts w:eastAsia="Times New Roman" w:cs="Times New Roman"/>
          <w:sz w:val="24"/>
          <w:szCs w:val="24"/>
          <w:lang w:val="en-US" w:eastAsia="en-AU"/>
        </w:rPr>
        <w:t>Statutory Demand</w:t>
      </w:r>
      <w:r w:rsidR="002A0DCA">
        <w:rPr>
          <w:rFonts w:eastAsia="Times New Roman" w:cs="Times New Roman"/>
          <w:sz w:val="24"/>
          <w:szCs w:val="24"/>
          <w:lang w:val="en-US" w:eastAsia="en-AU"/>
        </w:rPr>
        <w:t xml:space="preserve">, a creditor should take care to determine when the </w:t>
      </w:r>
      <w:r w:rsidR="002B4257">
        <w:rPr>
          <w:rFonts w:eastAsia="Times New Roman" w:cs="Times New Roman"/>
          <w:sz w:val="24"/>
          <w:szCs w:val="24"/>
          <w:lang w:val="en-US" w:eastAsia="en-AU"/>
        </w:rPr>
        <w:t>Statutory Demand</w:t>
      </w:r>
      <w:r w:rsidR="002A0DCA">
        <w:rPr>
          <w:rFonts w:eastAsia="Times New Roman" w:cs="Times New Roman"/>
          <w:sz w:val="24"/>
          <w:szCs w:val="24"/>
          <w:lang w:val="en-US" w:eastAsia="en-AU"/>
        </w:rPr>
        <w:t xml:space="preserve"> was effectively and properly served on the company. </w:t>
      </w:r>
      <w:r w:rsidR="00B7082C">
        <w:rPr>
          <w:rFonts w:eastAsia="Times New Roman" w:cs="Times New Roman"/>
          <w:sz w:val="24"/>
          <w:szCs w:val="24"/>
          <w:lang w:val="en-US" w:eastAsia="en-AU"/>
        </w:rPr>
        <w:t xml:space="preserve">Where a Statutory Demand was delivered to the registered office, the </w:t>
      </w:r>
      <w:r w:rsidR="00804DD7">
        <w:rPr>
          <w:rFonts w:eastAsia="Times New Roman" w:cs="Times New Roman"/>
          <w:sz w:val="24"/>
          <w:szCs w:val="24"/>
          <w:lang w:val="en-US" w:eastAsia="en-AU"/>
        </w:rPr>
        <w:t>statutory</w:t>
      </w:r>
      <w:r w:rsidR="00B7082C">
        <w:rPr>
          <w:rFonts w:eastAsia="Times New Roman" w:cs="Times New Roman"/>
          <w:sz w:val="24"/>
          <w:szCs w:val="24"/>
          <w:lang w:val="en-US" w:eastAsia="en-AU"/>
        </w:rPr>
        <w:t xml:space="preserve"> period would generally start to run from the date it was delivered.  Where the Statutory Demand was served by post, time would generally start to run </w:t>
      </w:r>
      <w:r w:rsidR="00804DD7">
        <w:rPr>
          <w:rFonts w:eastAsia="Times New Roman" w:cs="Times New Roman"/>
          <w:sz w:val="24"/>
          <w:szCs w:val="24"/>
          <w:lang w:val="en-US" w:eastAsia="en-AU"/>
        </w:rPr>
        <w:t xml:space="preserve">seven </w:t>
      </w:r>
      <w:r w:rsidR="00B7082C">
        <w:rPr>
          <w:rFonts w:eastAsia="Times New Roman" w:cs="Times New Roman"/>
          <w:sz w:val="24"/>
          <w:szCs w:val="24"/>
          <w:lang w:val="en-US" w:eastAsia="en-AU"/>
        </w:rPr>
        <w:t xml:space="preserve">working days after the document was posted.  </w:t>
      </w:r>
      <w:r w:rsidR="002A0DCA">
        <w:rPr>
          <w:rFonts w:eastAsia="Times New Roman" w:cs="Times New Roman"/>
          <w:sz w:val="24"/>
          <w:szCs w:val="24"/>
          <w:lang w:val="en-US" w:eastAsia="en-AU"/>
        </w:rPr>
        <w:t>There is</w:t>
      </w:r>
      <w:r w:rsidR="009630D5">
        <w:rPr>
          <w:rFonts w:eastAsia="Times New Roman" w:cs="Times New Roman"/>
          <w:sz w:val="24"/>
          <w:szCs w:val="24"/>
          <w:lang w:val="en-US" w:eastAsia="en-AU"/>
        </w:rPr>
        <w:t>,</w:t>
      </w:r>
      <w:r w:rsidR="002A0DCA">
        <w:rPr>
          <w:rFonts w:eastAsia="Times New Roman" w:cs="Times New Roman"/>
          <w:sz w:val="24"/>
          <w:szCs w:val="24"/>
          <w:lang w:val="en-US" w:eastAsia="en-AU"/>
        </w:rPr>
        <w:t xml:space="preserve"> </w:t>
      </w:r>
      <w:r w:rsidR="00B7082C">
        <w:rPr>
          <w:rFonts w:eastAsia="Times New Roman" w:cs="Times New Roman"/>
          <w:sz w:val="24"/>
          <w:szCs w:val="24"/>
          <w:lang w:val="en-US" w:eastAsia="en-AU"/>
        </w:rPr>
        <w:t>however</w:t>
      </w:r>
      <w:r w:rsidR="009630D5">
        <w:rPr>
          <w:rFonts w:eastAsia="Times New Roman" w:cs="Times New Roman"/>
          <w:sz w:val="24"/>
          <w:szCs w:val="24"/>
          <w:lang w:val="en-US" w:eastAsia="en-AU"/>
        </w:rPr>
        <w:t>,</w:t>
      </w:r>
      <w:r w:rsidR="00B7082C">
        <w:rPr>
          <w:rFonts w:eastAsia="Times New Roman" w:cs="Times New Roman"/>
          <w:sz w:val="24"/>
          <w:szCs w:val="24"/>
          <w:lang w:val="en-US" w:eastAsia="en-AU"/>
        </w:rPr>
        <w:t xml:space="preserve"> </w:t>
      </w:r>
      <w:r w:rsidR="002A0DCA">
        <w:rPr>
          <w:rFonts w:eastAsia="Times New Roman" w:cs="Times New Roman"/>
          <w:sz w:val="24"/>
          <w:szCs w:val="24"/>
          <w:lang w:val="en-US" w:eastAsia="en-AU"/>
        </w:rPr>
        <w:t xml:space="preserve">an extensive body of </w:t>
      </w:r>
      <w:r w:rsidR="00B7082C">
        <w:rPr>
          <w:rFonts w:eastAsia="Times New Roman" w:cs="Times New Roman"/>
          <w:sz w:val="24"/>
          <w:szCs w:val="24"/>
          <w:lang w:val="en-US" w:eastAsia="en-AU"/>
        </w:rPr>
        <w:t xml:space="preserve">case </w:t>
      </w:r>
      <w:r w:rsidR="002A0DCA">
        <w:rPr>
          <w:rFonts w:eastAsia="Times New Roman" w:cs="Times New Roman"/>
          <w:sz w:val="24"/>
          <w:szCs w:val="24"/>
          <w:lang w:val="en-US" w:eastAsia="en-AU"/>
        </w:rPr>
        <w:t xml:space="preserve">law regarding </w:t>
      </w:r>
      <w:r w:rsidR="00422CF1">
        <w:rPr>
          <w:rFonts w:eastAsia="Times New Roman" w:cs="Times New Roman"/>
          <w:sz w:val="24"/>
          <w:szCs w:val="24"/>
          <w:lang w:val="en-US" w:eastAsia="en-AU"/>
        </w:rPr>
        <w:t>issues of timing and sufficiency of service</w:t>
      </w:r>
      <w:r w:rsidR="0096202E">
        <w:rPr>
          <w:rFonts w:eastAsia="Times New Roman" w:cs="Times New Roman"/>
          <w:sz w:val="24"/>
          <w:szCs w:val="24"/>
          <w:lang w:val="en-US" w:eastAsia="en-AU"/>
        </w:rPr>
        <w:t xml:space="preserve"> on companies</w:t>
      </w:r>
      <w:r w:rsidR="00422CF1">
        <w:rPr>
          <w:rFonts w:eastAsia="Times New Roman" w:cs="Times New Roman"/>
          <w:sz w:val="24"/>
          <w:szCs w:val="24"/>
          <w:lang w:val="en-US" w:eastAsia="en-AU"/>
        </w:rPr>
        <w:t xml:space="preserve"> whic</w:t>
      </w:r>
      <w:r w:rsidR="002A0DCA">
        <w:rPr>
          <w:rFonts w:eastAsia="Times New Roman" w:cs="Times New Roman"/>
          <w:sz w:val="24"/>
          <w:szCs w:val="24"/>
          <w:lang w:val="en-US" w:eastAsia="en-AU"/>
        </w:rPr>
        <w:t xml:space="preserve">h will not be dealt with in this </w:t>
      </w:r>
      <w:r w:rsidR="00212D09">
        <w:rPr>
          <w:rFonts w:eastAsia="Times New Roman" w:cs="Times New Roman"/>
          <w:sz w:val="24"/>
          <w:szCs w:val="24"/>
          <w:lang w:val="en-US" w:eastAsia="en-AU"/>
        </w:rPr>
        <w:t>Info</w:t>
      </w:r>
      <w:r w:rsidR="00E930CE">
        <w:rPr>
          <w:rFonts w:eastAsia="Times New Roman" w:cs="Times New Roman"/>
          <w:sz w:val="24"/>
          <w:szCs w:val="24"/>
          <w:lang w:val="en-US" w:eastAsia="en-AU"/>
        </w:rPr>
        <w:t>rmation</w:t>
      </w:r>
      <w:r w:rsidR="00B7082C">
        <w:rPr>
          <w:rFonts w:eastAsia="Times New Roman" w:cs="Times New Roman"/>
          <w:sz w:val="24"/>
          <w:szCs w:val="24"/>
          <w:lang w:val="en-US" w:eastAsia="en-AU"/>
        </w:rPr>
        <w:t xml:space="preserve"> Sheet (For a general outline on service issues, see discussion in paragraph 2.3 above). </w:t>
      </w:r>
      <w:r w:rsidR="002A0DCA">
        <w:rPr>
          <w:rFonts w:eastAsia="Times New Roman" w:cs="Times New Roman"/>
          <w:sz w:val="24"/>
          <w:szCs w:val="24"/>
          <w:lang w:val="en-US" w:eastAsia="en-AU"/>
        </w:rPr>
        <w:t xml:space="preserve"> </w:t>
      </w:r>
      <w:r w:rsidR="00D10C67">
        <w:rPr>
          <w:rFonts w:eastAsia="Times New Roman" w:cs="Times New Roman"/>
          <w:sz w:val="24"/>
          <w:szCs w:val="24"/>
          <w:lang w:val="en-US" w:eastAsia="en-AU"/>
        </w:rPr>
        <w:t xml:space="preserve"> </w:t>
      </w:r>
    </w:p>
    <w:p w14:paraId="229769C7" w14:textId="77777777" w:rsidR="00DA182D" w:rsidRDefault="00DA182D" w:rsidP="00116AA6">
      <w:pPr>
        <w:pStyle w:val="ListParagraph"/>
        <w:numPr>
          <w:ilvl w:val="1"/>
          <w:numId w:val="45"/>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Once winding up proceedings have been commenced, they must be determined within 6 months unless the Court makes an order extending this time period</w:t>
      </w:r>
      <w:r w:rsidR="006E0FBD">
        <w:rPr>
          <w:rFonts w:eastAsia="Times New Roman" w:cs="Times New Roman"/>
          <w:sz w:val="24"/>
          <w:szCs w:val="24"/>
          <w:lang w:val="en-US" w:eastAsia="en-AU"/>
        </w:rPr>
        <w:t xml:space="preserve"> (s459R)</w:t>
      </w:r>
      <w:r>
        <w:rPr>
          <w:rFonts w:eastAsia="Times New Roman" w:cs="Times New Roman"/>
          <w:sz w:val="24"/>
          <w:szCs w:val="24"/>
          <w:lang w:val="en-US" w:eastAsia="en-AU"/>
        </w:rPr>
        <w:t>.</w:t>
      </w:r>
    </w:p>
    <w:p w14:paraId="25C1BAF5" w14:textId="77777777" w:rsidR="00735BDA" w:rsidRPr="00E004F7" w:rsidRDefault="00735BDA" w:rsidP="00A23CAC">
      <w:pPr>
        <w:pStyle w:val="ListParagraph"/>
        <w:spacing w:after="240"/>
        <w:ind w:left="709"/>
        <w:contextualSpacing w:val="0"/>
        <w:jc w:val="both"/>
        <w:rPr>
          <w:rFonts w:eastAsia="Times New Roman" w:cs="Times New Roman"/>
          <w:i/>
          <w:sz w:val="24"/>
          <w:szCs w:val="24"/>
          <w:lang w:val="en-US" w:eastAsia="en-AU"/>
        </w:rPr>
      </w:pPr>
      <w:r w:rsidRPr="00E004F7">
        <w:rPr>
          <w:rFonts w:eastAsia="Times New Roman" w:cs="Times New Roman"/>
          <w:i/>
          <w:sz w:val="24"/>
          <w:szCs w:val="24"/>
          <w:lang w:val="en-US" w:eastAsia="en-AU"/>
        </w:rPr>
        <w:t>Steps to be taken before filing</w:t>
      </w:r>
    </w:p>
    <w:p w14:paraId="142DFD4F" w14:textId="5C98FFC4" w:rsidR="00414DF6" w:rsidRPr="00AF325B" w:rsidRDefault="00414DF6" w:rsidP="00116AA6">
      <w:pPr>
        <w:pStyle w:val="ListParagraph"/>
        <w:numPr>
          <w:ilvl w:val="1"/>
          <w:numId w:val="45"/>
        </w:numPr>
        <w:spacing w:after="240"/>
        <w:ind w:left="709" w:hanging="709"/>
        <w:contextualSpacing w:val="0"/>
        <w:jc w:val="both"/>
        <w:rPr>
          <w:rFonts w:eastAsia="Times New Roman" w:cs="Times New Roman"/>
          <w:sz w:val="24"/>
          <w:szCs w:val="24"/>
          <w:lang w:val="en-US" w:eastAsia="en-AU"/>
        </w:rPr>
      </w:pPr>
      <w:r w:rsidRPr="00AF325B">
        <w:rPr>
          <w:rFonts w:eastAsia="Times New Roman" w:cs="Times New Roman"/>
          <w:sz w:val="24"/>
          <w:szCs w:val="24"/>
          <w:lang w:val="en-US" w:eastAsia="en-AU"/>
        </w:rPr>
        <w:t>No more than 7 days before filing the application</w:t>
      </w:r>
      <w:r w:rsidR="00282806">
        <w:rPr>
          <w:rFonts w:eastAsia="Times New Roman" w:cs="Times New Roman"/>
          <w:sz w:val="24"/>
          <w:szCs w:val="24"/>
          <w:lang w:val="en-US" w:eastAsia="en-AU"/>
        </w:rPr>
        <w:t xml:space="preserve">, a creditor </w:t>
      </w:r>
      <w:r w:rsidRPr="00AF325B">
        <w:rPr>
          <w:rFonts w:eastAsia="Times New Roman" w:cs="Times New Roman"/>
          <w:sz w:val="24"/>
          <w:szCs w:val="24"/>
          <w:lang w:val="en-US" w:eastAsia="en-AU"/>
        </w:rPr>
        <w:t>need</w:t>
      </w:r>
      <w:r w:rsidR="00282806">
        <w:rPr>
          <w:rFonts w:eastAsia="Times New Roman" w:cs="Times New Roman"/>
          <w:sz w:val="24"/>
          <w:szCs w:val="24"/>
          <w:lang w:val="en-US" w:eastAsia="en-AU"/>
        </w:rPr>
        <w:t>s</w:t>
      </w:r>
      <w:r w:rsidRPr="00AF325B">
        <w:rPr>
          <w:rFonts w:eastAsia="Times New Roman" w:cs="Times New Roman"/>
          <w:sz w:val="24"/>
          <w:szCs w:val="24"/>
          <w:lang w:val="en-US" w:eastAsia="en-AU"/>
        </w:rPr>
        <w:t xml:space="preserve"> to </w:t>
      </w:r>
      <w:r w:rsidR="00CC1183">
        <w:rPr>
          <w:rFonts w:eastAsia="Times New Roman" w:cs="Times New Roman"/>
          <w:sz w:val="24"/>
          <w:szCs w:val="24"/>
          <w:lang w:val="en-US" w:eastAsia="en-AU"/>
        </w:rPr>
        <w:t>obtain</w:t>
      </w:r>
      <w:r w:rsidR="00CC1183" w:rsidRPr="00AF325B">
        <w:rPr>
          <w:rFonts w:eastAsia="Times New Roman" w:cs="Times New Roman"/>
          <w:sz w:val="24"/>
          <w:szCs w:val="24"/>
          <w:lang w:val="en-US" w:eastAsia="en-AU"/>
        </w:rPr>
        <w:t xml:space="preserve"> </w:t>
      </w:r>
      <w:r w:rsidR="00CC1183">
        <w:rPr>
          <w:rFonts w:eastAsia="Times New Roman" w:cs="Times New Roman"/>
          <w:sz w:val="24"/>
          <w:szCs w:val="24"/>
          <w:lang w:val="en-US" w:eastAsia="en-AU"/>
        </w:rPr>
        <w:t>an extract</w:t>
      </w:r>
      <w:r w:rsidRPr="00AF325B">
        <w:rPr>
          <w:rFonts w:eastAsia="Times New Roman" w:cs="Times New Roman"/>
          <w:sz w:val="24"/>
          <w:szCs w:val="24"/>
          <w:lang w:val="en-US" w:eastAsia="en-AU"/>
        </w:rPr>
        <w:t xml:space="preserve"> of the records maintained by the </w:t>
      </w:r>
      <w:hyperlink r:id="rId15" w:history="1">
        <w:r w:rsidRPr="00AF325B">
          <w:rPr>
            <w:rFonts w:eastAsia="Times New Roman" w:cs="Times New Roman"/>
            <w:sz w:val="24"/>
            <w:szCs w:val="24"/>
            <w:lang w:val="en-US" w:eastAsia="en-AU"/>
          </w:rPr>
          <w:t>Australian Securities and Investments Commission</w:t>
        </w:r>
      </w:hyperlink>
      <w:r w:rsidRPr="00AF325B">
        <w:rPr>
          <w:rFonts w:eastAsia="Times New Roman" w:cs="Times New Roman"/>
          <w:sz w:val="24"/>
          <w:szCs w:val="24"/>
          <w:lang w:val="en-US" w:eastAsia="en-AU"/>
        </w:rPr>
        <w:t xml:space="preserve"> (ASIC) in relation to the </w:t>
      </w:r>
      <w:r w:rsidR="00A356C5">
        <w:rPr>
          <w:rFonts w:eastAsia="Times New Roman" w:cs="Times New Roman"/>
          <w:sz w:val="24"/>
          <w:szCs w:val="24"/>
          <w:lang w:val="en-US" w:eastAsia="en-AU"/>
        </w:rPr>
        <w:t>debtor</w:t>
      </w:r>
      <w:r w:rsidR="00422CF1">
        <w:rPr>
          <w:rFonts w:eastAsia="Times New Roman" w:cs="Times New Roman"/>
          <w:sz w:val="24"/>
          <w:szCs w:val="24"/>
          <w:lang w:val="en-US" w:eastAsia="en-AU"/>
        </w:rPr>
        <w:t xml:space="preserve"> company</w:t>
      </w:r>
      <w:r w:rsidRPr="00AF325B">
        <w:rPr>
          <w:rFonts w:eastAsia="Times New Roman" w:cs="Times New Roman"/>
          <w:sz w:val="24"/>
          <w:szCs w:val="24"/>
          <w:lang w:val="en-US" w:eastAsia="en-AU"/>
        </w:rPr>
        <w:t xml:space="preserve">. </w:t>
      </w:r>
      <w:r w:rsidR="00D27659" w:rsidRPr="00AF325B">
        <w:rPr>
          <w:rFonts w:eastAsia="Times New Roman" w:cs="Times New Roman"/>
          <w:sz w:val="24"/>
          <w:szCs w:val="24"/>
          <w:lang w:val="en-US" w:eastAsia="en-AU"/>
        </w:rPr>
        <w:t>The purpose</w:t>
      </w:r>
      <w:r w:rsidR="00804DD7">
        <w:rPr>
          <w:rFonts w:eastAsia="Times New Roman" w:cs="Times New Roman"/>
          <w:sz w:val="24"/>
          <w:szCs w:val="24"/>
          <w:lang w:val="en-US" w:eastAsia="en-AU"/>
        </w:rPr>
        <w:t>s</w:t>
      </w:r>
      <w:r w:rsidR="00D27659" w:rsidRPr="00AF325B">
        <w:rPr>
          <w:rFonts w:eastAsia="Times New Roman" w:cs="Times New Roman"/>
          <w:sz w:val="24"/>
          <w:szCs w:val="24"/>
          <w:lang w:val="en-US" w:eastAsia="en-AU"/>
        </w:rPr>
        <w:t xml:space="preserve"> of </w:t>
      </w:r>
      <w:r w:rsidR="001C5846">
        <w:rPr>
          <w:rFonts w:eastAsia="Times New Roman" w:cs="Times New Roman"/>
          <w:sz w:val="24"/>
          <w:szCs w:val="24"/>
          <w:lang w:val="en-US" w:eastAsia="en-AU"/>
        </w:rPr>
        <w:t>the</w:t>
      </w:r>
      <w:r w:rsidR="001C5846" w:rsidRPr="00AF325B">
        <w:rPr>
          <w:rFonts w:eastAsia="Times New Roman" w:cs="Times New Roman"/>
          <w:sz w:val="24"/>
          <w:szCs w:val="24"/>
          <w:lang w:val="en-US" w:eastAsia="en-AU"/>
        </w:rPr>
        <w:t xml:space="preserve"> </w:t>
      </w:r>
      <w:r w:rsidR="00D27659" w:rsidRPr="00AF325B">
        <w:rPr>
          <w:rFonts w:eastAsia="Times New Roman" w:cs="Times New Roman"/>
          <w:sz w:val="24"/>
          <w:szCs w:val="24"/>
          <w:lang w:val="en-US" w:eastAsia="en-AU"/>
        </w:rPr>
        <w:t xml:space="preserve">search </w:t>
      </w:r>
      <w:r w:rsidR="00804DD7">
        <w:rPr>
          <w:rFonts w:eastAsia="Times New Roman" w:cs="Times New Roman"/>
          <w:sz w:val="24"/>
          <w:szCs w:val="24"/>
          <w:lang w:val="en-US" w:eastAsia="en-AU"/>
        </w:rPr>
        <w:t>are</w:t>
      </w:r>
      <w:r w:rsidR="00D27659" w:rsidRPr="00AF325B">
        <w:rPr>
          <w:rFonts w:eastAsia="Times New Roman" w:cs="Times New Roman"/>
          <w:sz w:val="24"/>
          <w:szCs w:val="24"/>
          <w:lang w:val="en-US" w:eastAsia="en-AU"/>
        </w:rPr>
        <w:t xml:space="preserve"> to ascertain whether there are any pending winding up proceedings</w:t>
      </w:r>
      <w:r w:rsidR="00804DD7">
        <w:rPr>
          <w:rFonts w:eastAsia="Times New Roman" w:cs="Times New Roman"/>
          <w:sz w:val="24"/>
          <w:szCs w:val="24"/>
          <w:lang w:val="en-US" w:eastAsia="en-AU"/>
        </w:rPr>
        <w:t>, whether</w:t>
      </w:r>
      <w:r w:rsidR="00D27659" w:rsidRPr="00AF325B">
        <w:rPr>
          <w:rFonts w:eastAsia="Times New Roman" w:cs="Times New Roman"/>
          <w:sz w:val="24"/>
          <w:szCs w:val="24"/>
          <w:lang w:val="en-US" w:eastAsia="en-AU"/>
        </w:rPr>
        <w:t xml:space="preserve"> the company </w:t>
      </w:r>
      <w:r w:rsidR="00F34733">
        <w:rPr>
          <w:rFonts w:eastAsia="Times New Roman" w:cs="Times New Roman"/>
          <w:sz w:val="24"/>
          <w:szCs w:val="24"/>
          <w:lang w:val="en-US" w:eastAsia="en-AU"/>
        </w:rPr>
        <w:t>is already in liquidation</w:t>
      </w:r>
      <w:r w:rsidR="00804DD7">
        <w:rPr>
          <w:rFonts w:eastAsia="Times New Roman" w:cs="Times New Roman"/>
          <w:sz w:val="24"/>
          <w:szCs w:val="24"/>
          <w:lang w:val="en-US" w:eastAsia="en-AU"/>
        </w:rPr>
        <w:t xml:space="preserve"> and whether the registered office has changed</w:t>
      </w:r>
      <w:r w:rsidR="00D27659" w:rsidRPr="00AF325B">
        <w:rPr>
          <w:rFonts w:eastAsia="Times New Roman" w:cs="Times New Roman"/>
          <w:sz w:val="24"/>
          <w:szCs w:val="24"/>
          <w:lang w:val="en-US" w:eastAsia="en-AU"/>
        </w:rPr>
        <w:t xml:space="preserve">.  </w:t>
      </w:r>
    </w:p>
    <w:p w14:paraId="435B6AEF" w14:textId="77777777" w:rsidR="001D0F91" w:rsidRPr="00E004F7" w:rsidRDefault="000239F5" w:rsidP="00A23CAC">
      <w:pPr>
        <w:pStyle w:val="ListParagraph"/>
        <w:spacing w:after="240"/>
        <w:ind w:left="709"/>
        <w:contextualSpacing w:val="0"/>
        <w:jc w:val="both"/>
        <w:rPr>
          <w:rFonts w:eastAsia="Times New Roman" w:cs="Times New Roman"/>
          <w:i/>
          <w:sz w:val="24"/>
          <w:szCs w:val="24"/>
          <w:lang w:val="en-US" w:eastAsia="en-AU"/>
        </w:rPr>
      </w:pPr>
      <w:r w:rsidRPr="00E004F7">
        <w:rPr>
          <w:rFonts w:eastAsia="Times New Roman" w:cs="Times New Roman"/>
          <w:i/>
          <w:sz w:val="24"/>
          <w:szCs w:val="24"/>
          <w:lang w:val="en-US" w:eastAsia="en-AU"/>
        </w:rPr>
        <w:t>Documents to be prepared</w:t>
      </w:r>
    </w:p>
    <w:p w14:paraId="2522253F" w14:textId="7498EE2C" w:rsidR="00D57F3A" w:rsidRDefault="00BB2739" w:rsidP="00116AA6">
      <w:pPr>
        <w:pStyle w:val="ListParagraph"/>
        <w:numPr>
          <w:ilvl w:val="1"/>
          <w:numId w:val="45"/>
        </w:numPr>
        <w:spacing w:after="240"/>
        <w:ind w:left="709" w:hanging="709"/>
        <w:contextualSpacing w:val="0"/>
        <w:jc w:val="both"/>
        <w:rPr>
          <w:rFonts w:eastAsia="Times New Roman" w:cs="Times New Roman"/>
          <w:sz w:val="24"/>
          <w:szCs w:val="24"/>
          <w:lang w:val="en-US" w:eastAsia="en-AU"/>
        </w:rPr>
      </w:pPr>
      <w:r w:rsidRPr="00D57F3A">
        <w:rPr>
          <w:rFonts w:eastAsia="Times New Roman" w:cs="Times New Roman"/>
          <w:sz w:val="24"/>
          <w:szCs w:val="24"/>
          <w:lang w:val="en-US" w:eastAsia="en-AU"/>
        </w:rPr>
        <w:lastRenderedPageBreak/>
        <w:t>Proceedings are commenced by filing wi</w:t>
      </w:r>
      <w:r w:rsidR="007800C6">
        <w:rPr>
          <w:rFonts w:eastAsia="Times New Roman" w:cs="Times New Roman"/>
          <w:sz w:val="24"/>
          <w:szCs w:val="24"/>
          <w:lang w:val="en-US" w:eastAsia="en-AU"/>
        </w:rPr>
        <w:t>th the C</w:t>
      </w:r>
      <w:r w:rsidRPr="00D57F3A">
        <w:rPr>
          <w:rFonts w:eastAsia="Times New Roman" w:cs="Times New Roman"/>
          <w:sz w:val="24"/>
          <w:szCs w:val="24"/>
          <w:lang w:val="en-US" w:eastAsia="en-AU"/>
        </w:rPr>
        <w:t xml:space="preserve">ourt an originating process in accordance with </w:t>
      </w:r>
      <w:r w:rsidRPr="00E004F7">
        <w:rPr>
          <w:rFonts w:eastAsia="Times New Roman" w:cs="Times New Roman"/>
          <w:sz w:val="24"/>
          <w:szCs w:val="24"/>
          <w:u w:val="single"/>
          <w:lang w:val="en-US" w:eastAsia="en-AU"/>
        </w:rPr>
        <w:t>Corporations Form 2</w:t>
      </w:r>
      <w:r w:rsidR="00DC2618">
        <w:rPr>
          <w:rFonts w:eastAsia="Times New Roman" w:cs="Times New Roman"/>
          <w:sz w:val="24"/>
          <w:szCs w:val="24"/>
          <w:lang w:val="en-US" w:eastAsia="en-AU"/>
        </w:rPr>
        <w:t xml:space="preserve">. The originating process must attach </w:t>
      </w:r>
      <w:r w:rsidRPr="00D57F3A">
        <w:rPr>
          <w:rFonts w:eastAsia="Times New Roman" w:cs="Times New Roman"/>
          <w:sz w:val="24"/>
          <w:szCs w:val="24"/>
          <w:lang w:val="en-US" w:eastAsia="en-AU"/>
        </w:rPr>
        <w:t xml:space="preserve">a copy of the </w:t>
      </w:r>
      <w:r w:rsidR="002B4257">
        <w:rPr>
          <w:rFonts w:eastAsia="Times New Roman" w:cs="Times New Roman"/>
          <w:sz w:val="24"/>
          <w:szCs w:val="24"/>
          <w:lang w:val="en-US" w:eastAsia="en-AU"/>
        </w:rPr>
        <w:t>Statutory Demand</w:t>
      </w:r>
      <w:r w:rsidR="00DC2618">
        <w:rPr>
          <w:rFonts w:eastAsia="Times New Roman" w:cs="Times New Roman"/>
          <w:sz w:val="24"/>
          <w:szCs w:val="24"/>
          <w:lang w:val="en-US" w:eastAsia="en-AU"/>
        </w:rPr>
        <w:t xml:space="preserve"> and any accompanying affidavit</w:t>
      </w:r>
      <w:r w:rsidR="009B7899">
        <w:rPr>
          <w:rFonts w:eastAsia="Times New Roman" w:cs="Times New Roman"/>
          <w:sz w:val="24"/>
          <w:szCs w:val="24"/>
          <w:lang w:val="en-US" w:eastAsia="en-AU"/>
        </w:rPr>
        <w:t xml:space="preserve"> verifying the debt as required under s459E(3)</w:t>
      </w:r>
      <w:r w:rsidRPr="00D57F3A">
        <w:rPr>
          <w:rFonts w:eastAsia="Times New Roman" w:cs="Times New Roman"/>
          <w:sz w:val="24"/>
          <w:szCs w:val="24"/>
          <w:lang w:val="en-US" w:eastAsia="en-AU"/>
        </w:rPr>
        <w:t xml:space="preserve">. </w:t>
      </w:r>
      <w:r w:rsidR="00D57F3A" w:rsidRPr="00D57F3A">
        <w:rPr>
          <w:rFonts w:eastAsia="Times New Roman" w:cs="Times New Roman"/>
          <w:sz w:val="24"/>
          <w:szCs w:val="24"/>
          <w:lang w:val="en-US" w:eastAsia="en-AU"/>
        </w:rPr>
        <w:t>The entity filing the originating process i</w:t>
      </w:r>
      <w:r w:rsidR="00E004F7">
        <w:rPr>
          <w:rFonts w:eastAsia="Times New Roman" w:cs="Times New Roman"/>
          <w:sz w:val="24"/>
          <w:szCs w:val="24"/>
          <w:lang w:val="en-US" w:eastAsia="en-AU"/>
        </w:rPr>
        <w:t>s referred to as the 'Plaintiff'</w:t>
      </w:r>
      <w:r w:rsidR="00D57F3A" w:rsidRPr="00D57F3A">
        <w:rPr>
          <w:rFonts w:eastAsia="Times New Roman" w:cs="Times New Roman"/>
          <w:sz w:val="24"/>
          <w:szCs w:val="24"/>
          <w:lang w:val="en-US" w:eastAsia="en-AU"/>
        </w:rPr>
        <w:t xml:space="preserve">. </w:t>
      </w:r>
      <w:r w:rsidR="00A90148">
        <w:rPr>
          <w:rFonts w:eastAsia="Times New Roman" w:cs="Times New Roman"/>
          <w:sz w:val="24"/>
          <w:szCs w:val="24"/>
          <w:lang w:val="en-US" w:eastAsia="en-AU"/>
        </w:rPr>
        <w:t>T</w:t>
      </w:r>
      <w:r w:rsidR="00D57F3A" w:rsidRPr="00D57F3A">
        <w:rPr>
          <w:rFonts w:eastAsia="Times New Roman" w:cs="Times New Roman"/>
          <w:sz w:val="24"/>
          <w:szCs w:val="24"/>
          <w:lang w:val="en-US" w:eastAsia="en-AU"/>
        </w:rPr>
        <w:t>he</w:t>
      </w:r>
      <w:r w:rsidR="00A356C5">
        <w:rPr>
          <w:rFonts w:eastAsia="Times New Roman" w:cs="Times New Roman"/>
          <w:sz w:val="24"/>
          <w:szCs w:val="24"/>
          <w:lang w:val="en-US" w:eastAsia="en-AU"/>
        </w:rPr>
        <w:t xml:space="preserve"> debtor</w:t>
      </w:r>
      <w:r w:rsidR="00D57F3A" w:rsidRPr="00D57F3A">
        <w:rPr>
          <w:rFonts w:eastAsia="Times New Roman" w:cs="Times New Roman"/>
          <w:sz w:val="24"/>
          <w:szCs w:val="24"/>
          <w:lang w:val="en-US" w:eastAsia="en-AU"/>
        </w:rPr>
        <w:t xml:space="preserve"> company the subject of the pro</w:t>
      </w:r>
      <w:r w:rsidR="00E004F7">
        <w:rPr>
          <w:rFonts w:eastAsia="Times New Roman" w:cs="Times New Roman"/>
          <w:sz w:val="24"/>
          <w:szCs w:val="24"/>
          <w:lang w:val="en-US" w:eastAsia="en-AU"/>
        </w:rPr>
        <w:t>ceedings is referred to as the 'Defendant'</w:t>
      </w:r>
      <w:r w:rsidR="00D57F3A" w:rsidRPr="00D57F3A">
        <w:rPr>
          <w:rFonts w:eastAsia="Times New Roman" w:cs="Times New Roman"/>
          <w:sz w:val="24"/>
          <w:szCs w:val="24"/>
          <w:lang w:val="en-US" w:eastAsia="en-AU"/>
        </w:rPr>
        <w:t xml:space="preserve">. </w:t>
      </w:r>
    </w:p>
    <w:p w14:paraId="29FBB43C" w14:textId="77777777" w:rsidR="00861B17" w:rsidRDefault="00D57F3A" w:rsidP="00116AA6">
      <w:pPr>
        <w:pStyle w:val="ListParagraph"/>
        <w:numPr>
          <w:ilvl w:val="1"/>
          <w:numId w:val="45"/>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The originating process must be supported by </w:t>
      </w:r>
      <w:r w:rsidR="00CE73ED">
        <w:rPr>
          <w:rFonts w:eastAsia="Times New Roman" w:cs="Times New Roman"/>
          <w:sz w:val="24"/>
          <w:szCs w:val="24"/>
          <w:lang w:val="en-US" w:eastAsia="en-AU"/>
        </w:rPr>
        <w:t>affidavit</w:t>
      </w:r>
      <w:r w:rsidR="00D30BAD">
        <w:rPr>
          <w:rFonts w:eastAsia="Times New Roman" w:cs="Times New Roman"/>
          <w:sz w:val="24"/>
          <w:szCs w:val="24"/>
          <w:lang w:val="en-US" w:eastAsia="en-AU"/>
        </w:rPr>
        <w:t xml:space="preserve"> </w:t>
      </w:r>
      <w:r w:rsidR="00861B17">
        <w:rPr>
          <w:rFonts w:eastAsia="Times New Roman" w:cs="Times New Roman"/>
          <w:sz w:val="24"/>
          <w:szCs w:val="24"/>
          <w:lang w:val="en-US" w:eastAsia="en-AU"/>
        </w:rPr>
        <w:t xml:space="preserve">evidence </w:t>
      </w:r>
      <w:r w:rsidR="00D30BAD">
        <w:rPr>
          <w:rFonts w:eastAsia="Times New Roman" w:cs="Times New Roman"/>
          <w:sz w:val="24"/>
          <w:szCs w:val="24"/>
          <w:lang w:val="en-US" w:eastAsia="en-AU"/>
        </w:rPr>
        <w:t xml:space="preserve">of certain matters. </w:t>
      </w:r>
      <w:r>
        <w:rPr>
          <w:rFonts w:eastAsia="Times New Roman" w:cs="Times New Roman"/>
          <w:sz w:val="24"/>
          <w:szCs w:val="24"/>
          <w:lang w:val="en-US" w:eastAsia="en-AU"/>
        </w:rPr>
        <w:t xml:space="preserve"> </w:t>
      </w:r>
      <w:r w:rsidR="00515F4F">
        <w:rPr>
          <w:rFonts w:eastAsia="Times New Roman" w:cs="Times New Roman"/>
          <w:sz w:val="24"/>
          <w:szCs w:val="24"/>
          <w:lang w:val="en-US" w:eastAsia="en-AU"/>
        </w:rPr>
        <w:t>The affidavit or affidavits in support must:</w:t>
      </w:r>
    </w:p>
    <w:p w14:paraId="383E2D2D" w14:textId="77777777" w:rsidR="00414DF6" w:rsidRPr="002C66DD" w:rsidRDefault="00296806" w:rsidP="00A23CAC">
      <w:pPr>
        <w:pStyle w:val="ListParagraph"/>
        <w:keepNext/>
        <w:numPr>
          <w:ilvl w:val="0"/>
          <w:numId w:val="10"/>
        </w:numPr>
        <w:spacing w:after="240"/>
        <w:ind w:left="1276" w:hanging="567"/>
        <w:contextualSpacing w:val="0"/>
        <w:jc w:val="both"/>
        <w:rPr>
          <w:rFonts w:eastAsia="Times New Roman" w:cs="Times New Roman"/>
          <w:sz w:val="24"/>
          <w:szCs w:val="24"/>
          <w:lang w:val="en-US" w:eastAsia="en-AU"/>
        </w:rPr>
      </w:pPr>
      <w:r w:rsidRPr="002C66DD">
        <w:rPr>
          <w:rFonts w:eastAsia="Times New Roman" w:cs="Times New Roman"/>
          <w:sz w:val="24"/>
          <w:szCs w:val="24"/>
          <w:lang w:val="en-US" w:eastAsia="en-AU"/>
        </w:rPr>
        <w:t>C</w:t>
      </w:r>
      <w:r w:rsidR="00414DF6" w:rsidRPr="002C66DD">
        <w:rPr>
          <w:rFonts w:eastAsia="Times New Roman" w:cs="Times New Roman"/>
          <w:sz w:val="24"/>
          <w:szCs w:val="24"/>
          <w:lang w:val="en-US" w:eastAsia="en-AU"/>
        </w:rPr>
        <w:t xml:space="preserve">ontain details of how and when the </w:t>
      </w:r>
      <w:r w:rsidR="002B4257">
        <w:rPr>
          <w:rFonts w:eastAsia="Times New Roman" w:cs="Times New Roman"/>
          <w:sz w:val="24"/>
          <w:szCs w:val="24"/>
          <w:lang w:val="en-US" w:eastAsia="en-AU"/>
        </w:rPr>
        <w:t>Statutory Demand</w:t>
      </w:r>
      <w:r w:rsidR="00414DF6" w:rsidRPr="002C66DD">
        <w:rPr>
          <w:rFonts w:eastAsia="Times New Roman" w:cs="Times New Roman"/>
          <w:sz w:val="24"/>
          <w:szCs w:val="24"/>
          <w:lang w:val="en-US" w:eastAsia="en-AU"/>
        </w:rPr>
        <w:t xml:space="preserve"> was served on the company  </w:t>
      </w:r>
    </w:p>
    <w:p w14:paraId="4457E6D9" w14:textId="77777777" w:rsidR="00414DF6" w:rsidRPr="00AF325B" w:rsidRDefault="00296806" w:rsidP="002C66DD">
      <w:pPr>
        <w:pStyle w:val="ListParagraph"/>
        <w:numPr>
          <w:ilvl w:val="0"/>
          <w:numId w:val="10"/>
        </w:numPr>
        <w:spacing w:after="240"/>
        <w:ind w:left="1276" w:hanging="567"/>
        <w:contextualSpacing w:val="0"/>
        <w:jc w:val="both"/>
        <w:rPr>
          <w:rFonts w:eastAsia="Times New Roman" w:cs="Times New Roman"/>
          <w:sz w:val="24"/>
          <w:szCs w:val="24"/>
          <w:lang w:val="en-US" w:eastAsia="en-AU"/>
        </w:rPr>
      </w:pPr>
      <w:r w:rsidRPr="00AF325B">
        <w:rPr>
          <w:rFonts w:eastAsia="Times New Roman" w:cs="Times New Roman"/>
          <w:sz w:val="24"/>
          <w:szCs w:val="24"/>
          <w:lang w:val="en-US" w:eastAsia="en-AU"/>
        </w:rPr>
        <w:t>C</w:t>
      </w:r>
      <w:r w:rsidR="00414DF6" w:rsidRPr="00AF325B">
        <w:rPr>
          <w:rFonts w:eastAsia="Times New Roman" w:cs="Times New Roman"/>
          <w:sz w:val="24"/>
          <w:szCs w:val="24"/>
          <w:lang w:val="en-US" w:eastAsia="en-AU"/>
        </w:rPr>
        <w:t xml:space="preserve">ontain details of the failure of the company to comply with the </w:t>
      </w:r>
      <w:r w:rsidR="002B4257">
        <w:rPr>
          <w:rFonts w:eastAsia="Times New Roman" w:cs="Times New Roman"/>
          <w:sz w:val="24"/>
          <w:szCs w:val="24"/>
          <w:lang w:val="en-US" w:eastAsia="en-AU"/>
        </w:rPr>
        <w:t>Statutory Demand</w:t>
      </w:r>
      <w:r w:rsidR="00414DF6" w:rsidRPr="00AF325B">
        <w:rPr>
          <w:rFonts w:eastAsia="Times New Roman" w:cs="Times New Roman"/>
          <w:sz w:val="24"/>
          <w:szCs w:val="24"/>
          <w:lang w:val="en-US" w:eastAsia="en-AU"/>
        </w:rPr>
        <w:t xml:space="preserve"> </w:t>
      </w:r>
    </w:p>
    <w:p w14:paraId="7B3FE1F4" w14:textId="77777777" w:rsidR="00861B17" w:rsidRDefault="00296806">
      <w:pPr>
        <w:pStyle w:val="ListParagraph"/>
        <w:numPr>
          <w:ilvl w:val="0"/>
          <w:numId w:val="10"/>
        </w:numPr>
        <w:spacing w:after="240"/>
        <w:ind w:left="1276" w:hanging="567"/>
        <w:contextualSpacing w:val="0"/>
        <w:jc w:val="both"/>
        <w:rPr>
          <w:rFonts w:eastAsia="Times New Roman" w:cs="Times New Roman"/>
          <w:sz w:val="24"/>
          <w:szCs w:val="24"/>
          <w:lang w:val="en-US" w:eastAsia="en-AU"/>
        </w:rPr>
      </w:pPr>
      <w:r w:rsidRPr="00AF325B">
        <w:rPr>
          <w:rFonts w:eastAsia="Times New Roman" w:cs="Times New Roman"/>
          <w:sz w:val="24"/>
          <w:szCs w:val="24"/>
          <w:lang w:val="en-US" w:eastAsia="en-AU"/>
        </w:rPr>
        <w:t>S</w:t>
      </w:r>
      <w:r w:rsidR="00414DF6" w:rsidRPr="00AF325B">
        <w:rPr>
          <w:rFonts w:eastAsia="Times New Roman" w:cs="Times New Roman"/>
          <w:sz w:val="24"/>
          <w:szCs w:val="24"/>
          <w:lang w:val="en-US" w:eastAsia="en-AU"/>
        </w:rPr>
        <w:t xml:space="preserve">tate whether and, if so, to what extent the debt, or each of the debts, to which the </w:t>
      </w:r>
      <w:r w:rsidR="002B4257">
        <w:rPr>
          <w:rFonts w:eastAsia="Times New Roman" w:cs="Times New Roman"/>
          <w:sz w:val="24"/>
          <w:szCs w:val="24"/>
          <w:lang w:val="en-US" w:eastAsia="en-AU"/>
        </w:rPr>
        <w:t>Statutory Demand</w:t>
      </w:r>
      <w:r w:rsidR="00414DF6" w:rsidRPr="00AF325B">
        <w:rPr>
          <w:rFonts w:eastAsia="Times New Roman" w:cs="Times New Roman"/>
          <w:sz w:val="24"/>
          <w:szCs w:val="24"/>
          <w:lang w:val="en-US" w:eastAsia="en-AU"/>
        </w:rPr>
        <w:t xml:space="preserve"> relates is still due and payable at the date when the affidavit is made</w:t>
      </w:r>
      <w:r w:rsidR="00E004F7">
        <w:rPr>
          <w:rFonts w:eastAsia="Times New Roman" w:cs="Times New Roman"/>
          <w:sz w:val="24"/>
          <w:szCs w:val="24"/>
          <w:lang w:val="en-US" w:eastAsia="en-AU"/>
        </w:rPr>
        <w:t>,</w:t>
      </w:r>
      <w:r w:rsidR="00861B17">
        <w:rPr>
          <w:rFonts w:eastAsia="Times New Roman" w:cs="Times New Roman"/>
          <w:sz w:val="24"/>
          <w:szCs w:val="24"/>
          <w:lang w:val="en-US" w:eastAsia="en-AU"/>
        </w:rPr>
        <w:t xml:space="preserve"> and</w:t>
      </w:r>
    </w:p>
    <w:p w14:paraId="5CCC46A6" w14:textId="0846F0E3" w:rsidR="00515F4F" w:rsidRDefault="00861B17">
      <w:pPr>
        <w:pStyle w:val="ListParagraph"/>
        <w:numPr>
          <w:ilvl w:val="0"/>
          <w:numId w:val="10"/>
        </w:numPr>
        <w:spacing w:after="240"/>
        <w:ind w:left="1276" w:hanging="567"/>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Annex a copy of the ASIC </w:t>
      </w:r>
      <w:r w:rsidR="00446F14">
        <w:rPr>
          <w:rFonts w:eastAsia="Times New Roman" w:cs="Times New Roman"/>
          <w:sz w:val="24"/>
          <w:szCs w:val="24"/>
          <w:lang w:val="en-US" w:eastAsia="en-AU"/>
        </w:rPr>
        <w:t>extract</w:t>
      </w:r>
      <w:r>
        <w:rPr>
          <w:rFonts w:eastAsia="Times New Roman" w:cs="Times New Roman"/>
          <w:sz w:val="24"/>
          <w:szCs w:val="24"/>
          <w:lang w:val="en-US" w:eastAsia="en-AU"/>
        </w:rPr>
        <w:t xml:space="preserve"> (which must be </w:t>
      </w:r>
      <w:r w:rsidR="00446F14">
        <w:rPr>
          <w:rFonts w:eastAsia="Times New Roman" w:cs="Times New Roman"/>
          <w:sz w:val="24"/>
          <w:szCs w:val="24"/>
          <w:lang w:val="en-US" w:eastAsia="en-AU"/>
        </w:rPr>
        <w:t xml:space="preserve">obtained </w:t>
      </w:r>
      <w:r>
        <w:rPr>
          <w:rFonts w:eastAsia="Times New Roman" w:cs="Times New Roman"/>
          <w:sz w:val="24"/>
          <w:szCs w:val="24"/>
          <w:lang w:val="en-US" w:eastAsia="en-AU"/>
        </w:rPr>
        <w:t xml:space="preserve">no more than 7 days </w:t>
      </w:r>
      <w:r w:rsidR="00731EB3">
        <w:rPr>
          <w:rFonts w:eastAsia="Times New Roman" w:cs="Times New Roman"/>
          <w:sz w:val="24"/>
          <w:szCs w:val="24"/>
          <w:lang w:val="en-US" w:eastAsia="en-AU"/>
        </w:rPr>
        <w:t>before the</w:t>
      </w:r>
      <w:r>
        <w:rPr>
          <w:rFonts w:eastAsia="Times New Roman" w:cs="Times New Roman"/>
          <w:sz w:val="24"/>
          <w:szCs w:val="24"/>
          <w:lang w:val="en-US" w:eastAsia="en-AU"/>
        </w:rPr>
        <w:t xml:space="preserve"> filing of the originating process.</w:t>
      </w:r>
    </w:p>
    <w:p w14:paraId="23BF35A2" w14:textId="77777777" w:rsidR="00515F4F" w:rsidRPr="00D57F3A" w:rsidRDefault="00515F4F" w:rsidP="00116AA6">
      <w:pPr>
        <w:pStyle w:val="ListParagraph"/>
        <w:numPr>
          <w:ilvl w:val="1"/>
          <w:numId w:val="45"/>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The affidavits in support should be completed</w:t>
      </w:r>
      <w:r w:rsidRPr="00D57F3A">
        <w:rPr>
          <w:rFonts w:eastAsia="Times New Roman" w:cs="Times New Roman"/>
          <w:sz w:val="24"/>
          <w:szCs w:val="24"/>
          <w:lang w:val="en-US" w:eastAsia="en-AU"/>
        </w:rPr>
        <w:t xml:space="preserve"> using </w:t>
      </w:r>
      <w:r w:rsidRPr="00D93DEC">
        <w:rPr>
          <w:rFonts w:eastAsia="Times New Roman" w:cs="Times New Roman"/>
          <w:sz w:val="24"/>
          <w:szCs w:val="24"/>
          <w:lang w:val="en-US" w:eastAsia="en-AU"/>
        </w:rPr>
        <w:t>Form 59</w:t>
      </w:r>
      <w:r>
        <w:rPr>
          <w:rFonts w:eastAsia="Times New Roman" w:cs="Times New Roman"/>
          <w:sz w:val="24"/>
          <w:szCs w:val="24"/>
          <w:lang w:val="en-US" w:eastAsia="en-AU"/>
        </w:rPr>
        <w:t xml:space="preserve">. </w:t>
      </w:r>
      <w:r w:rsidR="005540FE" w:rsidRPr="00AF325B">
        <w:rPr>
          <w:rFonts w:eastAsia="Times New Roman" w:cs="Times New Roman"/>
          <w:sz w:val="24"/>
          <w:szCs w:val="24"/>
          <w:lang w:val="en-US" w:eastAsia="en-AU"/>
        </w:rPr>
        <w:t xml:space="preserve">A sample affidavit is set out in </w:t>
      </w:r>
      <w:hyperlink r:id="rId16" w:history="1">
        <w:r w:rsidR="005540FE" w:rsidRPr="00E004F7">
          <w:rPr>
            <w:rStyle w:val="Hyperlink"/>
            <w:rFonts w:asciiTheme="minorHAnsi" w:eastAsia="Times New Roman" w:hAnsiTheme="minorHAnsi" w:cs="Times New Roman"/>
            <w:sz w:val="24"/>
            <w:szCs w:val="24"/>
            <w:lang w:val="en-US" w:eastAsia="en-AU"/>
          </w:rPr>
          <w:t>Note 2 of Schedule 3</w:t>
        </w:r>
      </w:hyperlink>
      <w:r w:rsidR="005540FE" w:rsidRPr="00AF325B">
        <w:rPr>
          <w:rFonts w:eastAsia="Times New Roman" w:cs="Times New Roman"/>
          <w:sz w:val="24"/>
          <w:szCs w:val="24"/>
          <w:lang w:val="en-US" w:eastAsia="en-AU"/>
        </w:rPr>
        <w:t xml:space="preserve"> of the </w:t>
      </w:r>
      <w:hyperlink r:id="rId17" w:history="1">
        <w:r w:rsidR="005540FE" w:rsidRPr="00AF325B">
          <w:rPr>
            <w:rFonts w:eastAsia="Times New Roman" w:cs="Times New Roman"/>
            <w:sz w:val="24"/>
            <w:szCs w:val="24"/>
            <w:lang w:val="en-US" w:eastAsia="en-AU"/>
          </w:rPr>
          <w:t>Corporations Rules</w:t>
        </w:r>
      </w:hyperlink>
      <w:r w:rsidR="00E004F7">
        <w:rPr>
          <w:rFonts w:eastAsia="Times New Roman" w:cs="Times New Roman"/>
          <w:sz w:val="24"/>
          <w:szCs w:val="24"/>
          <w:lang w:val="en-US" w:eastAsia="en-AU"/>
        </w:rPr>
        <w:t xml:space="preserve">. </w:t>
      </w:r>
    </w:p>
    <w:p w14:paraId="79794DD5" w14:textId="77777777" w:rsidR="001D0F91" w:rsidRPr="00E004F7" w:rsidRDefault="004B0295" w:rsidP="00A23CAC">
      <w:pPr>
        <w:pStyle w:val="ListParagraph"/>
        <w:spacing w:after="240"/>
        <w:ind w:left="709"/>
        <w:contextualSpacing w:val="0"/>
        <w:jc w:val="both"/>
        <w:rPr>
          <w:rFonts w:eastAsia="Times New Roman" w:cs="Times New Roman"/>
          <w:i/>
          <w:sz w:val="24"/>
          <w:szCs w:val="24"/>
          <w:lang w:val="en-US" w:eastAsia="en-AU"/>
        </w:rPr>
      </w:pPr>
      <w:r w:rsidRPr="00E004F7">
        <w:rPr>
          <w:rFonts w:eastAsia="Times New Roman" w:cs="Times New Roman"/>
          <w:i/>
          <w:sz w:val="24"/>
          <w:szCs w:val="24"/>
          <w:lang w:val="en-US" w:eastAsia="en-AU"/>
        </w:rPr>
        <w:t>Filing</w:t>
      </w:r>
      <w:r w:rsidR="001D0F91" w:rsidRPr="00E004F7">
        <w:rPr>
          <w:rFonts w:eastAsia="Times New Roman" w:cs="Times New Roman"/>
          <w:i/>
          <w:sz w:val="24"/>
          <w:szCs w:val="24"/>
          <w:lang w:val="en-US" w:eastAsia="en-AU"/>
        </w:rPr>
        <w:t xml:space="preserve"> </w:t>
      </w:r>
      <w:r w:rsidRPr="00E004F7">
        <w:rPr>
          <w:rFonts w:eastAsia="Times New Roman" w:cs="Times New Roman"/>
          <w:i/>
          <w:sz w:val="24"/>
          <w:szCs w:val="24"/>
          <w:lang w:val="en-US" w:eastAsia="en-AU"/>
        </w:rPr>
        <w:t>the originating process</w:t>
      </w:r>
      <w:r w:rsidR="001D0F91" w:rsidRPr="00E004F7">
        <w:rPr>
          <w:rFonts w:eastAsia="Times New Roman" w:cs="Times New Roman"/>
          <w:i/>
          <w:sz w:val="24"/>
          <w:szCs w:val="24"/>
          <w:lang w:val="en-US" w:eastAsia="en-AU"/>
        </w:rPr>
        <w:t xml:space="preserve"> with the Court</w:t>
      </w:r>
    </w:p>
    <w:p w14:paraId="046D50E6" w14:textId="77777777" w:rsidR="00584B68" w:rsidRPr="00A23CAC" w:rsidRDefault="00584B68" w:rsidP="00116AA6">
      <w:pPr>
        <w:pStyle w:val="ListParagraph"/>
        <w:numPr>
          <w:ilvl w:val="1"/>
          <w:numId w:val="45"/>
        </w:numPr>
        <w:spacing w:after="240"/>
        <w:ind w:left="709" w:hanging="709"/>
        <w:contextualSpacing w:val="0"/>
        <w:jc w:val="both"/>
        <w:rPr>
          <w:rFonts w:eastAsia="Times New Roman" w:cs="Times New Roman"/>
          <w:sz w:val="24"/>
          <w:szCs w:val="24"/>
          <w:lang w:val="en-US" w:eastAsia="en-AU"/>
        </w:rPr>
      </w:pPr>
      <w:r w:rsidRPr="00A23CAC">
        <w:rPr>
          <w:rFonts w:eastAsia="Times New Roman" w:cs="Times New Roman"/>
          <w:sz w:val="24"/>
          <w:szCs w:val="24"/>
          <w:lang w:val="en-US" w:eastAsia="en-AU"/>
        </w:rPr>
        <w:tab/>
        <w:t xml:space="preserve">The </w:t>
      </w:r>
      <w:r w:rsidR="00292AB3">
        <w:rPr>
          <w:rFonts w:eastAsia="Times New Roman" w:cs="Times New Roman"/>
          <w:sz w:val="24"/>
          <w:szCs w:val="24"/>
          <w:lang w:val="en-US" w:eastAsia="en-AU"/>
        </w:rPr>
        <w:t>plaintiff</w:t>
      </w:r>
      <w:r w:rsidRPr="00A23CAC">
        <w:rPr>
          <w:rFonts w:eastAsia="Times New Roman" w:cs="Times New Roman"/>
          <w:sz w:val="24"/>
          <w:szCs w:val="24"/>
          <w:lang w:val="en-US" w:eastAsia="en-AU"/>
        </w:rPr>
        <w:t xml:space="preserve"> should </w:t>
      </w:r>
      <w:r w:rsidR="009858A3">
        <w:rPr>
          <w:rFonts w:eastAsia="Times New Roman" w:cs="Times New Roman"/>
          <w:sz w:val="24"/>
          <w:szCs w:val="24"/>
          <w:lang w:val="en-US" w:eastAsia="en-AU"/>
        </w:rPr>
        <w:t>lodge</w:t>
      </w:r>
      <w:r w:rsidRPr="00A23CAC">
        <w:rPr>
          <w:rFonts w:eastAsia="Times New Roman" w:cs="Times New Roman"/>
          <w:sz w:val="24"/>
          <w:szCs w:val="24"/>
          <w:lang w:val="en-US" w:eastAsia="en-AU"/>
        </w:rPr>
        <w:t xml:space="preserve"> all required documents electronically through the Court’s eLodgment</w:t>
      </w:r>
      <w:r w:rsidR="00E004F7">
        <w:rPr>
          <w:rFonts w:eastAsia="Times New Roman" w:cs="Times New Roman"/>
          <w:sz w:val="24"/>
          <w:szCs w:val="24"/>
          <w:lang w:val="en-US" w:eastAsia="en-AU"/>
        </w:rPr>
        <w:t xml:space="preserve"> system</w:t>
      </w:r>
      <w:r w:rsidR="009A0735">
        <w:rPr>
          <w:rFonts w:eastAsia="Times New Roman" w:cs="Times New Roman"/>
          <w:sz w:val="24"/>
          <w:szCs w:val="24"/>
          <w:lang w:val="en-US" w:eastAsia="en-AU"/>
        </w:rPr>
        <w:t xml:space="preserve">. For more information on eLodgment and the Court’s </w:t>
      </w:r>
      <w:r w:rsidR="00E004F7">
        <w:rPr>
          <w:rFonts w:eastAsia="Times New Roman" w:cs="Times New Roman"/>
          <w:sz w:val="24"/>
          <w:szCs w:val="24"/>
          <w:lang w:val="en-US" w:eastAsia="en-AU"/>
        </w:rPr>
        <w:t>Online Services</w:t>
      </w:r>
      <w:r w:rsidR="007119AE">
        <w:rPr>
          <w:rFonts w:eastAsia="Times New Roman" w:cs="Times New Roman"/>
          <w:sz w:val="24"/>
          <w:szCs w:val="24"/>
          <w:lang w:val="en-US" w:eastAsia="en-AU"/>
        </w:rPr>
        <w:t>,</w:t>
      </w:r>
      <w:r w:rsidR="009A0735">
        <w:rPr>
          <w:rFonts w:eastAsia="Times New Roman" w:cs="Times New Roman"/>
          <w:sz w:val="24"/>
          <w:szCs w:val="24"/>
          <w:lang w:val="en-US" w:eastAsia="en-AU"/>
        </w:rPr>
        <w:t xml:space="preserve"> refer </w:t>
      </w:r>
      <w:r w:rsidR="009C685A">
        <w:rPr>
          <w:rFonts w:eastAsia="Times New Roman" w:cs="Times New Roman"/>
          <w:sz w:val="24"/>
          <w:szCs w:val="24"/>
          <w:lang w:val="en-US" w:eastAsia="en-AU"/>
        </w:rPr>
        <w:t>to section</w:t>
      </w:r>
      <w:r w:rsidR="00E004F7">
        <w:rPr>
          <w:rFonts w:eastAsia="Times New Roman" w:cs="Times New Roman"/>
          <w:sz w:val="24"/>
          <w:szCs w:val="24"/>
          <w:lang w:val="en-US" w:eastAsia="en-AU"/>
        </w:rPr>
        <w:t xml:space="preserve"> 7</w:t>
      </w:r>
      <w:r w:rsidR="009A0735">
        <w:rPr>
          <w:rFonts w:eastAsia="Times New Roman" w:cs="Times New Roman"/>
          <w:sz w:val="24"/>
          <w:szCs w:val="24"/>
          <w:lang w:val="en-US" w:eastAsia="en-AU"/>
        </w:rPr>
        <w:t xml:space="preserve"> of this </w:t>
      </w:r>
      <w:r w:rsidR="00212D09">
        <w:rPr>
          <w:rFonts w:eastAsia="Times New Roman" w:cs="Times New Roman"/>
          <w:sz w:val="24"/>
          <w:szCs w:val="24"/>
          <w:lang w:val="en-US" w:eastAsia="en-AU"/>
        </w:rPr>
        <w:t>Info</w:t>
      </w:r>
      <w:r w:rsidR="00E930CE">
        <w:rPr>
          <w:rFonts w:eastAsia="Times New Roman" w:cs="Times New Roman"/>
          <w:sz w:val="24"/>
          <w:szCs w:val="24"/>
          <w:lang w:val="en-US" w:eastAsia="en-AU"/>
        </w:rPr>
        <w:t>rmation</w:t>
      </w:r>
      <w:r w:rsidR="009A0735">
        <w:rPr>
          <w:rFonts w:eastAsia="Times New Roman" w:cs="Times New Roman"/>
          <w:sz w:val="24"/>
          <w:szCs w:val="24"/>
          <w:lang w:val="en-US" w:eastAsia="en-AU"/>
        </w:rPr>
        <w:t xml:space="preserve"> Sheet.</w:t>
      </w:r>
    </w:p>
    <w:p w14:paraId="70C54631" w14:textId="77777777" w:rsidR="009858A3" w:rsidRPr="00A23CAC" w:rsidRDefault="009858A3" w:rsidP="00116AA6">
      <w:pPr>
        <w:pStyle w:val="ListParagraph"/>
        <w:numPr>
          <w:ilvl w:val="1"/>
          <w:numId w:val="45"/>
        </w:numPr>
        <w:spacing w:after="240"/>
        <w:ind w:left="709" w:hanging="709"/>
        <w:contextualSpacing w:val="0"/>
        <w:jc w:val="both"/>
        <w:rPr>
          <w:rFonts w:eastAsia="Times New Roman" w:cs="Times New Roman"/>
          <w:sz w:val="24"/>
          <w:szCs w:val="24"/>
          <w:lang w:val="en-US" w:eastAsia="en-AU"/>
        </w:rPr>
      </w:pPr>
      <w:r w:rsidRPr="00A23CAC">
        <w:rPr>
          <w:rFonts w:eastAsia="Times New Roman" w:cs="Times New Roman"/>
          <w:sz w:val="24"/>
          <w:szCs w:val="24"/>
          <w:lang w:val="en-US" w:eastAsia="en-AU"/>
        </w:rPr>
        <w:tab/>
        <w:t xml:space="preserve">If the documents </w:t>
      </w:r>
      <w:r>
        <w:rPr>
          <w:rFonts w:eastAsia="Times New Roman" w:cs="Times New Roman"/>
          <w:sz w:val="24"/>
          <w:szCs w:val="24"/>
          <w:lang w:val="en-US" w:eastAsia="en-AU"/>
        </w:rPr>
        <w:t xml:space="preserve">lodged </w:t>
      </w:r>
      <w:r w:rsidRPr="00A23CAC">
        <w:rPr>
          <w:rFonts w:eastAsia="Times New Roman" w:cs="Times New Roman"/>
          <w:sz w:val="24"/>
          <w:szCs w:val="24"/>
          <w:lang w:val="en-US" w:eastAsia="en-AU"/>
        </w:rPr>
        <w:t xml:space="preserve">are in the correct form they will be accepted for filing and processed. </w:t>
      </w:r>
      <w:r w:rsidR="009A0735">
        <w:rPr>
          <w:rFonts w:eastAsia="Times New Roman" w:cs="Times New Roman"/>
          <w:sz w:val="24"/>
          <w:szCs w:val="24"/>
          <w:lang w:val="en-US" w:eastAsia="en-AU"/>
        </w:rPr>
        <w:t>The</w:t>
      </w:r>
      <w:r w:rsidRPr="00A23CAC">
        <w:rPr>
          <w:rFonts w:eastAsia="Times New Roman" w:cs="Times New Roman"/>
          <w:sz w:val="24"/>
          <w:szCs w:val="24"/>
          <w:lang w:val="en-US" w:eastAsia="en-AU"/>
        </w:rPr>
        <w:t xml:space="preserve"> documents will be endorsed by the </w:t>
      </w:r>
      <w:r w:rsidR="00750BB8">
        <w:rPr>
          <w:rFonts w:eastAsia="Times New Roman" w:cs="Times New Roman"/>
          <w:sz w:val="24"/>
          <w:szCs w:val="24"/>
          <w:lang w:val="en-US" w:eastAsia="en-AU"/>
        </w:rPr>
        <w:t>C</w:t>
      </w:r>
      <w:r w:rsidR="00473801">
        <w:rPr>
          <w:rFonts w:eastAsia="Times New Roman" w:cs="Times New Roman"/>
          <w:sz w:val="24"/>
          <w:szCs w:val="24"/>
          <w:lang w:val="en-US" w:eastAsia="en-AU"/>
        </w:rPr>
        <w:t>ourt and</w:t>
      </w:r>
      <w:r w:rsidR="009A0735">
        <w:rPr>
          <w:rFonts w:eastAsia="Times New Roman" w:cs="Times New Roman"/>
          <w:sz w:val="24"/>
          <w:szCs w:val="24"/>
          <w:lang w:val="en-US" w:eastAsia="en-AU"/>
        </w:rPr>
        <w:t xml:space="preserve"> the application</w:t>
      </w:r>
      <w:r w:rsidR="00473801">
        <w:rPr>
          <w:rFonts w:eastAsia="Times New Roman" w:cs="Times New Roman"/>
          <w:sz w:val="24"/>
          <w:szCs w:val="24"/>
          <w:lang w:val="en-US" w:eastAsia="en-AU"/>
        </w:rPr>
        <w:t xml:space="preserve"> </w:t>
      </w:r>
      <w:r w:rsidRPr="00A23CAC">
        <w:rPr>
          <w:rFonts w:eastAsia="Times New Roman" w:cs="Times New Roman"/>
          <w:sz w:val="24"/>
          <w:szCs w:val="24"/>
          <w:lang w:val="en-US" w:eastAsia="en-AU"/>
        </w:rPr>
        <w:t>given a hearing date.</w:t>
      </w:r>
      <w:r w:rsidR="009A0735">
        <w:rPr>
          <w:rFonts w:eastAsia="Times New Roman" w:cs="Times New Roman"/>
          <w:sz w:val="24"/>
          <w:szCs w:val="24"/>
          <w:lang w:val="en-US" w:eastAsia="en-AU"/>
        </w:rPr>
        <w:t xml:space="preserve"> Through eLodgment, an applicant can access the endorsed versions of the documents, which can be printed or emailed for the purposes of service.</w:t>
      </w:r>
    </w:p>
    <w:p w14:paraId="5B22C04F" w14:textId="77777777" w:rsidR="00435BEC" w:rsidRPr="007119AE" w:rsidRDefault="00435BEC" w:rsidP="00A23CAC">
      <w:pPr>
        <w:pStyle w:val="ListParagraph"/>
        <w:keepNext/>
        <w:spacing w:after="240"/>
        <w:ind w:left="709"/>
        <w:contextualSpacing w:val="0"/>
        <w:jc w:val="both"/>
        <w:rPr>
          <w:rFonts w:eastAsia="Times New Roman" w:cs="Times New Roman"/>
          <w:sz w:val="24"/>
          <w:szCs w:val="24"/>
          <w:lang w:val="en-US" w:eastAsia="en-AU"/>
        </w:rPr>
      </w:pPr>
      <w:r w:rsidRPr="007119AE">
        <w:rPr>
          <w:rFonts w:eastAsia="Times New Roman" w:cs="Times New Roman"/>
          <w:i/>
          <w:sz w:val="24"/>
          <w:szCs w:val="24"/>
          <w:lang w:val="en-US" w:eastAsia="en-AU"/>
        </w:rPr>
        <w:t>Filing fee</w:t>
      </w:r>
    </w:p>
    <w:p w14:paraId="5F386FF0" w14:textId="715CA627" w:rsidR="00435BEC" w:rsidRPr="00A23CAC" w:rsidRDefault="00435BEC" w:rsidP="00E87D3A">
      <w:pPr>
        <w:pStyle w:val="ListParagraph"/>
        <w:numPr>
          <w:ilvl w:val="1"/>
          <w:numId w:val="45"/>
        </w:numPr>
        <w:spacing w:after="240"/>
        <w:ind w:hanging="792"/>
        <w:contextualSpacing w:val="0"/>
        <w:jc w:val="both"/>
        <w:rPr>
          <w:rFonts w:eastAsia="Times New Roman" w:cs="Times New Roman"/>
          <w:sz w:val="24"/>
          <w:szCs w:val="24"/>
          <w:lang w:val="en-US" w:eastAsia="en-AU"/>
        </w:rPr>
      </w:pPr>
      <w:r w:rsidRPr="00A23CAC">
        <w:rPr>
          <w:rFonts w:eastAsia="Times New Roman" w:cs="Times New Roman"/>
          <w:sz w:val="24"/>
          <w:szCs w:val="24"/>
          <w:lang w:val="en-US" w:eastAsia="en-AU"/>
        </w:rPr>
        <w:t>A fee is pay</w:t>
      </w:r>
      <w:r>
        <w:rPr>
          <w:rFonts w:eastAsia="Times New Roman" w:cs="Times New Roman"/>
          <w:sz w:val="24"/>
          <w:szCs w:val="24"/>
          <w:lang w:val="en-US" w:eastAsia="en-AU"/>
        </w:rPr>
        <w:t xml:space="preserve">able for filing a </w:t>
      </w:r>
      <w:r w:rsidR="00473801">
        <w:rPr>
          <w:rFonts w:eastAsia="Times New Roman" w:cs="Times New Roman"/>
          <w:sz w:val="24"/>
          <w:szCs w:val="24"/>
          <w:lang w:val="en-US" w:eastAsia="en-AU"/>
        </w:rPr>
        <w:t>winding</w:t>
      </w:r>
      <w:r>
        <w:rPr>
          <w:rFonts w:eastAsia="Times New Roman" w:cs="Times New Roman"/>
          <w:sz w:val="24"/>
          <w:szCs w:val="24"/>
          <w:lang w:val="en-US" w:eastAsia="en-AU"/>
        </w:rPr>
        <w:t xml:space="preserve"> up application</w:t>
      </w:r>
      <w:r w:rsidRPr="00A23CAC">
        <w:rPr>
          <w:rFonts w:eastAsia="Times New Roman" w:cs="Times New Roman"/>
          <w:sz w:val="24"/>
          <w:szCs w:val="24"/>
          <w:lang w:val="en-US" w:eastAsia="en-AU"/>
        </w:rPr>
        <w:t xml:space="preserve">. Different amounts are payable depending on whether the applicant is a corporation or an individual. </w:t>
      </w:r>
      <w:r w:rsidR="00504462">
        <w:rPr>
          <w:rFonts w:eastAsia="Times New Roman" w:cs="Times New Roman"/>
          <w:sz w:val="24"/>
          <w:szCs w:val="24"/>
          <w:lang w:val="en-US" w:eastAsia="en-AU"/>
        </w:rPr>
        <w:t xml:space="preserve"> </w:t>
      </w:r>
      <w:r w:rsidR="005B1ED6" w:rsidRPr="005B1ED6">
        <w:rPr>
          <w:rFonts w:eastAsia="Times New Roman" w:cs="Times New Roman"/>
          <w:sz w:val="24"/>
          <w:szCs w:val="24"/>
          <w:lang w:val="en-US" w:eastAsia="en-AU"/>
        </w:rPr>
        <w:t xml:space="preserve">Filing and other fees </w:t>
      </w:r>
      <w:r w:rsidR="005B1ED6">
        <w:rPr>
          <w:rFonts w:eastAsia="Times New Roman" w:cs="Times New Roman"/>
          <w:sz w:val="24"/>
          <w:szCs w:val="24"/>
          <w:lang w:val="en-US" w:eastAsia="en-AU"/>
        </w:rPr>
        <w:t xml:space="preserve">are </w:t>
      </w:r>
      <w:r w:rsidR="005B1ED6" w:rsidRPr="005B1ED6">
        <w:rPr>
          <w:rFonts w:eastAsia="Times New Roman" w:cs="Times New Roman"/>
          <w:sz w:val="24"/>
          <w:szCs w:val="24"/>
          <w:lang w:val="en-US" w:eastAsia="en-AU"/>
        </w:rPr>
        <w:t xml:space="preserve">prescribed in Schedule 1 – Part 1 </w:t>
      </w:r>
      <w:r w:rsidR="005B1ED6" w:rsidRPr="005B1ED6">
        <w:rPr>
          <w:rFonts w:eastAsia="Times New Roman" w:cs="Times New Roman"/>
          <w:i/>
          <w:sz w:val="24"/>
          <w:szCs w:val="24"/>
          <w:lang w:val="en-US" w:eastAsia="en-AU"/>
        </w:rPr>
        <w:t>Federal Court and Federal Circuit</w:t>
      </w:r>
      <w:r w:rsidR="00A90148">
        <w:rPr>
          <w:rFonts w:eastAsia="Times New Roman" w:cs="Times New Roman"/>
          <w:i/>
          <w:sz w:val="24"/>
          <w:szCs w:val="24"/>
          <w:lang w:val="en-US" w:eastAsia="en-AU"/>
        </w:rPr>
        <w:t xml:space="preserve"> and Family</w:t>
      </w:r>
      <w:r w:rsidR="005B1ED6" w:rsidRPr="005B1ED6">
        <w:rPr>
          <w:rFonts w:eastAsia="Times New Roman" w:cs="Times New Roman"/>
          <w:i/>
          <w:sz w:val="24"/>
          <w:szCs w:val="24"/>
          <w:lang w:val="en-US" w:eastAsia="en-AU"/>
        </w:rPr>
        <w:t xml:space="preserve"> Court Regulation</w:t>
      </w:r>
      <w:r w:rsidR="00A90148">
        <w:rPr>
          <w:rFonts w:eastAsia="Times New Roman" w:cs="Times New Roman"/>
          <w:i/>
          <w:sz w:val="24"/>
          <w:szCs w:val="24"/>
          <w:lang w:val="en-US" w:eastAsia="en-AU"/>
        </w:rPr>
        <w:t>s</w:t>
      </w:r>
      <w:r w:rsidR="005B1ED6" w:rsidRPr="005B1ED6">
        <w:rPr>
          <w:rFonts w:eastAsia="Times New Roman" w:cs="Times New Roman"/>
          <w:i/>
          <w:sz w:val="24"/>
          <w:szCs w:val="24"/>
          <w:lang w:val="en-US" w:eastAsia="en-AU"/>
        </w:rPr>
        <w:t xml:space="preserve"> 2012</w:t>
      </w:r>
      <w:r w:rsidR="005B1ED6">
        <w:rPr>
          <w:rFonts w:eastAsia="Times New Roman" w:cs="Times New Roman"/>
          <w:sz w:val="24"/>
          <w:szCs w:val="24"/>
          <w:lang w:val="en-US" w:eastAsia="en-AU"/>
        </w:rPr>
        <w:t xml:space="preserve">.  More information on </w:t>
      </w:r>
      <w:r w:rsidR="00E87D3A">
        <w:rPr>
          <w:rFonts w:eastAsia="Times New Roman" w:cs="Times New Roman"/>
          <w:sz w:val="24"/>
          <w:szCs w:val="24"/>
          <w:lang w:val="en-US" w:eastAsia="en-AU"/>
        </w:rPr>
        <w:t>f</w:t>
      </w:r>
      <w:r w:rsidR="00FC097D">
        <w:rPr>
          <w:rFonts w:eastAsia="Times New Roman" w:cs="Times New Roman"/>
          <w:sz w:val="24"/>
          <w:szCs w:val="24"/>
          <w:lang w:val="en-US" w:eastAsia="en-AU"/>
        </w:rPr>
        <w:t xml:space="preserve">ees </w:t>
      </w:r>
      <w:r w:rsidR="00AF015A">
        <w:rPr>
          <w:rFonts w:eastAsia="Times New Roman" w:cs="Times New Roman"/>
          <w:sz w:val="24"/>
          <w:szCs w:val="24"/>
          <w:lang w:val="en-US" w:eastAsia="en-AU"/>
        </w:rPr>
        <w:t>can be found in</w:t>
      </w:r>
      <w:r w:rsidR="00E87D3A">
        <w:rPr>
          <w:rFonts w:eastAsia="Times New Roman" w:cs="Times New Roman"/>
          <w:sz w:val="24"/>
          <w:szCs w:val="24"/>
          <w:lang w:val="en-US" w:eastAsia="en-AU"/>
        </w:rPr>
        <w:t xml:space="preserve"> the </w:t>
      </w:r>
      <w:hyperlink r:id="rId18" w:history="1">
        <w:r w:rsidR="00E87D3A" w:rsidRPr="00E87D3A">
          <w:rPr>
            <w:rStyle w:val="Hyperlink"/>
            <w:rFonts w:asciiTheme="minorHAnsi" w:eastAsia="Times New Roman" w:hAnsiTheme="minorHAnsi" w:cs="Times New Roman"/>
            <w:sz w:val="24"/>
            <w:szCs w:val="24"/>
            <w:lang w:val="en-US" w:eastAsia="en-AU"/>
          </w:rPr>
          <w:t xml:space="preserve">Fees section of the </w:t>
        </w:r>
        <w:r w:rsidR="00E87D3A">
          <w:rPr>
            <w:rStyle w:val="Hyperlink"/>
            <w:rFonts w:asciiTheme="minorHAnsi" w:eastAsia="Times New Roman" w:hAnsiTheme="minorHAnsi" w:cs="Times New Roman"/>
            <w:sz w:val="24"/>
            <w:szCs w:val="24"/>
            <w:lang w:val="en-US" w:eastAsia="en-AU"/>
          </w:rPr>
          <w:t xml:space="preserve">Court’s </w:t>
        </w:r>
        <w:r w:rsidR="00E87D3A" w:rsidRPr="00E87D3A">
          <w:rPr>
            <w:rStyle w:val="Hyperlink"/>
            <w:rFonts w:asciiTheme="minorHAnsi" w:eastAsia="Times New Roman" w:hAnsiTheme="minorHAnsi" w:cs="Times New Roman"/>
            <w:sz w:val="24"/>
            <w:szCs w:val="24"/>
            <w:lang w:val="en-US" w:eastAsia="en-AU"/>
          </w:rPr>
          <w:t>website</w:t>
        </w:r>
      </w:hyperlink>
      <w:r w:rsidR="00E87D3A">
        <w:rPr>
          <w:rFonts w:eastAsia="Times New Roman" w:cs="Times New Roman"/>
          <w:sz w:val="24"/>
          <w:szCs w:val="24"/>
          <w:lang w:val="en-US" w:eastAsia="en-AU"/>
        </w:rPr>
        <w:t>.</w:t>
      </w:r>
    </w:p>
    <w:p w14:paraId="132B30D8" w14:textId="0A5F0721" w:rsidR="00435BEC" w:rsidRPr="004E1A8B" w:rsidRDefault="007C61C9" w:rsidP="004E1A8B">
      <w:pPr>
        <w:pStyle w:val="ListParagraph"/>
        <w:numPr>
          <w:ilvl w:val="1"/>
          <w:numId w:val="45"/>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lastRenderedPageBreak/>
        <w:t xml:space="preserve">If a plaintiff </w:t>
      </w:r>
      <w:r w:rsidR="00435BEC" w:rsidRPr="00A23CAC">
        <w:rPr>
          <w:rFonts w:eastAsia="Times New Roman" w:cs="Times New Roman"/>
          <w:sz w:val="24"/>
          <w:szCs w:val="24"/>
          <w:lang w:val="en-US" w:eastAsia="en-AU"/>
        </w:rPr>
        <w:t>cannot afford th</w:t>
      </w:r>
      <w:r w:rsidR="00AF015A">
        <w:rPr>
          <w:rFonts w:eastAsia="Times New Roman" w:cs="Times New Roman"/>
          <w:sz w:val="24"/>
          <w:szCs w:val="24"/>
          <w:lang w:val="en-US" w:eastAsia="en-AU"/>
        </w:rPr>
        <w:t>e</w:t>
      </w:r>
      <w:r w:rsidR="00435BEC" w:rsidRPr="00A23CAC">
        <w:rPr>
          <w:rFonts w:eastAsia="Times New Roman" w:cs="Times New Roman"/>
          <w:sz w:val="24"/>
          <w:szCs w:val="24"/>
          <w:lang w:val="en-US" w:eastAsia="en-AU"/>
        </w:rPr>
        <w:t xml:space="preserve"> fee, they may be able to ask the Court to exempt them from having to pay it, or to defer the time for its payment. Information and the form to be used to request the Court to either exempt or defer pa</w:t>
      </w:r>
      <w:r w:rsidR="00C32D91">
        <w:rPr>
          <w:rFonts w:eastAsia="Times New Roman" w:cs="Times New Roman"/>
          <w:sz w:val="24"/>
          <w:szCs w:val="24"/>
          <w:lang w:val="en-US" w:eastAsia="en-AU"/>
        </w:rPr>
        <w:t>yment can be obtained from the r</w:t>
      </w:r>
      <w:r w:rsidR="00435BEC" w:rsidRPr="00A23CAC">
        <w:rPr>
          <w:rFonts w:eastAsia="Times New Roman" w:cs="Times New Roman"/>
          <w:sz w:val="24"/>
          <w:szCs w:val="24"/>
          <w:lang w:val="en-US" w:eastAsia="en-AU"/>
        </w:rPr>
        <w:t xml:space="preserve">egistry or found on the </w:t>
      </w:r>
      <w:r w:rsidR="00435BEC" w:rsidRPr="00D93DEC">
        <w:rPr>
          <w:rFonts w:eastAsia="Times New Roman" w:cs="Times New Roman"/>
          <w:sz w:val="24"/>
          <w:szCs w:val="24"/>
          <w:lang w:val="en-US" w:eastAsia="en-AU"/>
        </w:rPr>
        <w:t>Court’s website</w:t>
      </w:r>
      <w:r w:rsidR="007119AE">
        <w:rPr>
          <w:rFonts w:eastAsia="Times New Roman" w:cs="Times New Roman"/>
          <w:sz w:val="24"/>
          <w:szCs w:val="24"/>
          <w:lang w:val="en-US" w:eastAsia="en-AU"/>
        </w:rPr>
        <w:t>.</w:t>
      </w:r>
      <w:r w:rsidR="00435BEC" w:rsidRPr="00A23CAC">
        <w:rPr>
          <w:rFonts w:eastAsia="Times New Roman" w:cs="Times New Roman"/>
          <w:sz w:val="24"/>
          <w:szCs w:val="24"/>
          <w:lang w:val="en-US" w:eastAsia="en-AU"/>
        </w:rPr>
        <w:t xml:space="preserve"> </w:t>
      </w:r>
    </w:p>
    <w:p w14:paraId="7AFD7C19" w14:textId="77777777" w:rsidR="001D0F91" w:rsidRPr="007119AE" w:rsidRDefault="001D0F91" w:rsidP="009728A7">
      <w:pPr>
        <w:pStyle w:val="ListParagraph"/>
        <w:keepNext/>
        <w:spacing w:after="240"/>
        <w:ind w:left="709"/>
        <w:contextualSpacing w:val="0"/>
        <w:jc w:val="both"/>
        <w:rPr>
          <w:rFonts w:eastAsia="Times New Roman" w:cs="Times New Roman"/>
          <w:i/>
          <w:sz w:val="24"/>
          <w:szCs w:val="24"/>
          <w:lang w:val="en-US" w:eastAsia="en-AU"/>
        </w:rPr>
      </w:pPr>
      <w:r w:rsidRPr="007119AE">
        <w:rPr>
          <w:rFonts w:eastAsia="Times New Roman" w:cs="Times New Roman"/>
          <w:i/>
          <w:sz w:val="24"/>
          <w:szCs w:val="24"/>
          <w:lang w:val="en-US" w:eastAsia="en-AU"/>
        </w:rPr>
        <w:t>Serving the originating process</w:t>
      </w:r>
    </w:p>
    <w:p w14:paraId="698EBCAC" w14:textId="77777777" w:rsidR="00414DF6" w:rsidRPr="00AF325B" w:rsidRDefault="001F6550" w:rsidP="009728A7">
      <w:pPr>
        <w:pStyle w:val="ListParagraph"/>
        <w:keepNext/>
        <w:numPr>
          <w:ilvl w:val="1"/>
          <w:numId w:val="45"/>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The plaintiff must arrange</w:t>
      </w:r>
      <w:r w:rsidRPr="00AF325B">
        <w:rPr>
          <w:rFonts w:eastAsia="Times New Roman" w:cs="Times New Roman"/>
          <w:sz w:val="24"/>
          <w:szCs w:val="24"/>
          <w:lang w:val="en-US" w:eastAsia="en-AU"/>
        </w:rPr>
        <w:t xml:space="preserve"> </w:t>
      </w:r>
      <w:r w:rsidR="00414DF6" w:rsidRPr="00AF325B">
        <w:rPr>
          <w:rFonts w:eastAsia="Times New Roman" w:cs="Times New Roman"/>
          <w:sz w:val="24"/>
          <w:szCs w:val="24"/>
          <w:lang w:val="en-US" w:eastAsia="en-AU"/>
        </w:rPr>
        <w:t xml:space="preserve">for a </w:t>
      </w:r>
      <w:r w:rsidR="00B0212D">
        <w:rPr>
          <w:rFonts w:eastAsia="Times New Roman" w:cs="Times New Roman"/>
          <w:sz w:val="24"/>
          <w:szCs w:val="24"/>
          <w:lang w:val="en-US" w:eastAsia="en-AU"/>
        </w:rPr>
        <w:t xml:space="preserve">sealed </w:t>
      </w:r>
      <w:r w:rsidR="00414DF6" w:rsidRPr="00AF325B">
        <w:rPr>
          <w:rFonts w:eastAsia="Times New Roman" w:cs="Times New Roman"/>
          <w:sz w:val="24"/>
          <w:szCs w:val="24"/>
          <w:lang w:val="en-US" w:eastAsia="en-AU"/>
        </w:rPr>
        <w:t xml:space="preserve">copy of the </w:t>
      </w:r>
      <w:r w:rsidR="00AC28F4">
        <w:rPr>
          <w:rFonts w:eastAsia="Times New Roman" w:cs="Times New Roman"/>
          <w:sz w:val="24"/>
          <w:szCs w:val="24"/>
          <w:lang w:val="en-US" w:eastAsia="en-AU"/>
        </w:rPr>
        <w:t>Originating Process</w:t>
      </w:r>
      <w:r w:rsidR="00414DF6" w:rsidRPr="00AF325B">
        <w:rPr>
          <w:rFonts w:eastAsia="Times New Roman" w:cs="Times New Roman"/>
          <w:sz w:val="24"/>
          <w:szCs w:val="24"/>
          <w:lang w:val="en-US" w:eastAsia="en-AU"/>
        </w:rPr>
        <w:t xml:space="preserve"> and </w:t>
      </w:r>
      <w:r w:rsidR="00AC28F4">
        <w:rPr>
          <w:rFonts w:eastAsia="Times New Roman" w:cs="Times New Roman"/>
          <w:sz w:val="24"/>
          <w:szCs w:val="24"/>
          <w:lang w:val="en-US" w:eastAsia="en-AU"/>
        </w:rPr>
        <w:t xml:space="preserve">supporting </w:t>
      </w:r>
      <w:r w:rsidR="00414DF6" w:rsidRPr="00AF325B">
        <w:rPr>
          <w:rFonts w:eastAsia="Times New Roman" w:cs="Times New Roman"/>
          <w:sz w:val="24"/>
          <w:szCs w:val="24"/>
          <w:lang w:val="en-US" w:eastAsia="en-AU"/>
        </w:rPr>
        <w:t>affidavit</w:t>
      </w:r>
      <w:r w:rsidR="007C3392">
        <w:rPr>
          <w:rFonts w:eastAsia="Times New Roman" w:cs="Times New Roman"/>
          <w:sz w:val="24"/>
          <w:szCs w:val="24"/>
          <w:lang w:val="en-US" w:eastAsia="en-AU"/>
        </w:rPr>
        <w:t>s</w:t>
      </w:r>
      <w:r w:rsidR="00414DF6" w:rsidRPr="00AF325B">
        <w:rPr>
          <w:rFonts w:eastAsia="Times New Roman" w:cs="Times New Roman"/>
          <w:sz w:val="24"/>
          <w:szCs w:val="24"/>
          <w:lang w:val="en-US" w:eastAsia="en-AU"/>
        </w:rPr>
        <w:t xml:space="preserve"> to be served on the </w:t>
      </w:r>
      <w:r w:rsidR="00D61C5A">
        <w:rPr>
          <w:rFonts w:eastAsia="Times New Roman" w:cs="Times New Roman"/>
          <w:sz w:val="24"/>
          <w:szCs w:val="24"/>
          <w:lang w:val="en-US" w:eastAsia="en-AU"/>
        </w:rPr>
        <w:t xml:space="preserve">defendant </w:t>
      </w:r>
      <w:r w:rsidR="00414DF6" w:rsidRPr="00AF325B">
        <w:rPr>
          <w:rFonts w:eastAsia="Times New Roman" w:cs="Times New Roman"/>
          <w:sz w:val="24"/>
          <w:szCs w:val="24"/>
          <w:lang w:val="en-US" w:eastAsia="en-AU"/>
        </w:rPr>
        <w:t>company within 14 days of filing the application in the Court (</w:t>
      </w:r>
      <w:r w:rsidR="007B2220">
        <w:rPr>
          <w:rFonts w:eastAsia="Times New Roman" w:cs="Times New Roman"/>
          <w:sz w:val="24"/>
          <w:szCs w:val="24"/>
          <w:lang w:val="en-US" w:eastAsia="en-AU"/>
        </w:rPr>
        <w:t>s</w:t>
      </w:r>
      <w:r w:rsidR="007B2220" w:rsidRPr="00AF325B">
        <w:rPr>
          <w:rFonts w:eastAsia="Times New Roman" w:cs="Times New Roman"/>
          <w:sz w:val="24"/>
          <w:szCs w:val="24"/>
          <w:lang w:val="en-US" w:eastAsia="en-AU"/>
        </w:rPr>
        <w:t xml:space="preserve"> </w:t>
      </w:r>
      <w:r w:rsidR="00414DF6" w:rsidRPr="00AF325B">
        <w:rPr>
          <w:rFonts w:eastAsia="Times New Roman" w:cs="Times New Roman"/>
          <w:sz w:val="24"/>
          <w:szCs w:val="24"/>
          <w:lang w:val="en-US" w:eastAsia="en-AU"/>
        </w:rPr>
        <w:t xml:space="preserve">465A) and not less than 5 days before the hearing date (rule 2.7). </w:t>
      </w:r>
      <w:r w:rsidR="00B0212D">
        <w:rPr>
          <w:rFonts w:eastAsia="Times New Roman" w:cs="Times New Roman"/>
          <w:sz w:val="24"/>
          <w:szCs w:val="24"/>
          <w:lang w:val="en-US" w:eastAsia="en-AU"/>
        </w:rPr>
        <w:t>Service would generally be in accordance with s</w:t>
      </w:r>
      <w:r w:rsidR="00B0212D" w:rsidRPr="00AF325B">
        <w:rPr>
          <w:rFonts w:eastAsia="Times New Roman" w:cs="Times New Roman"/>
          <w:sz w:val="24"/>
          <w:szCs w:val="24"/>
          <w:lang w:val="en-US" w:eastAsia="en-AU"/>
        </w:rPr>
        <w:t xml:space="preserve">109X of the </w:t>
      </w:r>
      <w:r w:rsidR="00B0212D" w:rsidRPr="007800C6">
        <w:rPr>
          <w:rFonts w:eastAsia="Times New Roman" w:cs="Times New Roman"/>
          <w:sz w:val="24"/>
          <w:szCs w:val="24"/>
          <w:lang w:val="en-US" w:eastAsia="en-AU"/>
        </w:rPr>
        <w:t>Corporations Act</w:t>
      </w:r>
      <w:r w:rsidR="00B0212D">
        <w:rPr>
          <w:rFonts w:eastAsia="Times New Roman" w:cs="Times New Roman"/>
          <w:sz w:val="24"/>
          <w:szCs w:val="24"/>
          <w:lang w:val="en-US" w:eastAsia="en-AU"/>
        </w:rPr>
        <w:t xml:space="preserve"> which provides that a document may be served on a company by leaving it at, or posting it to the company’s registered office or by delivering the document personally to a director who resides in Australia.  </w:t>
      </w:r>
      <w:r w:rsidR="00B7082C">
        <w:rPr>
          <w:rFonts w:eastAsia="Times New Roman" w:cs="Times New Roman"/>
          <w:sz w:val="24"/>
          <w:szCs w:val="24"/>
          <w:lang w:val="en-US" w:eastAsia="en-AU"/>
        </w:rPr>
        <w:t>Refer to paragraph 2.</w:t>
      </w:r>
      <w:r w:rsidR="0039327D">
        <w:rPr>
          <w:rFonts w:eastAsia="Times New Roman" w:cs="Times New Roman"/>
          <w:sz w:val="24"/>
          <w:szCs w:val="24"/>
          <w:lang w:val="en-US" w:eastAsia="en-AU"/>
        </w:rPr>
        <w:t>3 above for a general outline of</w:t>
      </w:r>
      <w:r w:rsidR="00B7082C">
        <w:rPr>
          <w:rFonts w:eastAsia="Times New Roman" w:cs="Times New Roman"/>
          <w:sz w:val="24"/>
          <w:szCs w:val="24"/>
          <w:lang w:val="en-US" w:eastAsia="en-AU"/>
        </w:rPr>
        <w:t xml:space="preserve"> issues relating to service of documents on a company in winding up matters.  </w:t>
      </w:r>
    </w:p>
    <w:p w14:paraId="23E8FA69" w14:textId="77777777" w:rsidR="00414DF6" w:rsidRPr="00AF325B" w:rsidRDefault="001F6550" w:rsidP="00116AA6">
      <w:pPr>
        <w:pStyle w:val="ListParagraph"/>
        <w:numPr>
          <w:ilvl w:val="1"/>
          <w:numId w:val="45"/>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The plaintiff must also arrange for an affidavit to be filed with the Court providing evidence of how and when the </w:t>
      </w:r>
      <w:r w:rsidR="00455C0C">
        <w:rPr>
          <w:rFonts w:eastAsia="Times New Roman" w:cs="Times New Roman"/>
          <w:sz w:val="24"/>
          <w:szCs w:val="24"/>
          <w:lang w:val="en-US" w:eastAsia="en-AU"/>
        </w:rPr>
        <w:t>Originating Process and supporting affidavits were</w:t>
      </w:r>
      <w:r>
        <w:rPr>
          <w:rFonts w:eastAsia="Times New Roman" w:cs="Times New Roman"/>
          <w:sz w:val="24"/>
          <w:szCs w:val="24"/>
          <w:lang w:val="en-US" w:eastAsia="en-AU"/>
        </w:rPr>
        <w:t xml:space="preserve"> served on the company. </w:t>
      </w:r>
    </w:p>
    <w:p w14:paraId="3BDB6583" w14:textId="77777777" w:rsidR="00414DF6" w:rsidRPr="000A1891" w:rsidRDefault="001F6550" w:rsidP="000A1891">
      <w:pPr>
        <w:pStyle w:val="ListParagraph"/>
        <w:numPr>
          <w:ilvl w:val="0"/>
          <w:numId w:val="30"/>
        </w:numPr>
        <w:spacing w:before="360" w:after="240"/>
        <w:ind w:left="709" w:hanging="709"/>
        <w:contextualSpacing w:val="0"/>
        <w:jc w:val="both"/>
        <w:rPr>
          <w:rFonts w:eastAsia="Times New Roman" w:cs="Arial"/>
          <w:b/>
          <w:sz w:val="28"/>
          <w:szCs w:val="28"/>
          <w:lang w:val="en-US" w:eastAsia="en-AU"/>
        </w:rPr>
      </w:pPr>
      <w:r>
        <w:rPr>
          <w:rFonts w:eastAsia="Times New Roman" w:cs="Arial"/>
          <w:b/>
          <w:sz w:val="28"/>
          <w:szCs w:val="28"/>
          <w:lang w:val="en-US" w:eastAsia="en-AU"/>
        </w:rPr>
        <w:t>Steps to be taken before the hearing</w:t>
      </w:r>
    </w:p>
    <w:p w14:paraId="6AD2247C" w14:textId="7AA13242" w:rsidR="00414DF6" w:rsidRPr="007119AE" w:rsidRDefault="00414DF6" w:rsidP="002C66DD">
      <w:pPr>
        <w:pStyle w:val="ListParagraph"/>
        <w:spacing w:after="240"/>
        <w:ind w:left="709"/>
        <w:contextualSpacing w:val="0"/>
        <w:jc w:val="both"/>
        <w:outlineLvl w:val="2"/>
        <w:rPr>
          <w:rFonts w:eastAsia="Times New Roman" w:cs="Arial"/>
          <w:i/>
          <w:sz w:val="24"/>
          <w:szCs w:val="24"/>
          <w:lang w:val="en-US" w:eastAsia="en-AU"/>
        </w:rPr>
      </w:pPr>
      <w:r w:rsidRPr="007119AE">
        <w:rPr>
          <w:rFonts w:eastAsia="Times New Roman" w:cs="Arial"/>
          <w:i/>
          <w:sz w:val="24"/>
          <w:szCs w:val="24"/>
          <w:lang w:val="en-US" w:eastAsia="en-AU"/>
        </w:rPr>
        <w:t>Notif</w:t>
      </w:r>
      <w:r w:rsidR="00892BD9" w:rsidRPr="007119AE">
        <w:rPr>
          <w:rFonts w:eastAsia="Times New Roman" w:cs="Arial"/>
          <w:i/>
          <w:sz w:val="24"/>
          <w:szCs w:val="24"/>
          <w:lang w:val="en-US" w:eastAsia="en-AU"/>
        </w:rPr>
        <w:t xml:space="preserve">ication </w:t>
      </w:r>
      <w:r w:rsidR="007C61C9" w:rsidRPr="007119AE">
        <w:rPr>
          <w:rFonts w:eastAsia="Times New Roman" w:cs="Arial"/>
          <w:i/>
          <w:sz w:val="24"/>
          <w:szCs w:val="24"/>
          <w:lang w:val="en-US" w:eastAsia="en-AU"/>
        </w:rPr>
        <w:t>to</w:t>
      </w:r>
      <w:r w:rsidRPr="007119AE">
        <w:rPr>
          <w:rFonts w:eastAsia="Times New Roman" w:cs="Arial"/>
          <w:i/>
          <w:sz w:val="24"/>
          <w:szCs w:val="24"/>
          <w:lang w:val="en-US" w:eastAsia="en-AU"/>
        </w:rPr>
        <w:t xml:space="preserve"> ASIC of </w:t>
      </w:r>
      <w:r w:rsidR="00CC7C8F">
        <w:rPr>
          <w:rFonts w:eastAsia="Times New Roman" w:cs="Arial"/>
          <w:i/>
          <w:sz w:val="24"/>
          <w:szCs w:val="24"/>
          <w:lang w:val="en-US" w:eastAsia="en-AU"/>
        </w:rPr>
        <w:t>a</w:t>
      </w:r>
      <w:r w:rsidRPr="007119AE">
        <w:rPr>
          <w:rFonts w:eastAsia="Times New Roman" w:cs="Arial"/>
          <w:i/>
          <w:sz w:val="24"/>
          <w:szCs w:val="24"/>
          <w:lang w:val="en-US" w:eastAsia="en-AU"/>
        </w:rPr>
        <w:t xml:space="preserve">pplication </w:t>
      </w:r>
    </w:p>
    <w:p w14:paraId="1ACE9758" w14:textId="151213CD" w:rsidR="007C61C9" w:rsidRDefault="007C61C9" w:rsidP="000A1891">
      <w:pPr>
        <w:pStyle w:val="ListParagraph"/>
        <w:numPr>
          <w:ilvl w:val="1"/>
          <w:numId w:val="13"/>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The plaintiff must lodge </w:t>
      </w:r>
      <w:r w:rsidR="007B5F1B">
        <w:rPr>
          <w:rFonts w:eastAsia="Times New Roman" w:cs="Times New Roman"/>
          <w:sz w:val="24"/>
          <w:szCs w:val="24"/>
          <w:lang w:val="en-US" w:eastAsia="en-AU"/>
        </w:rPr>
        <w:t>notice</w:t>
      </w:r>
      <w:r w:rsidR="007C4569">
        <w:rPr>
          <w:rFonts w:eastAsia="Times New Roman" w:cs="Times New Roman"/>
          <w:sz w:val="24"/>
          <w:szCs w:val="24"/>
          <w:lang w:val="en-US" w:eastAsia="en-AU"/>
        </w:rPr>
        <w:t xml:space="preserve"> (</w:t>
      </w:r>
      <w:r w:rsidR="00432336">
        <w:rPr>
          <w:rFonts w:eastAsia="Times New Roman" w:cs="Times New Roman"/>
          <w:sz w:val="24"/>
          <w:szCs w:val="24"/>
          <w:lang w:val="en-US" w:eastAsia="en-AU"/>
        </w:rPr>
        <w:t xml:space="preserve">Corporations Regulations </w:t>
      </w:r>
      <w:r w:rsidR="007C4569">
        <w:rPr>
          <w:rFonts w:eastAsia="Times New Roman" w:cs="Times New Roman"/>
          <w:sz w:val="24"/>
          <w:szCs w:val="24"/>
          <w:lang w:val="en-US" w:eastAsia="en-AU"/>
        </w:rPr>
        <w:t>Form 519)</w:t>
      </w:r>
      <w:r w:rsidR="007B5F1B">
        <w:rPr>
          <w:rFonts w:eastAsia="Times New Roman" w:cs="Times New Roman"/>
          <w:sz w:val="24"/>
          <w:szCs w:val="24"/>
          <w:lang w:val="en-US" w:eastAsia="en-AU"/>
        </w:rPr>
        <w:t xml:space="preserve"> with</w:t>
      </w:r>
      <w:r>
        <w:rPr>
          <w:rFonts w:eastAsia="Times New Roman" w:cs="Times New Roman"/>
          <w:sz w:val="24"/>
          <w:szCs w:val="24"/>
          <w:lang w:val="en-US" w:eastAsia="en-AU"/>
        </w:rPr>
        <w:t xml:space="preserve"> ASIC of the application for winding up orders </w:t>
      </w:r>
      <w:r w:rsidR="008C0D13">
        <w:rPr>
          <w:rFonts w:eastAsia="Times New Roman" w:cs="Times New Roman"/>
          <w:sz w:val="24"/>
          <w:szCs w:val="24"/>
          <w:lang w:val="en-US" w:eastAsia="en-AU"/>
        </w:rPr>
        <w:t xml:space="preserve">by </w:t>
      </w:r>
      <w:r>
        <w:rPr>
          <w:rFonts w:eastAsia="Times New Roman" w:cs="Times New Roman"/>
          <w:sz w:val="24"/>
          <w:szCs w:val="24"/>
          <w:lang w:val="en-US" w:eastAsia="en-AU"/>
        </w:rPr>
        <w:t xml:space="preserve">no later than 10.30 am on the next business day after filing of the </w:t>
      </w:r>
      <w:r w:rsidR="00455C0C">
        <w:rPr>
          <w:rFonts w:eastAsia="Times New Roman" w:cs="Times New Roman"/>
          <w:sz w:val="24"/>
          <w:szCs w:val="24"/>
          <w:lang w:val="en-US" w:eastAsia="en-AU"/>
        </w:rPr>
        <w:t>Originating Process</w:t>
      </w:r>
      <w:r>
        <w:rPr>
          <w:rFonts w:eastAsia="Times New Roman" w:cs="Times New Roman"/>
          <w:sz w:val="24"/>
          <w:szCs w:val="24"/>
          <w:lang w:val="en-US" w:eastAsia="en-AU"/>
        </w:rPr>
        <w:t>.</w:t>
      </w:r>
    </w:p>
    <w:p w14:paraId="080ED442" w14:textId="77777777" w:rsidR="00414DF6" w:rsidRPr="00AF325B" w:rsidRDefault="006F2273" w:rsidP="000A1891">
      <w:pPr>
        <w:pStyle w:val="ListParagraph"/>
        <w:numPr>
          <w:ilvl w:val="1"/>
          <w:numId w:val="13"/>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Before</w:t>
      </w:r>
      <w:r w:rsidR="009C4244">
        <w:rPr>
          <w:rFonts w:eastAsia="Times New Roman" w:cs="Times New Roman"/>
          <w:sz w:val="24"/>
          <w:szCs w:val="24"/>
          <w:lang w:val="en-US" w:eastAsia="en-AU"/>
        </w:rPr>
        <w:t xml:space="preserve"> the</w:t>
      </w:r>
      <w:r>
        <w:rPr>
          <w:rFonts w:eastAsia="Times New Roman" w:cs="Times New Roman"/>
          <w:sz w:val="24"/>
          <w:szCs w:val="24"/>
          <w:lang w:val="en-US" w:eastAsia="en-AU"/>
        </w:rPr>
        <w:t xml:space="preserve"> hearing</w:t>
      </w:r>
      <w:r w:rsidR="009C4244">
        <w:rPr>
          <w:rFonts w:eastAsia="Times New Roman" w:cs="Times New Roman"/>
          <w:sz w:val="24"/>
          <w:szCs w:val="24"/>
          <w:lang w:val="en-US" w:eastAsia="en-AU"/>
        </w:rPr>
        <w:t xml:space="preserve"> of the </w:t>
      </w:r>
      <w:r w:rsidR="00E9393F">
        <w:rPr>
          <w:rFonts w:eastAsia="Times New Roman" w:cs="Times New Roman"/>
          <w:sz w:val="24"/>
          <w:szCs w:val="24"/>
          <w:lang w:val="en-US" w:eastAsia="en-AU"/>
        </w:rPr>
        <w:t xml:space="preserve">winding up </w:t>
      </w:r>
      <w:r w:rsidR="009C4244">
        <w:rPr>
          <w:rFonts w:eastAsia="Times New Roman" w:cs="Times New Roman"/>
          <w:sz w:val="24"/>
          <w:szCs w:val="24"/>
          <w:lang w:val="en-US" w:eastAsia="en-AU"/>
        </w:rPr>
        <w:t>application</w:t>
      </w:r>
      <w:r>
        <w:rPr>
          <w:rFonts w:eastAsia="Times New Roman" w:cs="Times New Roman"/>
          <w:sz w:val="24"/>
          <w:szCs w:val="24"/>
          <w:lang w:val="en-US" w:eastAsia="en-AU"/>
        </w:rPr>
        <w:t xml:space="preserve">, </w:t>
      </w:r>
      <w:r w:rsidR="009C4244">
        <w:rPr>
          <w:rFonts w:eastAsia="Times New Roman" w:cs="Times New Roman"/>
          <w:sz w:val="24"/>
          <w:szCs w:val="24"/>
          <w:lang w:val="en-US" w:eastAsia="en-AU"/>
        </w:rPr>
        <w:t xml:space="preserve">the plaintiff must </w:t>
      </w:r>
      <w:r w:rsidR="00C01697">
        <w:rPr>
          <w:rFonts w:eastAsia="Times New Roman" w:cs="Times New Roman"/>
          <w:sz w:val="24"/>
          <w:szCs w:val="24"/>
          <w:lang w:val="en-US" w:eastAsia="en-AU"/>
        </w:rPr>
        <w:t xml:space="preserve">prove </w:t>
      </w:r>
      <w:r>
        <w:rPr>
          <w:rFonts w:eastAsia="Times New Roman" w:cs="Times New Roman"/>
          <w:sz w:val="24"/>
          <w:szCs w:val="24"/>
          <w:lang w:val="en-US" w:eastAsia="en-AU"/>
        </w:rPr>
        <w:t xml:space="preserve">that ASIC was notified of the application. </w:t>
      </w:r>
      <w:r w:rsidR="00202B05">
        <w:rPr>
          <w:rFonts w:eastAsia="Times New Roman" w:cs="Times New Roman"/>
          <w:sz w:val="24"/>
          <w:szCs w:val="24"/>
          <w:lang w:val="en-US" w:eastAsia="en-AU"/>
        </w:rPr>
        <w:t xml:space="preserve">This is generally done on affidavit. </w:t>
      </w:r>
      <w:r>
        <w:rPr>
          <w:rFonts w:eastAsia="Times New Roman" w:cs="Times New Roman"/>
          <w:sz w:val="24"/>
          <w:szCs w:val="24"/>
          <w:lang w:val="en-US" w:eastAsia="en-AU"/>
        </w:rPr>
        <w:t xml:space="preserve">A copy of the Form 519 must be attached to </w:t>
      </w:r>
      <w:r w:rsidR="001D4BB4">
        <w:rPr>
          <w:rFonts w:eastAsia="Times New Roman" w:cs="Times New Roman"/>
          <w:sz w:val="24"/>
          <w:szCs w:val="24"/>
          <w:lang w:val="en-US" w:eastAsia="en-AU"/>
        </w:rPr>
        <w:t xml:space="preserve">the </w:t>
      </w:r>
      <w:r>
        <w:rPr>
          <w:rFonts w:eastAsia="Times New Roman" w:cs="Times New Roman"/>
          <w:sz w:val="24"/>
          <w:szCs w:val="24"/>
          <w:lang w:val="en-US" w:eastAsia="en-AU"/>
        </w:rPr>
        <w:t>affidavit.</w:t>
      </w:r>
      <w:r w:rsidR="00414DF6" w:rsidRPr="00AF325B">
        <w:rPr>
          <w:rFonts w:eastAsia="Times New Roman" w:cs="Times New Roman"/>
          <w:sz w:val="24"/>
          <w:szCs w:val="24"/>
          <w:lang w:val="en-US" w:eastAsia="en-AU"/>
        </w:rPr>
        <w:t xml:space="preserve"> </w:t>
      </w:r>
    </w:p>
    <w:p w14:paraId="3BF1A964" w14:textId="5DAB61A9" w:rsidR="00414DF6" w:rsidRPr="007119AE" w:rsidRDefault="00414DF6" w:rsidP="002568D6">
      <w:pPr>
        <w:pStyle w:val="ListParagraph"/>
        <w:keepNext/>
        <w:spacing w:after="240"/>
        <w:ind w:left="709"/>
        <w:contextualSpacing w:val="0"/>
        <w:jc w:val="both"/>
        <w:outlineLvl w:val="2"/>
        <w:rPr>
          <w:rFonts w:eastAsia="Times New Roman" w:cs="Arial"/>
          <w:i/>
          <w:sz w:val="24"/>
          <w:szCs w:val="24"/>
          <w:lang w:val="en-US" w:eastAsia="en-AU"/>
        </w:rPr>
      </w:pPr>
      <w:r w:rsidRPr="007119AE">
        <w:rPr>
          <w:rFonts w:eastAsia="Times New Roman" w:cs="Arial"/>
          <w:i/>
          <w:sz w:val="24"/>
          <w:szCs w:val="24"/>
          <w:lang w:val="en-US" w:eastAsia="en-AU"/>
        </w:rPr>
        <w:t>Obtain</w:t>
      </w:r>
      <w:r w:rsidR="00480F1F" w:rsidRPr="007119AE">
        <w:rPr>
          <w:rFonts w:eastAsia="Times New Roman" w:cs="Arial"/>
          <w:i/>
          <w:sz w:val="24"/>
          <w:szCs w:val="24"/>
          <w:lang w:val="en-US" w:eastAsia="en-AU"/>
        </w:rPr>
        <w:t>ing</w:t>
      </w:r>
      <w:r w:rsidRPr="007119AE">
        <w:rPr>
          <w:rFonts w:eastAsia="Times New Roman" w:cs="Arial"/>
          <w:i/>
          <w:sz w:val="24"/>
          <w:szCs w:val="24"/>
          <w:lang w:val="en-US" w:eastAsia="en-AU"/>
        </w:rPr>
        <w:t xml:space="preserve"> </w:t>
      </w:r>
      <w:r w:rsidR="00CC7C8F">
        <w:rPr>
          <w:rFonts w:eastAsia="Times New Roman" w:cs="Arial"/>
          <w:i/>
          <w:sz w:val="24"/>
          <w:szCs w:val="24"/>
          <w:lang w:val="en-US" w:eastAsia="en-AU"/>
        </w:rPr>
        <w:t>c</w:t>
      </w:r>
      <w:r w:rsidRPr="007119AE">
        <w:rPr>
          <w:rFonts w:eastAsia="Times New Roman" w:cs="Arial"/>
          <w:i/>
          <w:sz w:val="24"/>
          <w:szCs w:val="24"/>
          <w:lang w:val="en-US" w:eastAsia="en-AU"/>
        </w:rPr>
        <w:t xml:space="preserve">onsent of </w:t>
      </w:r>
      <w:r w:rsidR="00CC7C8F">
        <w:rPr>
          <w:rFonts w:eastAsia="Times New Roman" w:cs="Arial"/>
          <w:i/>
          <w:sz w:val="24"/>
          <w:szCs w:val="24"/>
          <w:lang w:val="en-US" w:eastAsia="en-AU"/>
        </w:rPr>
        <w:t>l</w:t>
      </w:r>
      <w:r w:rsidRPr="007119AE">
        <w:rPr>
          <w:rFonts w:eastAsia="Times New Roman" w:cs="Arial"/>
          <w:i/>
          <w:sz w:val="24"/>
          <w:szCs w:val="24"/>
          <w:lang w:val="en-US" w:eastAsia="en-AU"/>
        </w:rPr>
        <w:t xml:space="preserve">iquidator </w:t>
      </w:r>
    </w:p>
    <w:p w14:paraId="40FC41C0" w14:textId="14808974" w:rsidR="00480F1F" w:rsidRDefault="00480F1F" w:rsidP="002568D6">
      <w:pPr>
        <w:pStyle w:val="ListParagraph"/>
        <w:keepNext/>
        <w:numPr>
          <w:ilvl w:val="1"/>
          <w:numId w:val="13"/>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The plaintiff </w:t>
      </w:r>
      <w:r w:rsidR="00BF7FCC">
        <w:rPr>
          <w:rFonts w:eastAsia="Times New Roman" w:cs="Times New Roman"/>
          <w:sz w:val="24"/>
          <w:szCs w:val="24"/>
          <w:lang w:val="en-US" w:eastAsia="en-AU"/>
        </w:rPr>
        <w:t>must</w:t>
      </w:r>
      <w:r>
        <w:rPr>
          <w:rFonts w:eastAsia="Times New Roman" w:cs="Times New Roman"/>
          <w:sz w:val="24"/>
          <w:szCs w:val="24"/>
          <w:lang w:val="en-US" w:eastAsia="en-AU"/>
        </w:rPr>
        <w:t xml:space="preserve"> obtain the </w:t>
      </w:r>
      <w:r w:rsidR="00BF7FCC">
        <w:rPr>
          <w:rFonts w:eastAsia="Times New Roman" w:cs="Times New Roman"/>
          <w:sz w:val="24"/>
          <w:szCs w:val="24"/>
          <w:lang w:val="en-US" w:eastAsia="en-AU"/>
        </w:rPr>
        <w:t xml:space="preserve">consent of a </w:t>
      </w:r>
      <w:r w:rsidR="00A90148">
        <w:rPr>
          <w:rFonts w:eastAsia="Times New Roman" w:cs="Times New Roman"/>
          <w:sz w:val="24"/>
          <w:szCs w:val="24"/>
          <w:lang w:val="en-US" w:eastAsia="en-AU"/>
        </w:rPr>
        <w:t>registered</w:t>
      </w:r>
      <w:r w:rsidR="00BF7FCC">
        <w:rPr>
          <w:rFonts w:eastAsia="Times New Roman" w:cs="Times New Roman"/>
          <w:sz w:val="24"/>
          <w:szCs w:val="24"/>
          <w:lang w:val="en-US" w:eastAsia="en-AU"/>
        </w:rPr>
        <w:t xml:space="preserve"> liquidator to act as liquidator if a winding up order is made. A current list of </w:t>
      </w:r>
      <w:r w:rsidR="00A90148">
        <w:rPr>
          <w:rFonts w:eastAsia="Times New Roman" w:cs="Times New Roman"/>
          <w:sz w:val="24"/>
          <w:szCs w:val="24"/>
          <w:lang w:val="en-US" w:eastAsia="en-AU"/>
        </w:rPr>
        <w:t xml:space="preserve">registered </w:t>
      </w:r>
      <w:r w:rsidR="00BF7FCC">
        <w:rPr>
          <w:rFonts w:eastAsia="Times New Roman" w:cs="Times New Roman"/>
          <w:sz w:val="24"/>
          <w:szCs w:val="24"/>
          <w:lang w:val="en-US" w:eastAsia="en-AU"/>
        </w:rPr>
        <w:t>liquidators can be obtained from ASIC.</w:t>
      </w:r>
    </w:p>
    <w:p w14:paraId="6A0D45D3" w14:textId="54367D95" w:rsidR="00480F1F" w:rsidRPr="00AF325B" w:rsidRDefault="00480F1F">
      <w:pPr>
        <w:pStyle w:val="ListParagraph"/>
        <w:numPr>
          <w:ilvl w:val="1"/>
          <w:numId w:val="13"/>
        </w:numPr>
        <w:spacing w:after="240"/>
        <w:ind w:left="709" w:hanging="709"/>
        <w:contextualSpacing w:val="0"/>
        <w:jc w:val="both"/>
        <w:rPr>
          <w:rFonts w:eastAsia="Times New Roman" w:cs="Times New Roman"/>
          <w:sz w:val="24"/>
          <w:szCs w:val="24"/>
          <w:lang w:val="en-US" w:eastAsia="en-AU"/>
        </w:rPr>
      </w:pPr>
      <w:r w:rsidRPr="00206081">
        <w:rPr>
          <w:rFonts w:eastAsia="Times New Roman" w:cs="Times New Roman"/>
          <w:sz w:val="24"/>
          <w:szCs w:val="24"/>
          <w:lang w:val="en-US" w:eastAsia="en-AU"/>
        </w:rPr>
        <w:t>The Consent to Act as Liquidator</w:t>
      </w:r>
      <w:r w:rsidR="00A90148">
        <w:rPr>
          <w:rFonts w:eastAsia="Times New Roman" w:cs="Times New Roman"/>
          <w:sz w:val="24"/>
          <w:szCs w:val="24"/>
          <w:lang w:val="en-US" w:eastAsia="en-AU"/>
        </w:rPr>
        <w:t xml:space="preserve"> (Form 8)</w:t>
      </w:r>
      <w:r w:rsidRPr="00206081">
        <w:rPr>
          <w:rFonts w:eastAsia="Times New Roman" w:cs="Times New Roman"/>
          <w:sz w:val="24"/>
          <w:szCs w:val="24"/>
          <w:lang w:val="en-US" w:eastAsia="en-AU"/>
        </w:rPr>
        <w:t xml:space="preserve"> s</w:t>
      </w:r>
      <w:r w:rsidR="00206081" w:rsidRPr="00206081">
        <w:rPr>
          <w:rFonts w:eastAsia="Times New Roman" w:cs="Times New Roman"/>
          <w:sz w:val="24"/>
          <w:szCs w:val="24"/>
          <w:lang w:val="en-US" w:eastAsia="en-AU"/>
        </w:rPr>
        <w:t xml:space="preserve">hould be filed </w:t>
      </w:r>
      <w:r w:rsidR="00A72380">
        <w:rPr>
          <w:rFonts w:eastAsia="Times New Roman" w:cs="Times New Roman"/>
          <w:sz w:val="24"/>
          <w:szCs w:val="24"/>
          <w:lang w:val="en-US" w:eastAsia="en-AU"/>
        </w:rPr>
        <w:t>before</w:t>
      </w:r>
      <w:r w:rsidR="00206081" w:rsidRPr="00206081">
        <w:rPr>
          <w:rFonts w:eastAsia="Times New Roman" w:cs="Times New Roman"/>
          <w:sz w:val="24"/>
          <w:szCs w:val="24"/>
          <w:lang w:val="en-US" w:eastAsia="en-AU"/>
        </w:rPr>
        <w:t xml:space="preserve"> </w:t>
      </w:r>
      <w:r w:rsidR="00C25CA9">
        <w:rPr>
          <w:rFonts w:eastAsia="Times New Roman" w:cs="Times New Roman"/>
          <w:sz w:val="24"/>
          <w:szCs w:val="24"/>
          <w:lang w:val="en-US" w:eastAsia="en-AU"/>
        </w:rPr>
        <w:t xml:space="preserve">the </w:t>
      </w:r>
      <w:r w:rsidR="00206081" w:rsidRPr="00206081">
        <w:rPr>
          <w:rFonts w:eastAsia="Times New Roman" w:cs="Times New Roman"/>
          <w:sz w:val="24"/>
          <w:szCs w:val="24"/>
          <w:lang w:val="en-US" w:eastAsia="en-AU"/>
        </w:rPr>
        <w:t>hearing</w:t>
      </w:r>
      <w:r w:rsidR="00CC7C8F">
        <w:rPr>
          <w:rFonts w:eastAsia="Times New Roman" w:cs="Times New Roman"/>
          <w:sz w:val="24"/>
          <w:szCs w:val="24"/>
          <w:lang w:val="en-US" w:eastAsia="en-AU"/>
        </w:rPr>
        <w:t xml:space="preserve">. A </w:t>
      </w:r>
      <w:r w:rsidRPr="00206081">
        <w:rPr>
          <w:rFonts w:eastAsia="Times New Roman" w:cs="Times New Roman"/>
          <w:sz w:val="24"/>
          <w:szCs w:val="24"/>
          <w:lang w:val="en-US" w:eastAsia="en-AU"/>
        </w:rPr>
        <w:t xml:space="preserve">copy of the consent must be served on the company at least 1 day before the hearing. </w:t>
      </w:r>
      <w:r w:rsidR="008F308A">
        <w:rPr>
          <w:rFonts w:eastAsia="Times New Roman" w:cs="Times New Roman"/>
          <w:sz w:val="24"/>
          <w:szCs w:val="24"/>
          <w:lang w:val="en-US" w:eastAsia="en-AU"/>
        </w:rPr>
        <w:t xml:space="preserve">The Court will not make a winding up order until the plaintiff has obtained </w:t>
      </w:r>
      <w:r w:rsidR="00CC7C8F">
        <w:rPr>
          <w:rFonts w:eastAsia="Times New Roman" w:cs="Times New Roman"/>
          <w:sz w:val="24"/>
          <w:szCs w:val="24"/>
          <w:lang w:val="en-US" w:eastAsia="en-AU"/>
        </w:rPr>
        <w:t>a registered</w:t>
      </w:r>
      <w:r w:rsidR="008F308A">
        <w:rPr>
          <w:rFonts w:eastAsia="Times New Roman" w:cs="Times New Roman"/>
          <w:sz w:val="24"/>
          <w:szCs w:val="24"/>
          <w:lang w:val="en-US" w:eastAsia="en-AU"/>
        </w:rPr>
        <w:t xml:space="preserve"> liquidator’s consent to be appointed as the liquidator. </w:t>
      </w:r>
    </w:p>
    <w:p w14:paraId="1A3C9B8D" w14:textId="4E6A5ABA" w:rsidR="00414DF6" w:rsidRPr="007119AE" w:rsidRDefault="00414DF6" w:rsidP="009728A7">
      <w:pPr>
        <w:pStyle w:val="ListParagraph"/>
        <w:keepNext/>
        <w:spacing w:after="240"/>
        <w:ind w:left="709"/>
        <w:contextualSpacing w:val="0"/>
        <w:jc w:val="both"/>
        <w:rPr>
          <w:rFonts w:eastAsia="Times New Roman" w:cs="Arial"/>
          <w:i/>
          <w:sz w:val="24"/>
          <w:szCs w:val="24"/>
          <w:lang w:val="en-US" w:eastAsia="en-AU"/>
        </w:rPr>
      </w:pPr>
      <w:r w:rsidRPr="007119AE">
        <w:rPr>
          <w:rFonts w:eastAsia="Times New Roman" w:cs="Arial"/>
          <w:i/>
          <w:sz w:val="24"/>
          <w:szCs w:val="24"/>
          <w:lang w:val="en-US" w:eastAsia="en-AU"/>
        </w:rPr>
        <w:lastRenderedPageBreak/>
        <w:t>Publis</w:t>
      </w:r>
      <w:r w:rsidR="00892BD9" w:rsidRPr="007119AE">
        <w:rPr>
          <w:rFonts w:eastAsia="Times New Roman" w:cs="Arial"/>
          <w:i/>
          <w:sz w:val="24"/>
          <w:szCs w:val="24"/>
          <w:lang w:val="en-US" w:eastAsia="en-AU"/>
        </w:rPr>
        <w:t>hing</w:t>
      </w:r>
      <w:r w:rsidRPr="007119AE">
        <w:rPr>
          <w:rFonts w:eastAsia="Times New Roman" w:cs="Arial"/>
          <w:i/>
          <w:sz w:val="24"/>
          <w:szCs w:val="24"/>
          <w:lang w:val="en-US" w:eastAsia="en-AU"/>
        </w:rPr>
        <w:t xml:space="preserve"> </w:t>
      </w:r>
      <w:r w:rsidR="00CC7C8F">
        <w:rPr>
          <w:rFonts w:eastAsia="Times New Roman" w:cs="Arial"/>
          <w:i/>
          <w:sz w:val="24"/>
          <w:szCs w:val="24"/>
          <w:lang w:val="en-US" w:eastAsia="en-AU"/>
        </w:rPr>
        <w:t>n</w:t>
      </w:r>
      <w:r w:rsidRPr="007119AE">
        <w:rPr>
          <w:rFonts w:eastAsia="Times New Roman" w:cs="Arial"/>
          <w:i/>
          <w:sz w:val="24"/>
          <w:szCs w:val="24"/>
          <w:lang w:val="en-US" w:eastAsia="en-AU"/>
        </w:rPr>
        <w:t xml:space="preserve">otice of </w:t>
      </w:r>
      <w:r w:rsidR="00CC7C8F">
        <w:rPr>
          <w:rFonts w:eastAsia="Times New Roman" w:cs="Arial"/>
          <w:i/>
          <w:sz w:val="24"/>
          <w:szCs w:val="24"/>
          <w:lang w:val="en-US" w:eastAsia="en-AU"/>
        </w:rPr>
        <w:t>a</w:t>
      </w:r>
      <w:r w:rsidRPr="007119AE">
        <w:rPr>
          <w:rFonts w:eastAsia="Times New Roman" w:cs="Arial"/>
          <w:i/>
          <w:sz w:val="24"/>
          <w:szCs w:val="24"/>
          <w:lang w:val="en-US" w:eastAsia="en-AU"/>
        </w:rPr>
        <w:t xml:space="preserve">pplication </w:t>
      </w:r>
    </w:p>
    <w:p w14:paraId="22283948" w14:textId="77777777" w:rsidR="00480F1F" w:rsidRDefault="00480F1F" w:rsidP="009728A7">
      <w:pPr>
        <w:pStyle w:val="ListParagraph"/>
        <w:keepNext/>
        <w:numPr>
          <w:ilvl w:val="1"/>
          <w:numId w:val="13"/>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The plaintiff must also publish notice of its application on the Insolvency Notices page of the ASIC website. This must be done at least 3 days after the application was served on the company and at least 7 days before the hearing of the application</w:t>
      </w:r>
      <w:r w:rsidR="00640B92">
        <w:rPr>
          <w:rFonts w:eastAsia="Times New Roman" w:cs="Times New Roman"/>
          <w:sz w:val="24"/>
          <w:szCs w:val="24"/>
          <w:lang w:val="en-US" w:eastAsia="en-AU"/>
        </w:rPr>
        <w:t xml:space="preserve"> (rule 5.6)</w:t>
      </w:r>
      <w:r>
        <w:rPr>
          <w:rFonts w:eastAsia="Times New Roman" w:cs="Times New Roman"/>
          <w:sz w:val="24"/>
          <w:szCs w:val="24"/>
          <w:lang w:val="en-US" w:eastAsia="en-AU"/>
        </w:rPr>
        <w:t>.</w:t>
      </w:r>
    </w:p>
    <w:p w14:paraId="633D0091" w14:textId="164EFDDF" w:rsidR="002877A6" w:rsidRDefault="002877A6" w:rsidP="002877A6">
      <w:pPr>
        <w:pStyle w:val="ListParagraph"/>
        <w:numPr>
          <w:ilvl w:val="1"/>
          <w:numId w:val="13"/>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Before the hearing of the application, the plaintiff must file with the Court an affidavit </w:t>
      </w:r>
      <w:r w:rsidR="00A90148">
        <w:rPr>
          <w:rFonts w:eastAsia="Times New Roman" w:cs="Times New Roman"/>
          <w:sz w:val="24"/>
          <w:szCs w:val="24"/>
          <w:lang w:val="en-US" w:eastAsia="en-AU"/>
        </w:rPr>
        <w:t>verifying</w:t>
      </w:r>
      <w:r>
        <w:rPr>
          <w:rFonts w:eastAsia="Times New Roman" w:cs="Times New Roman"/>
          <w:sz w:val="24"/>
          <w:szCs w:val="24"/>
          <w:lang w:val="en-US" w:eastAsia="en-AU"/>
        </w:rPr>
        <w:t xml:space="preserve"> that </w:t>
      </w:r>
      <w:r w:rsidR="00A90148">
        <w:rPr>
          <w:rFonts w:eastAsia="Times New Roman" w:cs="Times New Roman"/>
          <w:sz w:val="24"/>
          <w:szCs w:val="24"/>
          <w:lang w:val="en-US" w:eastAsia="en-AU"/>
        </w:rPr>
        <w:t xml:space="preserve">the </w:t>
      </w:r>
      <w:r>
        <w:rPr>
          <w:rFonts w:eastAsia="Times New Roman" w:cs="Times New Roman"/>
          <w:sz w:val="24"/>
          <w:szCs w:val="24"/>
          <w:lang w:val="en-US" w:eastAsia="en-AU"/>
        </w:rPr>
        <w:t xml:space="preserve">notice was published on the ASIC website. A copy of the </w:t>
      </w:r>
      <w:r w:rsidR="00A90148">
        <w:rPr>
          <w:rFonts w:eastAsia="Times New Roman" w:cs="Times New Roman"/>
          <w:sz w:val="24"/>
          <w:szCs w:val="24"/>
          <w:lang w:val="en-US" w:eastAsia="en-AU"/>
        </w:rPr>
        <w:t>published notice</w:t>
      </w:r>
      <w:r>
        <w:rPr>
          <w:rFonts w:eastAsia="Times New Roman" w:cs="Times New Roman"/>
          <w:sz w:val="24"/>
          <w:szCs w:val="24"/>
          <w:lang w:val="en-US" w:eastAsia="en-AU"/>
        </w:rPr>
        <w:t xml:space="preserve"> must be attached to the affidavit.</w:t>
      </w:r>
      <w:r w:rsidRPr="00AF325B">
        <w:rPr>
          <w:rFonts w:eastAsia="Times New Roman" w:cs="Times New Roman"/>
          <w:sz w:val="24"/>
          <w:szCs w:val="24"/>
          <w:lang w:val="en-US" w:eastAsia="en-AU"/>
        </w:rPr>
        <w:t xml:space="preserve"> </w:t>
      </w:r>
    </w:p>
    <w:p w14:paraId="37A9DB4E" w14:textId="77777777" w:rsidR="007929CD" w:rsidRDefault="007929CD" w:rsidP="00CE7138">
      <w:pPr>
        <w:pStyle w:val="ListParagraph"/>
        <w:keepNext/>
        <w:numPr>
          <w:ilvl w:val="0"/>
          <w:numId w:val="30"/>
        </w:numPr>
        <w:spacing w:before="360" w:after="240"/>
        <w:ind w:left="709" w:hanging="709"/>
        <w:contextualSpacing w:val="0"/>
        <w:jc w:val="both"/>
        <w:rPr>
          <w:rFonts w:eastAsia="Times New Roman" w:cs="Arial"/>
          <w:b/>
          <w:sz w:val="28"/>
          <w:szCs w:val="28"/>
          <w:lang w:val="en-US" w:eastAsia="en-AU"/>
        </w:rPr>
      </w:pPr>
      <w:r>
        <w:rPr>
          <w:rFonts w:eastAsia="Times New Roman" w:cs="Arial"/>
          <w:b/>
          <w:sz w:val="28"/>
          <w:szCs w:val="28"/>
          <w:lang w:val="en-US" w:eastAsia="en-AU"/>
        </w:rPr>
        <w:t>Hearing of the Originating Process</w:t>
      </w:r>
    </w:p>
    <w:p w14:paraId="0A4F0985" w14:textId="1E5A2BE4" w:rsidR="007C1174" w:rsidRPr="00D5540B" w:rsidRDefault="00D5540B" w:rsidP="00D5540B">
      <w:pPr>
        <w:pStyle w:val="ListParagraph"/>
        <w:keepNext/>
        <w:numPr>
          <w:ilvl w:val="1"/>
          <w:numId w:val="40"/>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At the listing of the Originating Process before the Court, the defendant </w:t>
      </w:r>
      <w:r w:rsidR="00773B41">
        <w:rPr>
          <w:rFonts w:eastAsia="Times New Roman" w:cs="Times New Roman"/>
          <w:sz w:val="24"/>
          <w:szCs w:val="24"/>
          <w:lang w:val="en-US" w:eastAsia="en-AU"/>
        </w:rPr>
        <w:t xml:space="preserve">company </w:t>
      </w:r>
      <w:r>
        <w:rPr>
          <w:rFonts w:eastAsia="Times New Roman" w:cs="Times New Roman"/>
          <w:sz w:val="24"/>
          <w:szCs w:val="24"/>
          <w:lang w:val="en-US" w:eastAsia="en-AU"/>
        </w:rPr>
        <w:t xml:space="preserve">may appear to request an adjournment or oppose the making of winding up orders. If </w:t>
      </w:r>
      <w:r w:rsidR="00773B41">
        <w:rPr>
          <w:rFonts w:eastAsia="Times New Roman" w:cs="Times New Roman"/>
          <w:sz w:val="24"/>
          <w:szCs w:val="24"/>
          <w:lang w:val="en-US" w:eastAsia="en-AU"/>
        </w:rPr>
        <w:t>it</w:t>
      </w:r>
      <w:r>
        <w:rPr>
          <w:rFonts w:eastAsia="Times New Roman" w:cs="Times New Roman"/>
          <w:sz w:val="24"/>
          <w:szCs w:val="24"/>
          <w:lang w:val="en-US" w:eastAsia="en-AU"/>
        </w:rPr>
        <w:t xml:space="preserve"> intend</w:t>
      </w:r>
      <w:r w:rsidR="00773B41">
        <w:rPr>
          <w:rFonts w:eastAsia="Times New Roman" w:cs="Times New Roman"/>
          <w:sz w:val="24"/>
          <w:szCs w:val="24"/>
          <w:lang w:val="en-US" w:eastAsia="en-AU"/>
        </w:rPr>
        <w:t>s</w:t>
      </w:r>
      <w:r>
        <w:rPr>
          <w:rFonts w:eastAsia="Times New Roman" w:cs="Times New Roman"/>
          <w:sz w:val="24"/>
          <w:szCs w:val="24"/>
          <w:lang w:val="en-US" w:eastAsia="en-AU"/>
        </w:rPr>
        <w:t xml:space="preserve"> to do so, </w:t>
      </w:r>
      <w:r w:rsidR="00773B41">
        <w:rPr>
          <w:rFonts w:eastAsia="Times New Roman" w:cs="Times New Roman"/>
          <w:sz w:val="24"/>
          <w:szCs w:val="24"/>
          <w:lang w:val="en-US" w:eastAsia="en-AU"/>
        </w:rPr>
        <w:t>it</w:t>
      </w:r>
      <w:r>
        <w:rPr>
          <w:rFonts w:eastAsia="Times New Roman" w:cs="Times New Roman"/>
          <w:sz w:val="24"/>
          <w:szCs w:val="24"/>
          <w:lang w:val="en-US" w:eastAsia="en-AU"/>
        </w:rPr>
        <w:t xml:space="preserve"> will usually be required to file and serve a notice of appearance and/or a notice stating </w:t>
      </w:r>
      <w:r w:rsidR="00773B41">
        <w:rPr>
          <w:rFonts w:eastAsia="Times New Roman" w:cs="Times New Roman"/>
          <w:sz w:val="24"/>
          <w:szCs w:val="24"/>
          <w:lang w:val="en-US" w:eastAsia="en-AU"/>
        </w:rPr>
        <w:t>its</w:t>
      </w:r>
      <w:r>
        <w:rPr>
          <w:rFonts w:eastAsia="Times New Roman" w:cs="Times New Roman"/>
          <w:sz w:val="24"/>
          <w:szCs w:val="24"/>
          <w:lang w:val="en-US" w:eastAsia="en-AU"/>
        </w:rPr>
        <w:t xml:space="preserve"> grounds of opposition</w:t>
      </w:r>
      <w:r w:rsidR="007042DD">
        <w:rPr>
          <w:rFonts w:eastAsia="Times New Roman" w:cs="Times New Roman"/>
          <w:sz w:val="24"/>
          <w:szCs w:val="24"/>
          <w:lang w:val="en-US" w:eastAsia="en-AU"/>
        </w:rPr>
        <w:t>, preferably supported by an affidavit</w:t>
      </w:r>
      <w:r w:rsidR="007A2C44" w:rsidRPr="00D5540B">
        <w:rPr>
          <w:rFonts w:eastAsia="Times New Roman" w:cs="Times New Roman"/>
          <w:sz w:val="24"/>
          <w:szCs w:val="24"/>
          <w:lang w:val="en-US" w:eastAsia="en-AU"/>
        </w:rPr>
        <w:t>.</w:t>
      </w:r>
      <w:r w:rsidR="00905179">
        <w:rPr>
          <w:rFonts w:eastAsia="Times New Roman" w:cs="Times New Roman"/>
          <w:sz w:val="24"/>
          <w:szCs w:val="24"/>
          <w:lang w:val="en-US" w:eastAsia="en-AU"/>
        </w:rPr>
        <w:t xml:space="preserve"> </w:t>
      </w:r>
    </w:p>
    <w:p w14:paraId="152CE00D" w14:textId="0452974F" w:rsidR="003D6568" w:rsidRDefault="00E70C92" w:rsidP="00CE7138">
      <w:pPr>
        <w:pStyle w:val="ListParagraph"/>
        <w:keepNext/>
        <w:numPr>
          <w:ilvl w:val="1"/>
          <w:numId w:val="40"/>
        </w:numPr>
        <w:spacing w:after="240"/>
        <w:ind w:left="709" w:hanging="709"/>
        <w:contextualSpacing w:val="0"/>
        <w:jc w:val="both"/>
        <w:rPr>
          <w:rFonts w:eastAsia="Times New Roman" w:cs="Times New Roman"/>
          <w:sz w:val="24"/>
          <w:szCs w:val="24"/>
          <w:lang w:val="en-US" w:eastAsia="en-AU"/>
        </w:rPr>
      </w:pPr>
      <w:r>
        <w:rPr>
          <w:rFonts w:cs="Times New Roman"/>
          <w:sz w:val="24"/>
          <w:szCs w:val="24"/>
        </w:rPr>
        <w:t xml:space="preserve">Where the winding up application is not opposed, </w:t>
      </w:r>
      <w:r w:rsidR="00B90A05">
        <w:rPr>
          <w:rFonts w:eastAsia="Times New Roman" w:cs="Times New Roman"/>
          <w:sz w:val="24"/>
          <w:szCs w:val="24"/>
          <w:lang w:val="en-US" w:eastAsia="en-AU"/>
        </w:rPr>
        <w:t xml:space="preserve">the Court will </w:t>
      </w:r>
      <w:r w:rsidR="00D02EB2">
        <w:rPr>
          <w:rFonts w:eastAsia="Times New Roman" w:cs="Times New Roman"/>
          <w:sz w:val="24"/>
          <w:szCs w:val="24"/>
          <w:lang w:val="en-US" w:eastAsia="en-AU"/>
        </w:rPr>
        <w:t xml:space="preserve">usually </w:t>
      </w:r>
      <w:r w:rsidR="00B90A05">
        <w:rPr>
          <w:rFonts w:eastAsia="Times New Roman" w:cs="Times New Roman"/>
          <w:sz w:val="24"/>
          <w:szCs w:val="24"/>
          <w:lang w:val="en-US" w:eastAsia="en-AU"/>
        </w:rPr>
        <w:t>make a winding up order if it is satisfied that the</w:t>
      </w:r>
      <w:r w:rsidR="000C7AF9">
        <w:rPr>
          <w:rFonts w:eastAsia="Times New Roman" w:cs="Times New Roman"/>
          <w:sz w:val="24"/>
          <w:szCs w:val="24"/>
          <w:lang w:val="en-US" w:eastAsia="en-AU"/>
        </w:rPr>
        <w:t xml:space="preserve"> following</w:t>
      </w:r>
      <w:r w:rsidR="00B90A05">
        <w:rPr>
          <w:rFonts w:eastAsia="Times New Roman" w:cs="Times New Roman"/>
          <w:sz w:val="24"/>
          <w:szCs w:val="24"/>
          <w:lang w:val="en-US" w:eastAsia="en-AU"/>
        </w:rPr>
        <w:t xml:space="preserve"> formal requirements under the </w:t>
      </w:r>
      <w:r w:rsidR="00B90A05" w:rsidRPr="007119AE">
        <w:rPr>
          <w:rFonts w:eastAsia="Times New Roman" w:cs="Times New Roman"/>
          <w:sz w:val="24"/>
          <w:szCs w:val="24"/>
          <w:lang w:val="en-US" w:eastAsia="en-AU"/>
        </w:rPr>
        <w:t>Corporations Act</w:t>
      </w:r>
      <w:r w:rsidR="00B90A05">
        <w:rPr>
          <w:rFonts w:eastAsia="Times New Roman" w:cs="Times New Roman"/>
          <w:i/>
          <w:sz w:val="24"/>
          <w:szCs w:val="24"/>
          <w:lang w:val="en-US" w:eastAsia="en-AU"/>
        </w:rPr>
        <w:t xml:space="preserve"> </w:t>
      </w:r>
      <w:r w:rsidR="00B90A05">
        <w:rPr>
          <w:rFonts w:eastAsia="Times New Roman" w:cs="Times New Roman"/>
          <w:sz w:val="24"/>
          <w:szCs w:val="24"/>
          <w:lang w:val="en-US" w:eastAsia="en-AU"/>
        </w:rPr>
        <w:t xml:space="preserve">and </w:t>
      </w:r>
      <w:r w:rsidR="00B90A05" w:rsidRPr="007119AE">
        <w:rPr>
          <w:rFonts w:eastAsia="Times New Roman" w:cs="Times New Roman"/>
          <w:sz w:val="24"/>
          <w:szCs w:val="24"/>
          <w:lang w:val="en-US" w:eastAsia="en-AU"/>
        </w:rPr>
        <w:t>Corporations Rules</w:t>
      </w:r>
      <w:r w:rsidR="00B90A05">
        <w:rPr>
          <w:rFonts w:eastAsia="Times New Roman" w:cs="Times New Roman"/>
          <w:i/>
          <w:sz w:val="24"/>
          <w:szCs w:val="24"/>
          <w:lang w:val="en-US" w:eastAsia="en-AU"/>
        </w:rPr>
        <w:t xml:space="preserve"> </w:t>
      </w:r>
      <w:r w:rsidR="00715DAF">
        <w:rPr>
          <w:rFonts w:eastAsia="Times New Roman" w:cs="Times New Roman"/>
          <w:sz w:val="24"/>
          <w:szCs w:val="24"/>
          <w:lang w:val="en-US" w:eastAsia="en-AU"/>
        </w:rPr>
        <w:t>have been met</w:t>
      </w:r>
      <w:r w:rsidR="000C7AF9">
        <w:rPr>
          <w:rFonts w:eastAsia="Times New Roman" w:cs="Times New Roman"/>
          <w:sz w:val="24"/>
          <w:szCs w:val="24"/>
          <w:lang w:val="en-US" w:eastAsia="en-AU"/>
        </w:rPr>
        <w:t>:</w:t>
      </w:r>
    </w:p>
    <w:p w14:paraId="759C170E" w14:textId="77777777" w:rsidR="00773B41" w:rsidRDefault="00773B41" w:rsidP="009F3D44">
      <w:pPr>
        <w:pStyle w:val="ListParagraph"/>
        <w:numPr>
          <w:ilvl w:val="0"/>
          <w:numId w:val="41"/>
        </w:numPr>
        <w:spacing w:after="240"/>
        <w:ind w:left="1276" w:hanging="564"/>
        <w:contextualSpacing w:val="0"/>
        <w:jc w:val="both"/>
        <w:rPr>
          <w:rFonts w:eastAsia="Times New Roman" w:cs="Times New Roman"/>
          <w:sz w:val="24"/>
          <w:szCs w:val="24"/>
          <w:lang w:val="en-US" w:eastAsia="en-AU"/>
        </w:rPr>
      </w:pPr>
      <w:r>
        <w:rPr>
          <w:rFonts w:eastAsia="Times New Roman" w:cs="Times New Roman"/>
          <w:sz w:val="24"/>
          <w:szCs w:val="24"/>
          <w:lang w:val="en-US" w:eastAsia="en-AU"/>
        </w:rPr>
        <w:t>that the plaintiff has standing as a creditor of the company</w:t>
      </w:r>
    </w:p>
    <w:p w14:paraId="002D671B" w14:textId="77777777" w:rsidR="003D6568" w:rsidRDefault="00122FFE" w:rsidP="009F3D44">
      <w:pPr>
        <w:pStyle w:val="ListParagraph"/>
        <w:numPr>
          <w:ilvl w:val="0"/>
          <w:numId w:val="41"/>
        </w:numPr>
        <w:spacing w:after="240"/>
        <w:ind w:left="1276" w:hanging="564"/>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that </w:t>
      </w:r>
      <w:r w:rsidR="003D6568">
        <w:rPr>
          <w:rFonts w:eastAsia="Times New Roman" w:cs="Times New Roman"/>
          <w:sz w:val="24"/>
          <w:szCs w:val="24"/>
          <w:lang w:val="en-US" w:eastAsia="en-AU"/>
        </w:rPr>
        <w:t xml:space="preserve">the Company is presumed insolvent because of non-compliance with a </w:t>
      </w:r>
      <w:r w:rsidR="002B4257">
        <w:rPr>
          <w:rFonts w:eastAsia="Times New Roman" w:cs="Times New Roman"/>
          <w:sz w:val="24"/>
          <w:szCs w:val="24"/>
          <w:lang w:val="en-US" w:eastAsia="en-AU"/>
        </w:rPr>
        <w:t>Statutory Demand</w:t>
      </w:r>
    </w:p>
    <w:p w14:paraId="68D92364" w14:textId="77777777" w:rsidR="00B90A05" w:rsidRDefault="00122FFE" w:rsidP="009F3D44">
      <w:pPr>
        <w:pStyle w:val="ListParagraph"/>
        <w:numPr>
          <w:ilvl w:val="0"/>
          <w:numId w:val="41"/>
        </w:numPr>
        <w:spacing w:after="240"/>
        <w:ind w:left="1276" w:hanging="564"/>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that </w:t>
      </w:r>
      <w:r w:rsidR="003D6568">
        <w:rPr>
          <w:rFonts w:eastAsia="Times New Roman" w:cs="Times New Roman"/>
          <w:sz w:val="24"/>
          <w:szCs w:val="24"/>
          <w:lang w:val="en-US" w:eastAsia="en-AU"/>
        </w:rPr>
        <w:t>the presumption</w:t>
      </w:r>
      <w:r w:rsidR="009F3D44">
        <w:rPr>
          <w:rFonts w:eastAsia="Times New Roman" w:cs="Times New Roman"/>
          <w:sz w:val="24"/>
          <w:szCs w:val="24"/>
          <w:lang w:val="en-US" w:eastAsia="en-AU"/>
        </w:rPr>
        <w:t xml:space="preserve"> has not been rebutted by evidence of the company’s solvency</w:t>
      </w:r>
      <w:r w:rsidR="007119AE">
        <w:rPr>
          <w:rFonts w:eastAsia="Times New Roman" w:cs="Times New Roman"/>
          <w:sz w:val="24"/>
          <w:szCs w:val="24"/>
          <w:lang w:val="en-US" w:eastAsia="en-AU"/>
        </w:rPr>
        <w:t>,</w:t>
      </w:r>
      <w:r w:rsidR="00773B41">
        <w:rPr>
          <w:rFonts w:eastAsia="Times New Roman" w:cs="Times New Roman"/>
          <w:sz w:val="24"/>
          <w:szCs w:val="24"/>
          <w:lang w:val="en-US" w:eastAsia="en-AU"/>
        </w:rPr>
        <w:t xml:space="preserve"> and</w:t>
      </w:r>
    </w:p>
    <w:p w14:paraId="6D2F9017" w14:textId="77777777" w:rsidR="003D6568" w:rsidRDefault="00122FFE" w:rsidP="009F3D44">
      <w:pPr>
        <w:pStyle w:val="ListParagraph"/>
        <w:numPr>
          <w:ilvl w:val="0"/>
          <w:numId w:val="41"/>
        </w:numPr>
        <w:spacing w:after="240"/>
        <w:ind w:left="1276" w:hanging="564"/>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that </w:t>
      </w:r>
      <w:r w:rsidR="009C6C99">
        <w:rPr>
          <w:rFonts w:eastAsia="Times New Roman" w:cs="Times New Roman"/>
          <w:sz w:val="24"/>
          <w:szCs w:val="24"/>
          <w:lang w:val="en-US" w:eastAsia="en-AU"/>
        </w:rPr>
        <w:t>t</w:t>
      </w:r>
      <w:r w:rsidR="003D6568">
        <w:rPr>
          <w:rFonts w:eastAsia="Times New Roman" w:cs="Times New Roman"/>
          <w:sz w:val="24"/>
          <w:szCs w:val="24"/>
          <w:lang w:val="en-US" w:eastAsia="en-AU"/>
        </w:rPr>
        <w:t xml:space="preserve">he plaintiff has </w:t>
      </w:r>
      <w:r w:rsidR="00AE6961">
        <w:rPr>
          <w:rFonts w:eastAsia="Times New Roman" w:cs="Times New Roman"/>
          <w:sz w:val="24"/>
          <w:szCs w:val="24"/>
          <w:lang w:val="en-US" w:eastAsia="en-AU"/>
        </w:rPr>
        <w:t>complied</w:t>
      </w:r>
      <w:r w:rsidR="003D6568">
        <w:rPr>
          <w:rFonts w:eastAsia="Times New Roman" w:cs="Times New Roman"/>
          <w:sz w:val="24"/>
          <w:szCs w:val="24"/>
          <w:lang w:val="en-US" w:eastAsia="en-AU"/>
        </w:rPr>
        <w:t xml:space="preserve"> with </w:t>
      </w:r>
      <w:r w:rsidR="00C2205F">
        <w:rPr>
          <w:rFonts w:eastAsia="Times New Roman" w:cs="Times New Roman"/>
          <w:sz w:val="24"/>
          <w:szCs w:val="24"/>
          <w:lang w:val="en-US" w:eastAsia="en-AU"/>
        </w:rPr>
        <w:t>all</w:t>
      </w:r>
      <w:r w:rsidR="003D6568">
        <w:rPr>
          <w:rFonts w:eastAsia="Times New Roman" w:cs="Times New Roman"/>
          <w:sz w:val="24"/>
          <w:szCs w:val="24"/>
          <w:lang w:val="en-US" w:eastAsia="en-AU"/>
        </w:rPr>
        <w:t xml:space="preserve"> steps required by the rules</w:t>
      </w:r>
      <w:r w:rsidR="00F63335">
        <w:rPr>
          <w:rFonts w:eastAsia="Times New Roman" w:cs="Times New Roman"/>
          <w:sz w:val="24"/>
          <w:szCs w:val="24"/>
          <w:lang w:val="en-US" w:eastAsia="en-AU"/>
        </w:rPr>
        <w:t xml:space="preserve">, including: service of all relevant documents on the defendant, obtaining the </w:t>
      </w:r>
      <w:r w:rsidR="000C7AF9">
        <w:rPr>
          <w:rFonts w:eastAsia="Times New Roman" w:cs="Times New Roman"/>
          <w:sz w:val="24"/>
          <w:szCs w:val="24"/>
          <w:lang w:val="en-US" w:eastAsia="en-AU"/>
        </w:rPr>
        <w:t>consent of an official liquidator, lodg</w:t>
      </w:r>
      <w:r w:rsidR="00F63335">
        <w:rPr>
          <w:rFonts w:eastAsia="Times New Roman" w:cs="Times New Roman"/>
          <w:sz w:val="24"/>
          <w:szCs w:val="24"/>
          <w:lang w:val="en-US" w:eastAsia="en-AU"/>
        </w:rPr>
        <w:t>ment of</w:t>
      </w:r>
      <w:r w:rsidR="003D6568">
        <w:rPr>
          <w:rFonts w:eastAsia="Times New Roman" w:cs="Times New Roman"/>
          <w:sz w:val="24"/>
          <w:szCs w:val="24"/>
          <w:lang w:val="en-US" w:eastAsia="en-AU"/>
        </w:rPr>
        <w:t xml:space="preserve"> notice at ASIC, and </w:t>
      </w:r>
      <w:r w:rsidR="00F63335">
        <w:rPr>
          <w:rFonts w:eastAsia="Times New Roman" w:cs="Times New Roman"/>
          <w:sz w:val="24"/>
          <w:szCs w:val="24"/>
          <w:lang w:val="en-US" w:eastAsia="en-AU"/>
        </w:rPr>
        <w:t>publication of</w:t>
      </w:r>
      <w:r w:rsidR="003D6568">
        <w:rPr>
          <w:rFonts w:eastAsia="Times New Roman" w:cs="Times New Roman"/>
          <w:sz w:val="24"/>
          <w:szCs w:val="24"/>
          <w:lang w:val="en-US" w:eastAsia="en-AU"/>
        </w:rPr>
        <w:t xml:space="preserve"> notice of the proceedings on the ASIC insolvency</w:t>
      </w:r>
      <w:r w:rsidR="006D48BB">
        <w:rPr>
          <w:rFonts w:eastAsia="Times New Roman" w:cs="Times New Roman"/>
          <w:sz w:val="24"/>
          <w:szCs w:val="24"/>
          <w:lang w:val="en-US" w:eastAsia="en-AU"/>
        </w:rPr>
        <w:t xml:space="preserve"> notices page</w:t>
      </w:r>
      <w:r w:rsidR="003D6568">
        <w:rPr>
          <w:rFonts w:eastAsia="Times New Roman" w:cs="Times New Roman"/>
          <w:sz w:val="24"/>
          <w:szCs w:val="24"/>
          <w:lang w:val="en-US" w:eastAsia="en-AU"/>
        </w:rPr>
        <w:t>.</w:t>
      </w:r>
    </w:p>
    <w:p w14:paraId="54B7A5A2" w14:textId="0D5FEEC1" w:rsidR="00781020" w:rsidRDefault="00911D44" w:rsidP="00911D44">
      <w:pPr>
        <w:pStyle w:val="ListParagraph"/>
        <w:keepNext/>
        <w:spacing w:after="240"/>
        <w:ind w:left="709"/>
        <w:contextualSpacing w:val="0"/>
        <w:jc w:val="both"/>
        <w:rPr>
          <w:rFonts w:eastAsia="Times New Roman" w:cs="Times New Roman"/>
          <w:sz w:val="24"/>
          <w:szCs w:val="24"/>
          <w:lang w:val="en-US" w:eastAsia="en-AU"/>
        </w:rPr>
      </w:pPr>
      <w:r>
        <w:rPr>
          <w:rFonts w:eastAsia="Times New Roman" w:cs="Times New Roman"/>
          <w:i/>
          <w:sz w:val="24"/>
          <w:szCs w:val="24"/>
          <w:lang w:val="en-US" w:eastAsia="en-AU"/>
        </w:rPr>
        <w:t>Note:</w:t>
      </w:r>
      <w:r>
        <w:rPr>
          <w:rFonts w:eastAsia="Times New Roman" w:cs="Times New Roman"/>
          <w:sz w:val="24"/>
          <w:szCs w:val="24"/>
          <w:lang w:val="en-US" w:eastAsia="en-AU"/>
        </w:rPr>
        <w:t xml:space="preserve"> </w:t>
      </w:r>
      <w:r w:rsidR="007119AE" w:rsidRPr="004E5C2E">
        <w:rPr>
          <w:sz w:val="24"/>
          <w:szCs w:val="24"/>
        </w:rPr>
        <w:t>Corporations</w:t>
      </w:r>
      <w:r w:rsidR="007119AE" w:rsidRPr="004E5C2E">
        <w:rPr>
          <w:i/>
          <w:sz w:val="24"/>
          <w:szCs w:val="24"/>
        </w:rPr>
        <w:t xml:space="preserve"> </w:t>
      </w:r>
      <w:r w:rsidR="007119AE" w:rsidRPr="004E5C2E">
        <w:rPr>
          <w:sz w:val="24"/>
          <w:szCs w:val="24"/>
        </w:rPr>
        <w:t>Information Sheet 2: Winding Up Checklist</w:t>
      </w:r>
      <w:r w:rsidR="007C3392" w:rsidRPr="004E5C2E">
        <w:rPr>
          <w:sz w:val="24"/>
          <w:szCs w:val="24"/>
        </w:rPr>
        <w:t xml:space="preserve"> </w:t>
      </w:r>
      <w:r w:rsidR="007042DD">
        <w:rPr>
          <w:sz w:val="24"/>
          <w:szCs w:val="24"/>
        </w:rPr>
        <w:t>sets out</w:t>
      </w:r>
      <w:r>
        <w:rPr>
          <w:rFonts w:eastAsia="Times New Roman" w:cs="Times New Roman"/>
          <w:sz w:val="24"/>
          <w:szCs w:val="24"/>
          <w:lang w:val="en-US" w:eastAsia="en-AU"/>
        </w:rPr>
        <w:t xml:space="preserve"> the matters </w:t>
      </w:r>
      <w:r w:rsidR="007C3392">
        <w:rPr>
          <w:rFonts w:eastAsia="Times New Roman" w:cs="Times New Roman"/>
          <w:sz w:val="24"/>
          <w:szCs w:val="24"/>
          <w:lang w:val="en-US" w:eastAsia="en-AU"/>
        </w:rPr>
        <w:t>to be prove</w:t>
      </w:r>
      <w:r w:rsidR="007042DD">
        <w:rPr>
          <w:rFonts w:eastAsia="Times New Roman" w:cs="Times New Roman"/>
          <w:sz w:val="24"/>
          <w:szCs w:val="24"/>
          <w:lang w:val="en-US" w:eastAsia="en-AU"/>
        </w:rPr>
        <w:t>d</w:t>
      </w:r>
      <w:r w:rsidR="007C3392">
        <w:rPr>
          <w:rFonts w:eastAsia="Times New Roman" w:cs="Times New Roman"/>
          <w:sz w:val="24"/>
          <w:szCs w:val="24"/>
          <w:lang w:val="en-US" w:eastAsia="en-AU"/>
        </w:rPr>
        <w:t xml:space="preserve"> at the hearing</w:t>
      </w:r>
      <w:r w:rsidR="00781020">
        <w:rPr>
          <w:rFonts w:eastAsia="Times New Roman" w:cs="Times New Roman"/>
          <w:sz w:val="24"/>
          <w:szCs w:val="24"/>
          <w:lang w:val="en-US" w:eastAsia="en-AU"/>
        </w:rPr>
        <w:t>.</w:t>
      </w:r>
    </w:p>
    <w:p w14:paraId="245A2B9E" w14:textId="0CA1CAFF" w:rsidR="00504462" w:rsidRDefault="007042DD" w:rsidP="00504462">
      <w:pPr>
        <w:pStyle w:val="ListParagraph"/>
        <w:keepNext/>
        <w:numPr>
          <w:ilvl w:val="1"/>
          <w:numId w:val="40"/>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E</w:t>
      </w:r>
      <w:r w:rsidR="00504462">
        <w:rPr>
          <w:rFonts w:eastAsia="Times New Roman" w:cs="Times New Roman"/>
          <w:sz w:val="24"/>
          <w:szCs w:val="24"/>
          <w:lang w:val="en-US" w:eastAsia="en-AU"/>
        </w:rPr>
        <w:t xml:space="preserve">ven if </w:t>
      </w:r>
      <w:r>
        <w:rPr>
          <w:rFonts w:eastAsia="Times New Roman" w:cs="Times New Roman"/>
          <w:sz w:val="24"/>
          <w:szCs w:val="24"/>
          <w:lang w:val="en-US" w:eastAsia="en-AU"/>
        </w:rPr>
        <w:t>the requisite matters are established</w:t>
      </w:r>
      <w:r w:rsidR="00504462">
        <w:rPr>
          <w:rFonts w:eastAsia="Times New Roman" w:cs="Times New Roman"/>
          <w:sz w:val="24"/>
          <w:szCs w:val="24"/>
          <w:lang w:val="en-US" w:eastAsia="en-AU"/>
        </w:rPr>
        <w:t>, the Court may adjourn or dismiss the originating process, or make any other interim order that it thinks fit (s467(1)).</w:t>
      </w:r>
    </w:p>
    <w:p w14:paraId="3248183A" w14:textId="66E8ADF6" w:rsidR="009767F7" w:rsidRDefault="007042DD" w:rsidP="009C6C99">
      <w:pPr>
        <w:pStyle w:val="ListParagraph"/>
        <w:keepNext/>
        <w:numPr>
          <w:ilvl w:val="1"/>
          <w:numId w:val="40"/>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Upon the making of a winding up order, a</w:t>
      </w:r>
      <w:r w:rsidR="009767F7">
        <w:rPr>
          <w:rFonts w:eastAsia="Times New Roman" w:cs="Times New Roman"/>
          <w:sz w:val="24"/>
          <w:szCs w:val="24"/>
          <w:lang w:val="en-US" w:eastAsia="en-AU"/>
        </w:rPr>
        <w:t xml:space="preserve"> plaintiff will </w:t>
      </w:r>
      <w:r w:rsidR="00594E1F">
        <w:rPr>
          <w:rFonts w:eastAsia="Times New Roman" w:cs="Times New Roman"/>
          <w:sz w:val="24"/>
          <w:szCs w:val="24"/>
          <w:lang w:val="en-US" w:eastAsia="en-AU"/>
        </w:rPr>
        <w:t>ordinarily</w:t>
      </w:r>
      <w:r w:rsidR="009767F7">
        <w:rPr>
          <w:rFonts w:eastAsia="Times New Roman" w:cs="Times New Roman"/>
          <w:sz w:val="24"/>
          <w:szCs w:val="24"/>
          <w:lang w:val="en-US" w:eastAsia="en-AU"/>
        </w:rPr>
        <w:t xml:space="preserve"> be awarded their costs of the application. </w:t>
      </w:r>
      <w:r>
        <w:rPr>
          <w:rFonts w:eastAsia="Times New Roman" w:cs="Times New Roman"/>
          <w:sz w:val="24"/>
          <w:szCs w:val="24"/>
          <w:lang w:val="en-US" w:eastAsia="en-AU"/>
        </w:rPr>
        <w:t>The Court’s usual practice is to fix costs at the hearing</w:t>
      </w:r>
      <w:r w:rsidR="005718D9">
        <w:rPr>
          <w:rFonts w:eastAsia="Times New Roman" w:cs="Times New Roman"/>
          <w:sz w:val="24"/>
          <w:szCs w:val="24"/>
          <w:lang w:val="en-US" w:eastAsia="en-AU"/>
        </w:rPr>
        <w:t>.</w:t>
      </w:r>
      <w:r w:rsidR="005665E2">
        <w:rPr>
          <w:rFonts w:eastAsia="Times New Roman" w:cs="Times New Roman"/>
          <w:sz w:val="24"/>
          <w:szCs w:val="24"/>
          <w:lang w:val="en-US" w:eastAsia="en-AU"/>
        </w:rPr>
        <w:t xml:space="preserve"> </w:t>
      </w:r>
      <w:r w:rsidR="009767F7">
        <w:rPr>
          <w:rFonts w:eastAsia="Times New Roman" w:cs="Times New Roman"/>
          <w:sz w:val="24"/>
          <w:szCs w:val="24"/>
          <w:lang w:val="en-US" w:eastAsia="en-AU"/>
        </w:rPr>
        <w:t>If a costs order is sought, the plaintiff should</w:t>
      </w:r>
      <w:r>
        <w:rPr>
          <w:rFonts w:eastAsia="Times New Roman" w:cs="Times New Roman"/>
          <w:sz w:val="24"/>
          <w:szCs w:val="24"/>
          <w:lang w:val="en-US" w:eastAsia="en-AU"/>
        </w:rPr>
        <w:t>, before the hearing,</w:t>
      </w:r>
      <w:r w:rsidR="009767F7">
        <w:rPr>
          <w:rFonts w:eastAsia="Times New Roman" w:cs="Times New Roman"/>
          <w:sz w:val="24"/>
          <w:szCs w:val="24"/>
          <w:lang w:val="en-US" w:eastAsia="en-AU"/>
        </w:rPr>
        <w:t xml:space="preserve"> file a </w:t>
      </w:r>
      <w:r w:rsidR="00504462">
        <w:rPr>
          <w:rFonts w:eastAsia="Times New Roman" w:cs="Times New Roman"/>
          <w:sz w:val="24"/>
          <w:szCs w:val="24"/>
          <w:lang w:val="en-US" w:eastAsia="en-AU"/>
        </w:rPr>
        <w:t xml:space="preserve">statement of </w:t>
      </w:r>
      <w:r w:rsidR="009767F7">
        <w:rPr>
          <w:rFonts w:eastAsia="Times New Roman" w:cs="Times New Roman"/>
          <w:sz w:val="24"/>
          <w:szCs w:val="24"/>
          <w:lang w:val="en-US" w:eastAsia="en-AU"/>
        </w:rPr>
        <w:t>costs</w:t>
      </w:r>
      <w:r w:rsidR="005665E2">
        <w:rPr>
          <w:rFonts w:eastAsia="Times New Roman" w:cs="Times New Roman"/>
          <w:sz w:val="24"/>
          <w:szCs w:val="24"/>
          <w:lang w:val="en-US" w:eastAsia="en-AU"/>
        </w:rPr>
        <w:t xml:space="preserve"> and disbursements </w:t>
      </w:r>
      <w:r w:rsidR="005718D9">
        <w:rPr>
          <w:rFonts w:eastAsia="Times New Roman" w:cs="Times New Roman"/>
          <w:sz w:val="24"/>
          <w:szCs w:val="24"/>
          <w:lang w:val="en-US" w:eastAsia="en-AU"/>
        </w:rPr>
        <w:t xml:space="preserve">(commonly by reference to </w:t>
      </w:r>
      <w:r w:rsidR="005665E2">
        <w:rPr>
          <w:rFonts w:eastAsia="Times New Roman" w:cs="Times New Roman"/>
          <w:sz w:val="24"/>
          <w:szCs w:val="24"/>
          <w:lang w:val="en-US" w:eastAsia="en-AU"/>
        </w:rPr>
        <w:t>the short form amount</w:t>
      </w:r>
      <w:r w:rsidR="005718D9">
        <w:rPr>
          <w:rFonts w:eastAsia="Times New Roman" w:cs="Times New Roman"/>
          <w:sz w:val="24"/>
          <w:szCs w:val="24"/>
          <w:lang w:val="en-US" w:eastAsia="en-AU"/>
        </w:rPr>
        <w:t xml:space="preserve"> set out in the </w:t>
      </w:r>
      <w:r w:rsidR="005718D9">
        <w:rPr>
          <w:rFonts w:eastAsia="Times New Roman" w:cs="Times New Roman"/>
          <w:sz w:val="24"/>
          <w:szCs w:val="24"/>
          <w:lang w:val="en-US" w:eastAsia="en-AU"/>
        </w:rPr>
        <w:lastRenderedPageBreak/>
        <w:t>Schedule 3 to the FCA Rules)</w:t>
      </w:r>
      <w:r w:rsidR="009767F7">
        <w:rPr>
          <w:rFonts w:eastAsia="Times New Roman" w:cs="Times New Roman"/>
          <w:sz w:val="24"/>
          <w:szCs w:val="24"/>
          <w:lang w:val="en-US" w:eastAsia="en-AU"/>
        </w:rPr>
        <w:t>.</w:t>
      </w:r>
      <w:r w:rsidR="005665E2">
        <w:rPr>
          <w:rFonts w:eastAsia="Times New Roman" w:cs="Times New Roman"/>
          <w:sz w:val="24"/>
          <w:szCs w:val="24"/>
          <w:lang w:val="en-US" w:eastAsia="en-AU"/>
        </w:rPr>
        <w:t xml:space="preserve"> </w:t>
      </w:r>
      <w:r>
        <w:rPr>
          <w:rFonts w:eastAsia="Times New Roman" w:cs="Times New Roman"/>
          <w:sz w:val="24"/>
          <w:szCs w:val="24"/>
          <w:lang w:val="en-US" w:eastAsia="en-AU"/>
        </w:rPr>
        <w:t>No fee is payable on filing a statement of costs and disbursements.</w:t>
      </w:r>
    </w:p>
    <w:p w14:paraId="12D63C05" w14:textId="77777777" w:rsidR="00122FFE" w:rsidRDefault="00ED2D2D" w:rsidP="009C6C99">
      <w:pPr>
        <w:pStyle w:val="ListParagraph"/>
        <w:keepNext/>
        <w:numPr>
          <w:ilvl w:val="1"/>
          <w:numId w:val="40"/>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 xml:space="preserve">If a winding up order is made, it will be </w:t>
      </w:r>
      <w:r w:rsidR="007C3392">
        <w:rPr>
          <w:rFonts w:eastAsia="Times New Roman" w:cs="Times New Roman"/>
          <w:sz w:val="24"/>
          <w:szCs w:val="24"/>
          <w:lang w:val="en-US" w:eastAsia="en-AU"/>
        </w:rPr>
        <w:t xml:space="preserve">produced by the Court electronically </w:t>
      </w:r>
      <w:r>
        <w:rPr>
          <w:rFonts w:eastAsia="Times New Roman" w:cs="Times New Roman"/>
          <w:sz w:val="24"/>
          <w:szCs w:val="24"/>
          <w:lang w:val="en-US" w:eastAsia="en-AU"/>
        </w:rPr>
        <w:t xml:space="preserve">and </w:t>
      </w:r>
      <w:r w:rsidR="00E54D10">
        <w:rPr>
          <w:rFonts w:eastAsia="Times New Roman" w:cs="Times New Roman"/>
          <w:sz w:val="24"/>
          <w:szCs w:val="24"/>
          <w:lang w:val="en-US" w:eastAsia="en-AU"/>
        </w:rPr>
        <w:t xml:space="preserve">will be available </w:t>
      </w:r>
      <w:r>
        <w:rPr>
          <w:rFonts w:eastAsia="Times New Roman" w:cs="Times New Roman"/>
          <w:sz w:val="24"/>
          <w:szCs w:val="24"/>
          <w:lang w:val="en-US" w:eastAsia="en-AU"/>
        </w:rPr>
        <w:t>online via the Commonwealth Courts Portal (CCP) within 24 hours.</w:t>
      </w:r>
    </w:p>
    <w:p w14:paraId="3FC94237" w14:textId="77777777" w:rsidR="00414DF6" w:rsidRPr="00747745" w:rsidRDefault="003075DF" w:rsidP="00747745">
      <w:pPr>
        <w:pStyle w:val="ListParagraph"/>
        <w:numPr>
          <w:ilvl w:val="0"/>
          <w:numId w:val="30"/>
        </w:numPr>
        <w:spacing w:before="360" w:after="240"/>
        <w:ind w:left="709" w:hanging="709"/>
        <w:contextualSpacing w:val="0"/>
        <w:jc w:val="both"/>
        <w:rPr>
          <w:rFonts w:eastAsia="Times New Roman" w:cs="Arial"/>
          <w:b/>
          <w:sz w:val="28"/>
          <w:szCs w:val="28"/>
          <w:lang w:val="en-US" w:eastAsia="en-AU"/>
        </w:rPr>
      </w:pPr>
      <w:r>
        <w:rPr>
          <w:rFonts w:eastAsia="Times New Roman" w:cs="Arial"/>
          <w:b/>
          <w:sz w:val="28"/>
          <w:szCs w:val="28"/>
          <w:lang w:val="en-US" w:eastAsia="en-AU"/>
        </w:rPr>
        <w:t>Steps to be taken a</w:t>
      </w:r>
      <w:r w:rsidR="00E03CF0" w:rsidRPr="00747745">
        <w:rPr>
          <w:rFonts w:eastAsia="Times New Roman" w:cs="Arial"/>
          <w:b/>
          <w:sz w:val="28"/>
          <w:szCs w:val="28"/>
          <w:lang w:val="en-US" w:eastAsia="en-AU"/>
        </w:rPr>
        <w:t xml:space="preserve">fter the </w:t>
      </w:r>
      <w:r>
        <w:rPr>
          <w:rFonts w:eastAsia="Times New Roman" w:cs="Arial"/>
          <w:b/>
          <w:sz w:val="28"/>
          <w:szCs w:val="28"/>
          <w:lang w:val="en-US" w:eastAsia="en-AU"/>
        </w:rPr>
        <w:t>h</w:t>
      </w:r>
      <w:r w:rsidRPr="00747745">
        <w:rPr>
          <w:rFonts w:eastAsia="Times New Roman" w:cs="Arial"/>
          <w:b/>
          <w:sz w:val="28"/>
          <w:szCs w:val="28"/>
          <w:lang w:val="en-US" w:eastAsia="en-AU"/>
        </w:rPr>
        <w:t xml:space="preserve">earing </w:t>
      </w:r>
      <w:r w:rsidR="00E03CF0" w:rsidRPr="00747745">
        <w:rPr>
          <w:rFonts w:eastAsia="Times New Roman" w:cs="Arial"/>
          <w:b/>
          <w:sz w:val="28"/>
          <w:szCs w:val="28"/>
          <w:lang w:val="en-US" w:eastAsia="en-AU"/>
        </w:rPr>
        <w:t xml:space="preserve">if a </w:t>
      </w:r>
      <w:r w:rsidR="007119AE">
        <w:rPr>
          <w:rFonts w:eastAsia="Times New Roman" w:cs="Arial"/>
          <w:b/>
          <w:sz w:val="28"/>
          <w:szCs w:val="28"/>
          <w:lang w:val="en-US" w:eastAsia="en-AU"/>
        </w:rPr>
        <w:t>W</w:t>
      </w:r>
      <w:r w:rsidR="00E03CF0" w:rsidRPr="00747745">
        <w:rPr>
          <w:rFonts w:eastAsia="Times New Roman" w:cs="Arial"/>
          <w:b/>
          <w:sz w:val="28"/>
          <w:szCs w:val="28"/>
          <w:lang w:val="en-US" w:eastAsia="en-AU"/>
        </w:rPr>
        <w:t xml:space="preserve">inding </w:t>
      </w:r>
      <w:r w:rsidR="007119AE">
        <w:rPr>
          <w:rFonts w:eastAsia="Times New Roman" w:cs="Arial"/>
          <w:b/>
          <w:sz w:val="28"/>
          <w:szCs w:val="28"/>
          <w:lang w:val="en-US" w:eastAsia="en-AU"/>
        </w:rPr>
        <w:t>U</w:t>
      </w:r>
      <w:r w:rsidRPr="00747745">
        <w:rPr>
          <w:rFonts w:eastAsia="Times New Roman" w:cs="Arial"/>
          <w:b/>
          <w:sz w:val="28"/>
          <w:szCs w:val="28"/>
          <w:lang w:val="en-US" w:eastAsia="en-AU"/>
        </w:rPr>
        <w:t xml:space="preserve">p </w:t>
      </w:r>
      <w:r w:rsidR="007119AE">
        <w:rPr>
          <w:rFonts w:eastAsia="Times New Roman" w:cs="Arial"/>
          <w:b/>
          <w:sz w:val="28"/>
          <w:szCs w:val="28"/>
          <w:lang w:val="en-US" w:eastAsia="en-AU"/>
        </w:rPr>
        <w:t>O</w:t>
      </w:r>
      <w:r w:rsidR="00E03CF0" w:rsidRPr="00747745">
        <w:rPr>
          <w:rFonts w:eastAsia="Times New Roman" w:cs="Arial"/>
          <w:b/>
          <w:sz w:val="28"/>
          <w:szCs w:val="28"/>
          <w:lang w:val="en-US" w:eastAsia="en-AU"/>
        </w:rPr>
        <w:t xml:space="preserve">rder is </w:t>
      </w:r>
      <w:r>
        <w:rPr>
          <w:rFonts w:eastAsia="Times New Roman" w:cs="Arial"/>
          <w:b/>
          <w:sz w:val="28"/>
          <w:szCs w:val="28"/>
          <w:lang w:val="en-US" w:eastAsia="en-AU"/>
        </w:rPr>
        <w:t>m</w:t>
      </w:r>
      <w:r w:rsidR="00E03CF0" w:rsidRPr="00747745">
        <w:rPr>
          <w:rFonts w:eastAsia="Times New Roman" w:cs="Arial"/>
          <w:b/>
          <w:sz w:val="28"/>
          <w:szCs w:val="28"/>
          <w:lang w:val="en-US" w:eastAsia="en-AU"/>
        </w:rPr>
        <w:t xml:space="preserve">ade </w:t>
      </w:r>
    </w:p>
    <w:p w14:paraId="26FE0CE0" w14:textId="77777777" w:rsidR="005803CB" w:rsidRPr="00AF325B" w:rsidRDefault="003075DF" w:rsidP="00794817">
      <w:pPr>
        <w:pStyle w:val="ListParagraph"/>
        <w:numPr>
          <w:ilvl w:val="1"/>
          <w:numId w:val="46"/>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The plaintiff</w:t>
      </w:r>
      <w:r w:rsidRPr="00AF325B">
        <w:rPr>
          <w:rFonts w:eastAsia="Times New Roman" w:cs="Times New Roman"/>
          <w:sz w:val="24"/>
          <w:szCs w:val="24"/>
          <w:lang w:val="en-US" w:eastAsia="en-AU"/>
        </w:rPr>
        <w:t xml:space="preserve"> </w:t>
      </w:r>
      <w:r w:rsidR="005803CB" w:rsidRPr="00AF325B">
        <w:rPr>
          <w:rFonts w:eastAsia="Times New Roman" w:cs="Times New Roman"/>
          <w:sz w:val="24"/>
          <w:szCs w:val="24"/>
          <w:lang w:val="en-US" w:eastAsia="en-AU"/>
        </w:rPr>
        <w:t>will b</w:t>
      </w:r>
      <w:r w:rsidR="007119AE">
        <w:rPr>
          <w:rFonts w:eastAsia="Times New Roman" w:cs="Times New Roman"/>
          <w:sz w:val="24"/>
          <w:szCs w:val="24"/>
          <w:lang w:val="en-US" w:eastAsia="en-AU"/>
        </w:rPr>
        <w:t>e able to obtain a copy of the Winding Up O</w:t>
      </w:r>
      <w:r w:rsidR="005803CB" w:rsidRPr="00AF325B">
        <w:rPr>
          <w:rFonts w:eastAsia="Times New Roman" w:cs="Times New Roman"/>
          <w:sz w:val="24"/>
          <w:szCs w:val="24"/>
          <w:lang w:val="en-US" w:eastAsia="en-AU"/>
        </w:rPr>
        <w:t xml:space="preserve">rder made through the Commonwealth Courts Portal (CCP). </w:t>
      </w:r>
      <w:r>
        <w:rPr>
          <w:rFonts w:eastAsia="Times New Roman" w:cs="Times New Roman"/>
          <w:sz w:val="24"/>
          <w:szCs w:val="24"/>
          <w:lang w:val="en-US" w:eastAsia="en-AU"/>
        </w:rPr>
        <w:t xml:space="preserve">Information about </w:t>
      </w:r>
      <w:r w:rsidR="002C662F">
        <w:rPr>
          <w:rFonts w:eastAsia="Times New Roman" w:cs="Times New Roman"/>
          <w:sz w:val="24"/>
          <w:szCs w:val="24"/>
          <w:lang w:val="en-US" w:eastAsia="en-AU"/>
        </w:rPr>
        <w:t>registering</w:t>
      </w:r>
      <w:r>
        <w:rPr>
          <w:rFonts w:eastAsia="Times New Roman" w:cs="Times New Roman"/>
          <w:sz w:val="24"/>
          <w:szCs w:val="24"/>
          <w:lang w:val="en-US" w:eastAsia="en-AU"/>
        </w:rPr>
        <w:t xml:space="preserve"> for the CCP is available</w:t>
      </w:r>
      <w:r w:rsidR="007119AE">
        <w:rPr>
          <w:rFonts w:eastAsia="Times New Roman" w:cs="Times New Roman"/>
          <w:sz w:val="24"/>
          <w:szCs w:val="24"/>
          <w:lang w:val="en-US" w:eastAsia="en-AU"/>
        </w:rPr>
        <w:t xml:space="preserve"> on the </w:t>
      </w:r>
      <w:r w:rsidR="007119AE" w:rsidRPr="00D93DEC">
        <w:rPr>
          <w:rFonts w:eastAsia="Times New Roman" w:cs="Times New Roman"/>
          <w:sz w:val="24"/>
          <w:szCs w:val="24"/>
          <w:lang w:val="en-US" w:eastAsia="en-AU"/>
        </w:rPr>
        <w:t>Court's website</w:t>
      </w:r>
      <w:r w:rsidR="005803CB" w:rsidRPr="00AF325B">
        <w:rPr>
          <w:rFonts w:eastAsia="Times New Roman" w:cs="Times New Roman"/>
          <w:sz w:val="24"/>
          <w:szCs w:val="24"/>
          <w:lang w:val="en-US" w:eastAsia="en-AU"/>
        </w:rPr>
        <w:t>.</w:t>
      </w:r>
    </w:p>
    <w:p w14:paraId="7B40BF7E" w14:textId="0766A68A" w:rsidR="00414DF6" w:rsidRPr="007119AE" w:rsidRDefault="00892BD9" w:rsidP="001C5EC7">
      <w:pPr>
        <w:keepNext/>
        <w:spacing w:after="240"/>
        <w:ind w:firstLine="720"/>
        <w:jc w:val="both"/>
        <w:outlineLvl w:val="2"/>
        <w:rPr>
          <w:rFonts w:eastAsia="Times New Roman" w:cs="Arial"/>
          <w:i/>
          <w:sz w:val="24"/>
          <w:szCs w:val="24"/>
          <w:lang w:val="en-US" w:eastAsia="en-AU"/>
        </w:rPr>
      </w:pPr>
      <w:r w:rsidRPr="007119AE">
        <w:rPr>
          <w:rFonts w:eastAsia="Times New Roman" w:cs="Arial"/>
          <w:i/>
          <w:sz w:val="24"/>
          <w:szCs w:val="24"/>
          <w:lang w:val="en-US" w:eastAsia="en-AU"/>
        </w:rPr>
        <w:t xml:space="preserve">Notification of </w:t>
      </w:r>
      <w:r w:rsidR="001C494D">
        <w:rPr>
          <w:rFonts w:eastAsia="Times New Roman" w:cs="Arial"/>
          <w:i/>
          <w:sz w:val="24"/>
          <w:szCs w:val="24"/>
          <w:lang w:val="en-US" w:eastAsia="en-AU"/>
        </w:rPr>
        <w:t>l</w:t>
      </w:r>
      <w:r w:rsidR="00414DF6" w:rsidRPr="007119AE">
        <w:rPr>
          <w:rFonts w:eastAsia="Times New Roman" w:cs="Arial"/>
          <w:i/>
          <w:sz w:val="24"/>
          <w:szCs w:val="24"/>
          <w:lang w:val="en-US" w:eastAsia="en-AU"/>
        </w:rPr>
        <w:t xml:space="preserve">iquidator </w:t>
      </w:r>
    </w:p>
    <w:p w14:paraId="7DFF47F8" w14:textId="77777777" w:rsidR="00414DF6" w:rsidRPr="00AF325B" w:rsidRDefault="00C44D2C" w:rsidP="00794817">
      <w:pPr>
        <w:pStyle w:val="ListParagraph"/>
        <w:numPr>
          <w:ilvl w:val="1"/>
          <w:numId w:val="46"/>
        </w:numPr>
        <w:spacing w:after="240"/>
        <w:ind w:left="709" w:hanging="709"/>
        <w:contextualSpacing w:val="0"/>
        <w:jc w:val="both"/>
        <w:rPr>
          <w:rFonts w:eastAsia="Times New Roman" w:cs="Times New Roman"/>
          <w:sz w:val="24"/>
          <w:szCs w:val="24"/>
          <w:lang w:val="en-US" w:eastAsia="en-AU"/>
        </w:rPr>
      </w:pPr>
      <w:r>
        <w:rPr>
          <w:rFonts w:eastAsia="Times New Roman" w:cs="Times New Roman"/>
          <w:sz w:val="24"/>
          <w:szCs w:val="24"/>
          <w:lang w:val="en-US" w:eastAsia="en-AU"/>
        </w:rPr>
        <w:t>The plaintiff should contact</w:t>
      </w:r>
      <w:r w:rsidRPr="00AF325B">
        <w:rPr>
          <w:rFonts w:eastAsia="Times New Roman" w:cs="Times New Roman"/>
          <w:sz w:val="24"/>
          <w:szCs w:val="24"/>
          <w:lang w:val="en-US" w:eastAsia="en-AU"/>
        </w:rPr>
        <w:t xml:space="preserve"> </w:t>
      </w:r>
      <w:r w:rsidR="00414DF6" w:rsidRPr="00AF325B">
        <w:rPr>
          <w:rFonts w:eastAsia="Times New Roman" w:cs="Times New Roman"/>
          <w:sz w:val="24"/>
          <w:szCs w:val="24"/>
          <w:lang w:val="en-US" w:eastAsia="en-AU"/>
        </w:rPr>
        <w:t xml:space="preserve">the liquidator and inform them </w:t>
      </w:r>
      <w:r w:rsidR="009C06B1">
        <w:rPr>
          <w:rFonts w:eastAsia="Times New Roman" w:cs="Times New Roman"/>
          <w:sz w:val="24"/>
          <w:szCs w:val="24"/>
          <w:lang w:val="en-US" w:eastAsia="en-AU"/>
        </w:rPr>
        <w:t>of the order</w:t>
      </w:r>
      <w:r w:rsidR="00414DF6" w:rsidRPr="00AF325B">
        <w:rPr>
          <w:rFonts w:eastAsia="Times New Roman" w:cs="Times New Roman"/>
          <w:sz w:val="24"/>
          <w:szCs w:val="24"/>
          <w:lang w:val="en-US" w:eastAsia="en-AU"/>
        </w:rPr>
        <w:t xml:space="preserve"> no later than the day after the day the winding up order is made. </w:t>
      </w:r>
    </w:p>
    <w:p w14:paraId="4578F765" w14:textId="77777777" w:rsidR="00414DF6" w:rsidRPr="007119AE" w:rsidRDefault="00892BD9" w:rsidP="001C5EC7">
      <w:pPr>
        <w:keepNext/>
        <w:spacing w:after="240"/>
        <w:ind w:firstLine="720"/>
        <w:jc w:val="both"/>
        <w:outlineLvl w:val="2"/>
        <w:rPr>
          <w:rFonts w:eastAsia="Times New Roman" w:cs="Arial"/>
          <w:i/>
          <w:sz w:val="24"/>
          <w:szCs w:val="24"/>
          <w:lang w:val="en-US" w:eastAsia="en-AU"/>
        </w:rPr>
      </w:pPr>
      <w:r w:rsidRPr="007119AE">
        <w:rPr>
          <w:rFonts w:eastAsia="Times New Roman" w:cs="Arial"/>
          <w:i/>
          <w:sz w:val="24"/>
          <w:szCs w:val="24"/>
          <w:lang w:val="en-US" w:eastAsia="en-AU"/>
        </w:rPr>
        <w:t>Notification of ASIC</w:t>
      </w:r>
    </w:p>
    <w:p w14:paraId="4CB7B2BC" w14:textId="41C3728F" w:rsidR="00414DF6" w:rsidRPr="00AF325B" w:rsidRDefault="00414DF6" w:rsidP="00794817">
      <w:pPr>
        <w:pStyle w:val="ListParagraph"/>
        <w:numPr>
          <w:ilvl w:val="1"/>
          <w:numId w:val="46"/>
        </w:numPr>
        <w:spacing w:after="240"/>
        <w:ind w:left="709" w:hanging="709"/>
        <w:contextualSpacing w:val="0"/>
        <w:jc w:val="both"/>
        <w:rPr>
          <w:rFonts w:eastAsia="Times New Roman" w:cs="Times New Roman"/>
          <w:sz w:val="24"/>
          <w:szCs w:val="24"/>
          <w:lang w:val="en-US" w:eastAsia="en-AU"/>
        </w:rPr>
      </w:pPr>
      <w:r w:rsidRPr="00AF325B">
        <w:rPr>
          <w:rFonts w:eastAsia="Times New Roman" w:cs="Times New Roman"/>
          <w:sz w:val="24"/>
          <w:szCs w:val="24"/>
          <w:lang w:val="en-US" w:eastAsia="en-AU"/>
        </w:rPr>
        <w:t>Within 2 business days of the making of the order</w:t>
      </w:r>
      <w:r w:rsidR="00AA32CA" w:rsidRPr="00AF325B">
        <w:rPr>
          <w:rFonts w:eastAsia="Times New Roman" w:cs="Times New Roman"/>
          <w:sz w:val="24"/>
          <w:szCs w:val="24"/>
          <w:lang w:val="en-US" w:eastAsia="en-AU"/>
        </w:rPr>
        <w:t xml:space="preserve">, </w:t>
      </w:r>
      <w:r w:rsidR="00892BD9">
        <w:rPr>
          <w:rFonts w:eastAsia="Times New Roman" w:cs="Times New Roman"/>
          <w:sz w:val="24"/>
          <w:szCs w:val="24"/>
          <w:lang w:val="en-US" w:eastAsia="en-AU"/>
        </w:rPr>
        <w:t>the plaintiff</w:t>
      </w:r>
      <w:r w:rsidR="00892BD9" w:rsidRPr="00AF325B">
        <w:rPr>
          <w:rFonts w:eastAsia="Times New Roman" w:cs="Times New Roman"/>
          <w:sz w:val="24"/>
          <w:szCs w:val="24"/>
          <w:lang w:val="en-US" w:eastAsia="en-AU"/>
        </w:rPr>
        <w:t xml:space="preserve"> </w:t>
      </w:r>
      <w:r w:rsidR="00AA32CA" w:rsidRPr="00AF325B">
        <w:rPr>
          <w:rFonts w:eastAsia="Times New Roman" w:cs="Times New Roman"/>
          <w:sz w:val="24"/>
          <w:szCs w:val="24"/>
          <w:lang w:val="en-US" w:eastAsia="en-AU"/>
        </w:rPr>
        <w:t xml:space="preserve">should </w:t>
      </w:r>
      <w:r w:rsidRPr="00AF325B">
        <w:rPr>
          <w:rFonts w:eastAsia="Times New Roman" w:cs="Times New Roman"/>
          <w:sz w:val="24"/>
          <w:szCs w:val="24"/>
          <w:lang w:val="en-US" w:eastAsia="en-AU"/>
        </w:rPr>
        <w:t xml:space="preserve">lodge with </w:t>
      </w:r>
      <w:hyperlink r:id="rId19" w:history="1">
        <w:r w:rsidRPr="00AF325B">
          <w:rPr>
            <w:rFonts w:eastAsia="Times New Roman" w:cs="Times New Roman"/>
            <w:sz w:val="24"/>
            <w:szCs w:val="24"/>
            <w:lang w:val="en-US" w:eastAsia="en-AU"/>
          </w:rPr>
          <w:t>ASIC</w:t>
        </w:r>
      </w:hyperlink>
      <w:r w:rsidRPr="00AF325B">
        <w:rPr>
          <w:rFonts w:eastAsia="Times New Roman" w:cs="Times New Roman"/>
          <w:sz w:val="24"/>
          <w:szCs w:val="24"/>
          <w:lang w:val="en-US" w:eastAsia="en-AU"/>
        </w:rPr>
        <w:t xml:space="preserve"> a notice of the making of the order which states the date on </w:t>
      </w:r>
      <w:r w:rsidR="00640B92">
        <w:rPr>
          <w:rFonts w:eastAsia="Times New Roman" w:cs="Times New Roman"/>
          <w:sz w:val="24"/>
          <w:szCs w:val="24"/>
          <w:lang w:val="en-US" w:eastAsia="en-AU"/>
        </w:rPr>
        <w:t xml:space="preserve">which the order was made and </w:t>
      </w:r>
      <w:r w:rsidRPr="00AF325B">
        <w:rPr>
          <w:rFonts w:eastAsia="Times New Roman" w:cs="Times New Roman"/>
          <w:sz w:val="24"/>
          <w:szCs w:val="24"/>
          <w:lang w:val="en-US" w:eastAsia="en-AU"/>
        </w:rPr>
        <w:t xml:space="preserve">the name and address of the liquidator. </w:t>
      </w:r>
      <w:r w:rsidR="00436E2F">
        <w:rPr>
          <w:rFonts w:eastAsia="Times New Roman" w:cs="Times New Roman"/>
          <w:sz w:val="24"/>
          <w:szCs w:val="24"/>
          <w:lang w:val="en-US" w:eastAsia="en-AU"/>
        </w:rPr>
        <w:t>The plaintiff</w:t>
      </w:r>
      <w:r w:rsidR="00436E2F" w:rsidRPr="00AF325B">
        <w:rPr>
          <w:rFonts w:eastAsia="Times New Roman" w:cs="Times New Roman"/>
          <w:sz w:val="24"/>
          <w:szCs w:val="24"/>
          <w:lang w:val="en-US" w:eastAsia="en-AU"/>
        </w:rPr>
        <w:t xml:space="preserve"> </w:t>
      </w:r>
      <w:r w:rsidRPr="00AF325B">
        <w:rPr>
          <w:rFonts w:eastAsia="Times New Roman" w:cs="Times New Roman"/>
          <w:sz w:val="24"/>
          <w:szCs w:val="24"/>
          <w:lang w:val="en-US" w:eastAsia="en-AU"/>
        </w:rPr>
        <w:t xml:space="preserve">can use </w:t>
      </w:r>
      <w:r w:rsidR="003D7D27">
        <w:rPr>
          <w:rFonts w:eastAsia="Times New Roman" w:cs="Times New Roman"/>
          <w:sz w:val="24"/>
          <w:szCs w:val="24"/>
          <w:lang w:val="en-US" w:eastAsia="en-AU"/>
        </w:rPr>
        <w:t xml:space="preserve">Corporations Regulations </w:t>
      </w:r>
      <w:r w:rsidRPr="00AF325B">
        <w:rPr>
          <w:rFonts w:eastAsia="Times New Roman" w:cs="Times New Roman"/>
          <w:sz w:val="24"/>
          <w:szCs w:val="24"/>
          <w:lang w:val="en-US" w:eastAsia="en-AU"/>
        </w:rPr>
        <w:t xml:space="preserve">Form 519 to do this. </w:t>
      </w:r>
    </w:p>
    <w:p w14:paraId="3E50B65B" w14:textId="77777777" w:rsidR="007E4DE1" w:rsidRPr="007119AE" w:rsidRDefault="007E4DE1" w:rsidP="001C5EC7">
      <w:pPr>
        <w:keepNext/>
        <w:spacing w:after="240"/>
        <w:ind w:firstLine="720"/>
        <w:jc w:val="both"/>
        <w:outlineLvl w:val="2"/>
        <w:rPr>
          <w:rFonts w:eastAsia="Times New Roman" w:cs="Arial"/>
          <w:i/>
          <w:sz w:val="24"/>
          <w:szCs w:val="24"/>
          <w:lang w:val="en-US" w:eastAsia="en-AU"/>
        </w:rPr>
      </w:pPr>
      <w:r w:rsidRPr="007119AE">
        <w:rPr>
          <w:rFonts w:eastAsia="Times New Roman" w:cs="Arial"/>
          <w:i/>
          <w:sz w:val="24"/>
          <w:szCs w:val="24"/>
          <w:lang w:val="en-US" w:eastAsia="en-AU"/>
        </w:rPr>
        <w:t xml:space="preserve">Other </w:t>
      </w:r>
      <w:r w:rsidR="00E03CF0" w:rsidRPr="007119AE">
        <w:rPr>
          <w:rFonts w:eastAsia="Times New Roman" w:cs="Arial"/>
          <w:i/>
          <w:sz w:val="24"/>
          <w:szCs w:val="24"/>
          <w:lang w:val="en-US" w:eastAsia="en-AU"/>
        </w:rPr>
        <w:t>M</w:t>
      </w:r>
      <w:r w:rsidRPr="007119AE">
        <w:rPr>
          <w:rFonts w:eastAsia="Times New Roman" w:cs="Arial"/>
          <w:i/>
          <w:sz w:val="24"/>
          <w:szCs w:val="24"/>
          <w:lang w:val="en-US" w:eastAsia="en-AU"/>
        </w:rPr>
        <w:t>atters</w:t>
      </w:r>
    </w:p>
    <w:p w14:paraId="397095A7" w14:textId="60707972" w:rsidR="00414DF6" w:rsidRPr="005B1ED6" w:rsidRDefault="00414DF6" w:rsidP="005B1ED6">
      <w:pPr>
        <w:pStyle w:val="ListParagraph"/>
        <w:numPr>
          <w:ilvl w:val="1"/>
          <w:numId w:val="46"/>
        </w:numPr>
        <w:spacing w:after="240"/>
        <w:ind w:left="709" w:hanging="709"/>
        <w:contextualSpacing w:val="0"/>
        <w:jc w:val="both"/>
        <w:rPr>
          <w:rFonts w:eastAsia="Times New Roman" w:cs="Times New Roman"/>
          <w:sz w:val="24"/>
          <w:szCs w:val="24"/>
          <w:lang w:val="en-US" w:eastAsia="en-AU"/>
        </w:rPr>
      </w:pPr>
      <w:r w:rsidRPr="00AF325B">
        <w:rPr>
          <w:rFonts w:eastAsia="Times New Roman" w:cs="Times New Roman"/>
          <w:sz w:val="24"/>
          <w:szCs w:val="24"/>
          <w:lang w:val="en-US" w:eastAsia="en-AU"/>
        </w:rPr>
        <w:t>Within 7 days of the winding up order</w:t>
      </w:r>
      <w:r w:rsidR="00AA32CA" w:rsidRPr="00AF325B">
        <w:rPr>
          <w:rFonts w:eastAsia="Times New Roman" w:cs="Times New Roman"/>
          <w:sz w:val="24"/>
          <w:szCs w:val="24"/>
          <w:lang w:val="en-US" w:eastAsia="en-AU"/>
        </w:rPr>
        <w:t xml:space="preserve">, </w:t>
      </w:r>
      <w:r w:rsidR="00892BD9">
        <w:rPr>
          <w:rFonts w:eastAsia="Times New Roman" w:cs="Times New Roman"/>
          <w:sz w:val="24"/>
          <w:szCs w:val="24"/>
          <w:lang w:val="en-US" w:eastAsia="en-AU"/>
        </w:rPr>
        <w:t>the plaintiff</w:t>
      </w:r>
      <w:r w:rsidR="00892BD9" w:rsidRPr="00AF325B">
        <w:rPr>
          <w:rFonts w:eastAsia="Times New Roman" w:cs="Times New Roman"/>
          <w:sz w:val="24"/>
          <w:szCs w:val="24"/>
          <w:lang w:val="en-US" w:eastAsia="en-AU"/>
        </w:rPr>
        <w:t xml:space="preserve"> </w:t>
      </w:r>
      <w:r w:rsidR="00AA32CA" w:rsidRPr="00AF325B">
        <w:rPr>
          <w:rFonts w:eastAsia="Times New Roman" w:cs="Times New Roman"/>
          <w:sz w:val="24"/>
          <w:szCs w:val="24"/>
          <w:lang w:val="en-US" w:eastAsia="en-AU"/>
        </w:rPr>
        <w:t>should</w:t>
      </w:r>
      <w:r w:rsidR="005B1ED6">
        <w:rPr>
          <w:rFonts w:eastAsia="Times New Roman" w:cs="Times New Roman"/>
          <w:sz w:val="24"/>
          <w:szCs w:val="24"/>
          <w:lang w:val="en-US" w:eastAsia="en-AU"/>
        </w:rPr>
        <w:t xml:space="preserve">  also </w:t>
      </w:r>
      <w:r w:rsidR="009C06B1" w:rsidRPr="005B1ED6">
        <w:rPr>
          <w:rFonts w:eastAsia="Times New Roman" w:cs="Times New Roman"/>
          <w:sz w:val="24"/>
          <w:szCs w:val="24"/>
          <w:lang w:val="en-US" w:eastAsia="en-AU"/>
        </w:rPr>
        <w:t>s</w:t>
      </w:r>
      <w:r w:rsidRPr="005B1ED6">
        <w:rPr>
          <w:rFonts w:eastAsia="Times New Roman" w:cs="Times New Roman"/>
          <w:sz w:val="24"/>
          <w:szCs w:val="24"/>
          <w:lang w:val="en-US" w:eastAsia="en-AU"/>
        </w:rPr>
        <w:t xml:space="preserve">erve a copy of the order on the company and </w:t>
      </w:r>
      <w:r w:rsidR="00FD5C08">
        <w:rPr>
          <w:rFonts w:eastAsia="Times New Roman" w:cs="Times New Roman"/>
          <w:sz w:val="24"/>
          <w:szCs w:val="24"/>
          <w:lang w:val="en-US" w:eastAsia="en-AU"/>
        </w:rPr>
        <w:t xml:space="preserve">on </w:t>
      </w:r>
      <w:r w:rsidRPr="005B1ED6">
        <w:rPr>
          <w:rFonts w:eastAsia="Times New Roman" w:cs="Times New Roman"/>
          <w:sz w:val="24"/>
          <w:szCs w:val="24"/>
          <w:lang w:val="en-US" w:eastAsia="en-AU"/>
        </w:rPr>
        <w:t>any other person the Court</w:t>
      </w:r>
      <w:r w:rsidR="00892BD9" w:rsidRPr="005B1ED6">
        <w:rPr>
          <w:rFonts w:eastAsia="Times New Roman" w:cs="Times New Roman"/>
          <w:sz w:val="24"/>
          <w:szCs w:val="24"/>
          <w:lang w:val="en-US" w:eastAsia="en-AU"/>
        </w:rPr>
        <w:t xml:space="preserve"> may have directed</w:t>
      </w:r>
      <w:r w:rsidR="005B1ED6">
        <w:rPr>
          <w:rFonts w:eastAsia="Times New Roman" w:cs="Times New Roman"/>
          <w:sz w:val="24"/>
          <w:szCs w:val="24"/>
          <w:lang w:val="en-US" w:eastAsia="en-AU"/>
        </w:rPr>
        <w:t xml:space="preserve">.  </w:t>
      </w:r>
    </w:p>
    <w:p w14:paraId="5BE4B684" w14:textId="77777777" w:rsidR="0089107D" w:rsidRPr="0089107D" w:rsidRDefault="0089107D" w:rsidP="0089107D">
      <w:pPr>
        <w:spacing w:after="240"/>
        <w:jc w:val="both"/>
        <w:rPr>
          <w:rFonts w:eastAsia="Times New Roman" w:cs="Times New Roman"/>
          <w:sz w:val="24"/>
          <w:szCs w:val="24"/>
          <w:lang w:val="en-US" w:eastAsia="en-AU"/>
        </w:rPr>
      </w:pPr>
    </w:p>
    <w:sectPr w:rsidR="0089107D" w:rsidRPr="0089107D" w:rsidSect="005B1ED6">
      <w:footerReference w:type="even" r:id="rId20"/>
      <w:footerReference w:type="default" r:id="rId21"/>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68EBE" w14:textId="77777777" w:rsidR="004C4F6A" w:rsidRDefault="004C4F6A" w:rsidP="00DA2A03">
      <w:pPr>
        <w:spacing w:after="0" w:line="240" w:lineRule="auto"/>
      </w:pPr>
      <w:r>
        <w:separator/>
      </w:r>
    </w:p>
  </w:endnote>
  <w:endnote w:type="continuationSeparator" w:id="0">
    <w:p w14:paraId="172EE32C" w14:textId="77777777" w:rsidR="004C4F6A" w:rsidRDefault="004C4F6A" w:rsidP="00DA2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E8162" w14:textId="77777777" w:rsidR="005B1ED6" w:rsidRDefault="005B1ED6" w:rsidP="005B1ED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506482B" w14:textId="77777777" w:rsidR="005B1ED6" w:rsidRDefault="005B1ED6" w:rsidP="00DA2A03">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C4CC4" w14:textId="77777777" w:rsidR="00E87D3A" w:rsidRDefault="00E87D3A" w:rsidP="004E5C2E">
    <w:pPr>
      <w:pStyle w:val="Footer"/>
      <w:rPr>
        <w:rStyle w:val="PageNumber"/>
        <w:sz w:val="20"/>
      </w:rPr>
    </w:pPr>
    <w:r w:rsidRPr="00CC6C3F">
      <w:rPr>
        <w:rStyle w:val="PageNumber"/>
        <w:sz w:val="20"/>
      </w:rPr>
      <w:t>Co</w:t>
    </w:r>
    <w:r>
      <w:rPr>
        <w:rStyle w:val="PageNumber"/>
        <w:sz w:val="20"/>
      </w:rPr>
      <w:t xml:space="preserve">rporations Information Sheet 1: </w:t>
    </w:r>
    <w:r w:rsidRPr="00CC6C3F">
      <w:rPr>
        <w:rStyle w:val="PageNumber"/>
        <w:sz w:val="20"/>
      </w:rPr>
      <w:t>Winding Up Proceedings Based on an Unsatisfied Statutory Demand</w:t>
    </w:r>
  </w:p>
  <w:p w14:paraId="3609F1E4" w14:textId="4580DF84" w:rsidR="00E87D3A" w:rsidRPr="00E87D3A" w:rsidRDefault="00E87D3A" w:rsidP="00E87D3A">
    <w:pPr>
      <w:pStyle w:val="Footer"/>
      <w:framePr w:wrap="around" w:vAnchor="text" w:hAnchor="page" w:x="10351" w:y="15"/>
      <w:rPr>
        <w:rStyle w:val="PageNumber"/>
        <w:sz w:val="20"/>
        <w:szCs w:val="20"/>
      </w:rPr>
    </w:pPr>
    <w:r w:rsidRPr="00E87D3A">
      <w:rPr>
        <w:rStyle w:val="PageNumber"/>
        <w:sz w:val="20"/>
        <w:szCs w:val="20"/>
      </w:rPr>
      <w:fldChar w:fldCharType="begin"/>
    </w:r>
    <w:r w:rsidRPr="00E87D3A">
      <w:rPr>
        <w:rStyle w:val="PageNumber"/>
        <w:sz w:val="20"/>
        <w:szCs w:val="20"/>
      </w:rPr>
      <w:instrText xml:space="preserve">PAGE  </w:instrText>
    </w:r>
    <w:r w:rsidRPr="00E87D3A">
      <w:rPr>
        <w:rStyle w:val="PageNumber"/>
        <w:sz w:val="20"/>
        <w:szCs w:val="20"/>
      </w:rPr>
      <w:fldChar w:fldCharType="separate"/>
    </w:r>
    <w:r w:rsidR="00AF0817">
      <w:rPr>
        <w:rStyle w:val="PageNumber"/>
        <w:noProof/>
        <w:sz w:val="20"/>
        <w:szCs w:val="20"/>
      </w:rPr>
      <w:t>1</w:t>
    </w:r>
    <w:r w:rsidRPr="00E87D3A">
      <w:rPr>
        <w:rStyle w:val="PageNumber"/>
        <w:sz w:val="20"/>
        <w:szCs w:val="20"/>
      </w:rPr>
      <w:fldChar w:fldCharType="end"/>
    </w:r>
  </w:p>
  <w:p w14:paraId="369186E1" w14:textId="50A8D89C" w:rsidR="005B1ED6" w:rsidRPr="00E87D3A" w:rsidRDefault="007042DD" w:rsidP="00E87D3A">
    <w:pPr>
      <w:pStyle w:val="Footer"/>
      <w:tabs>
        <w:tab w:val="clear" w:pos="9026"/>
        <w:tab w:val="right" w:pos="9020"/>
      </w:tabs>
      <w:rPr>
        <w:sz w:val="20"/>
      </w:rPr>
    </w:pPr>
    <w:r>
      <w:rPr>
        <w:rStyle w:val="PageNumber"/>
        <w:sz w:val="20"/>
      </w:rPr>
      <w:t>December 2022</w:t>
    </w:r>
    <w:r w:rsidR="00E87D3A">
      <w:rPr>
        <w:rStyle w:val="PageNumbe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0316B" w14:textId="77777777" w:rsidR="004C4F6A" w:rsidRDefault="004C4F6A" w:rsidP="00DA2A03">
      <w:pPr>
        <w:spacing w:after="0" w:line="240" w:lineRule="auto"/>
      </w:pPr>
      <w:r>
        <w:separator/>
      </w:r>
    </w:p>
  </w:footnote>
  <w:footnote w:type="continuationSeparator" w:id="0">
    <w:p w14:paraId="24A49AE2" w14:textId="77777777" w:rsidR="004C4F6A" w:rsidRDefault="004C4F6A" w:rsidP="00DA2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E43"/>
    <w:multiLevelType w:val="multilevel"/>
    <w:tmpl w:val="3698C6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1C72E2"/>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AD59BC"/>
    <w:multiLevelType w:val="hybridMultilevel"/>
    <w:tmpl w:val="C27A77EC"/>
    <w:lvl w:ilvl="0" w:tplc="08FC222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173856"/>
    <w:multiLevelType w:val="hybridMultilevel"/>
    <w:tmpl w:val="55982322"/>
    <w:lvl w:ilvl="0" w:tplc="B8868B9C">
      <w:start w:val="1"/>
      <w:numFmt w:val="lowerLetter"/>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A736C4"/>
    <w:multiLevelType w:val="hybridMultilevel"/>
    <w:tmpl w:val="8BEC4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B004BB"/>
    <w:multiLevelType w:val="hybridMultilevel"/>
    <w:tmpl w:val="B65EE2A4"/>
    <w:lvl w:ilvl="0" w:tplc="EEBEA7E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6" w15:restartNumberingAfterBreak="0">
    <w:nsid w:val="153F509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22374"/>
    <w:multiLevelType w:val="hybridMultilevel"/>
    <w:tmpl w:val="D94CF8F8"/>
    <w:lvl w:ilvl="0" w:tplc="B424746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464922"/>
    <w:multiLevelType w:val="hybridMultilevel"/>
    <w:tmpl w:val="C40A437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B3F66E9"/>
    <w:multiLevelType w:val="hybridMultilevel"/>
    <w:tmpl w:val="B65EE2A4"/>
    <w:lvl w:ilvl="0" w:tplc="EEBEA7E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1C1A4E27"/>
    <w:multiLevelType w:val="hybridMultilevel"/>
    <w:tmpl w:val="49D625FE"/>
    <w:lvl w:ilvl="0" w:tplc="EEBEA7E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15:restartNumberingAfterBreak="0">
    <w:nsid w:val="21F56C6F"/>
    <w:multiLevelType w:val="multilevel"/>
    <w:tmpl w:val="55949F5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84176F"/>
    <w:multiLevelType w:val="multilevel"/>
    <w:tmpl w:val="7E3C2C46"/>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3" w15:restartNumberingAfterBreak="0">
    <w:nsid w:val="257F2563"/>
    <w:multiLevelType w:val="hybridMultilevel"/>
    <w:tmpl w:val="A42E2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2153FD"/>
    <w:multiLevelType w:val="hybridMultilevel"/>
    <w:tmpl w:val="A2BCB35C"/>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E9F4FE1"/>
    <w:multiLevelType w:val="multilevel"/>
    <w:tmpl w:val="63D207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0654C6C"/>
    <w:multiLevelType w:val="hybridMultilevel"/>
    <w:tmpl w:val="F1DE5A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1210C72"/>
    <w:multiLevelType w:val="multilevel"/>
    <w:tmpl w:val="655633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646F51"/>
    <w:multiLevelType w:val="hybridMultilevel"/>
    <w:tmpl w:val="7D48A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1A6331"/>
    <w:multiLevelType w:val="hybridMultilevel"/>
    <w:tmpl w:val="2878EA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C793DB3"/>
    <w:multiLevelType w:val="hybridMultilevel"/>
    <w:tmpl w:val="B65EE2A4"/>
    <w:lvl w:ilvl="0" w:tplc="EEBEA7E6">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1" w15:restartNumberingAfterBreak="0">
    <w:nsid w:val="3CFD7169"/>
    <w:multiLevelType w:val="hybridMultilevel"/>
    <w:tmpl w:val="E200D2DC"/>
    <w:lvl w:ilvl="0" w:tplc="C48A7AA8">
      <w:start w:val="1"/>
      <w:numFmt w:val="lowerLetter"/>
      <w:lvlText w:val="(%1)"/>
      <w:lvlJc w:val="left"/>
      <w:pPr>
        <w:ind w:left="1080" w:hanging="360"/>
      </w:pPr>
      <w:rPr>
        <w:rFonts w:asciiTheme="minorHAnsi" w:eastAsia="Times New Roman" w:hAnsiTheme="minorHAnsi"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F821939"/>
    <w:multiLevelType w:val="hybridMultilevel"/>
    <w:tmpl w:val="8B1292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AE24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C94108"/>
    <w:multiLevelType w:val="multilevel"/>
    <w:tmpl w:val="42E82584"/>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4FE7402"/>
    <w:multiLevelType w:val="hybridMultilevel"/>
    <w:tmpl w:val="8230127A"/>
    <w:lvl w:ilvl="0" w:tplc="9A4861E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06099E"/>
    <w:multiLevelType w:val="multilevel"/>
    <w:tmpl w:val="250A5E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89C5687"/>
    <w:multiLevelType w:val="multilevel"/>
    <w:tmpl w:val="6E5EAA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0964A95"/>
    <w:multiLevelType w:val="hybridMultilevel"/>
    <w:tmpl w:val="E200D2DC"/>
    <w:lvl w:ilvl="0" w:tplc="C48A7AA8">
      <w:start w:val="1"/>
      <w:numFmt w:val="lowerLetter"/>
      <w:lvlText w:val="(%1)"/>
      <w:lvlJc w:val="left"/>
      <w:pPr>
        <w:ind w:left="1080" w:hanging="360"/>
      </w:pPr>
      <w:rPr>
        <w:rFonts w:asciiTheme="minorHAnsi" w:eastAsia="Times New Roman" w:hAnsiTheme="minorHAnsi"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A5A6B49"/>
    <w:multiLevelType w:val="hybridMultilevel"/>
    <w:tmpl w:val="720CC0B4"/>
    <w:lvl w:ilvl="0" w:tplc="15F6EB4C">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F224E1"/>
    <w:multiLevelType w:val="hybridMultilevel"/>
    <w:tmpl w:val="E2069EEE"/>
    <w:lvl w:ilvl="0" w:tplc="4EC07B68">
      <w:start w:val="1"/>
      <w:numFmt w:val="decimal"/>
      <w:lvlText w:val="%1."/>
      <w:lvlJc w:val="left"/>
      <w:pPr>
        <w:ind w:left="720" w:hanging="360"/>
      </w:pPr>
      <w:rPr>
        <w:rFonts w:eastAsiaTheme="minorHAnsi"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D44E64"/>
    <w:multiLevelType w:val="multilevel"/>
    <w:tmpl w:val="4E1E6B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910242"/>
    <w:multiLevelType w:val="multilevel"/>
    <w:tmpl w:val="9EC4396A"/>
    <w:lvl w:ilvl="0">
      <w:start w:val="1"/>
      <w:numFmt w:val="lowerLetter"/>
      <w:lvlText w:val="%1)"/>
      <w:lvlJc w:val="left"/>
      <w:pPr>
        <w:ind w:left="927"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367" w:hanging="1800"/>
      </w:pPr>
      <w:rPr>
        <w:rFonts w:hint="default"/>
      </w:rPr>
    </w:lvl>
  </w:abstractNum>
  <w:abstractNum w:abstractNumId="33" w15:restartNumberingAfterBreak="0">
    <w:nsid w:val="67B12D64"/>
    <w:multiLevelType w:val="multilevel"/>
    <w:tmpl w:val="2C9EFAAE"/>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A005BE"/>
    <w:multiLevelType w:val="hybridMultilevel"/>
    <w:tmpl w:val="0D72523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5" w15:restartNumberingAfterBreak="0">
    <w:nsid w:val="6C4022DE"/>
    <w:multiLevelType w:val="hybridMultilevel"/>
    <w:tmpl w:val="83DC387E"/>
    <w:lvl w:ilvl="0" w:tplc="90522820">
      <w:start w:val="1"/>
      <w:numFmt w:val="decimal"/>
      <w:lvlText w:val="%1."/>
      <w:lvlJc w:val="left"/>
      <w:pPr>
        <w:ind w:left="1080" w:hanging="720"/>
      </w:pPr>
      <w:rPr>
        <w:rFonts w:hint="default"/>
      </w:rPr>
    </w:lvl>
    <w:lvl w:ilvl="1" w:tplc="4CF6F7B6">
      <w:start w:val="1"/>
      <w:numFmt w:val="lowerLetter"/>
      <w:lvlText w:val="(%2)"/>
      <w:lvlJc w:val="left"/>
      <w:pPr>
        <w:ind w:left="1800" w:hanging="720"/>
      </w:pPr>
      <w:rPr>
        <w:rFonts w:hint="default"/>
      </w:rPr>
    </w:lvl>
    <w:lvl w:ilvl="2" w:tplc="ACC226F6">
      <w:start w:val="8"/>
      <w:numFmt w:val="bullet"/>
      <w:lvlText w:val="•"/>
      <w:lvlJc w:val="left"/>
      <w:pPr>
        <w:ind w:left="2340" w:hanging="360"/>
      </w:pPr>
      <w:rPr>
        <w:rFonts w:ascii="Calibri" w:eastAsia="Times New Roman" w:hAnsi="Calibri"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E300071"/>
    <w:multiLevelType w:val="hybridMultilevel"/>
    <w:tmpl w:val="59A43C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0D03E13"/>
    <w:multiLevelType w:val="hybridMultilevel"/>
    <w:tmpl w:val="41B65C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8" w15:restartNumberingAfterBreak="0">
    <w:nsid w:val="724F08BD"/>
    <w:multiLevelType w:val="hybridMultilevel"/>
    <w:tmpl w:val="C6C6400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758257A9"/>
    <w:multiLevelType w:val="hybridMultilevel"/>
    <w:tmpl w:val="50CE40E8"/>
    <w:lvl w:ilvl="0" w:tplc="918C3FD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7436C3"/>
    <w:multiLevelType w:val="multilevel"/>
    <w:tmpl w:val="37C4C12E"/>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DC54CE"/>
    <w:multiLevelType w:val="hybridMultilevel"/>
    <w:tmpl w:val="BBDECAD6"/>
    <w:lvl w:ilvl="0" w:tplc="6A70E2B4">
      <w:start w:val="1"/>
      <w:numFmt w:val="lowerLetter"/>
      <w:lvlText w:val="(%1)"/>
      <w:lvlJc w:val="left"/>
      <w:pPr>
        <w:ind w:left="1069" w:hanging="360"/>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2" w15:restartNumberingAfterBreak="0">
    <w:nsid w:val="7E4A3863"/>
    <w:multiLevelType w:val="multilevel"/>
    <w:tmpl w:val="F572A71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22"/>
  </w:num>
  <w:num w:numId="3">
    <w:abstractNumId w:val="36"/>
  </w:num>
  <w:num w:numId="4">
    <w:abstractNumId w:val="23"/>
  </w:num>
  <w:num w:numId="5">
    <w:abstractNumId w:val="35"/>
  </w:num>
  <w:num w:numId="6">
    <w:abstractNumId w:val="2"/>
  </w:num>
  <w:num w:numId="7">
    <w:abstractNumId w:val="39"/>
  </w:num>
  <w:num w:numId="8">
    <w:abstractNumId w:val="25"/>
  </w:num>
  <w:num w:numId="9">
    <w:abstractNumId w:val="7"/>
  </w:num>
  <w:num w:numId="10">
    <w:abstractNumId w:val="28"/>
  </w:num>
  <w:num w:numId="11">
    <w:abstractNumId w:val="14"/>
  </w:num>
  <w:num w:numId="12">
    <w:abstractNumId w:val="6"/>
  </w:num>
  <w:num w:numId="13">
    <w:abstractNumId w:val="17"/>
  </w:num>
  <w:num w:numId="14">
    <w:abstractNumId w:val="8"/>
  </w:num>
  <w:num w:numId="15">
    <w:abstractNumId w:val="12"/>
  </w:num>
  <w:num w:numId="16">
    <w:abstractNumId w:val="26"/>
  </w:num>
  <w:num w:numId="17">
    <w:abstractNumId w:val="37"/>
  </w:num>
  <w:num w:numId="18">
    <w:abstractNumId w:val="31"/>
  </w:num>
  <w:num w:numId="19">
    <w:abstractNumId w:val="0"/>
  </w:num>
  <w:num w:numId="20">
    <w:abstractNumId w:val="29"/>
  </w:num>
  <w:num w:numId="21">
    <w:abstractNumId w:val="40"/>
  </w:num>
  <w:num w:numId="22">
    <w:abstractNumId w:val="1"/>
  </w:num>
  <w:num w:numId="23">
    <w:abstractNumId w:val="19"/>
  </w:num>
  <w:num w:numId="24">
    <w:abstractNumId w:val="18"/>
  </w:num>
  <w:num w:numId="25">
    <w:abstractNumId w:val="27"/>
  </w:num>
  <w:num w:numId="26">
    <w:abstractNumId w:val="32"/>
  </w:num>
  <w:num w:numId="27">
    <w:abstractNumId w:val="34"/>
  </w:num>
  <w:num w:numId="28">
    <w:abstractNumId w:val="16"/>
  </w:num>
  <w:num w:numId="29">
    <w:abstractNumId w:val="30"/>
  </w:num>
  <w:num w:numId="30">
    <w:abstractNumId w:val="42"/>
  </w:num>
  <w:num w:numId="31">
    <w:abstractNumId w:val="15"/>
  </w:num>
  <w:num w:numId="32">
    <w:abstractNumId w:val="24"/>
  </w:num>
  <w:num w:numId="33">
    <w:abstractNumId w:val="13"/>
  </w:num>
  <w:num w:numId="34">
    <w:abstractNumId w:val="21"/>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9"/>
  </w:num>
  <w:num w:numId="38">
    <w:abstractNumId w:val="20"/>
  </w:num>
  <w:num w:numId="39">
    <w:abstractNumId w:val="10"/>
  </w:num>
  <w:num w:numId="40">
    <w:abstractNumId w:val="33"/>
  </w:num>
  <w:num w:numId="41">
    <w:abstractNumId w:val="41"/>
  </w:num>
  <w:num w:numId="42">
    <w:abstractNumId w:val="4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3">
    <w:abstractNumId w:val="42"/>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42"/>
    <w:lvlOverride w:ilvl="0">
      <w:lvl w:ilvl="0">
        <w:start w:val="1"/>
        <w:numFmt w:val="decimal"/>
        <w:lvlText w:val="%1."/>
        <w:lvlJc w:val="left"/>
        <w:pPr>
          <w:ind w:left="360" w:hanging="360"/>
        </w:pPr>
        <w:rPr>
          <w:rFonts w:hint="default"/>
        </w:rPr>
      </w:lvl>
    </w:lvlOverride>
    <w:lvlOverride w:ilvl="1">
      <w:lvl w:ilvl="1">
        <w:start w:val="1"/>
        <w:numFmt w:val="decimal"/>
        <w:lvlText w:val="2.%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42"/>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11"/>
  </w:num>
  <w:num w:numId="47">
    <w:abstractNumId w:val="42"/>
    <w:lvlOverride w:ilvl="0">
      <w:lvl w:ilvl="0">
        <w:start w:val="1"/>
        <w:numFmt w:val="decimal"/>
        <w:lvlText w:val="%1."/>
        <w:lvlJc w:val="left"/>
        <w:pPr>
          <w:ind w:left="360" w:hanging="360"/>
        </w:pPr>
        <w:rPr>
          <w:rFonts w:hint="default"/>
        </w:rPr>
      </w:lvl>
    </w:lvlOverride>
    <w:lvlOverride w:ilvl="1">
      <w:lvl w:ilvl="1">
        <w:start w:val="1"/>
        <w:numFmt w:val="decimal"/>
        <w:lvlText w:val="7.%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DF6"/>
    <w:rsid w:val="0001070E"/>
    <w:rsid w:val="000239F5"/>
    <w:rsid w:val="00024D53"/>
    <w:rsid w:val="00032E2B"/>
    <w:rsid w:val="00034423"/>
    <w:rsid w:val="00050546"/>
    <w:rsid w:val="00050B64"/>
    <w:rsid w:val="00072EE5"/>
    <w:rsid w:val="00074F76"/>
    <w:rsid w:val="00076F1A"/>
    <w:rsid w:val="0008539D"/>
    <w:rsid w:val="000A1891"/>
    <w:rsid w:val="000A5D68"/>
    <w:rsid w:val="000B3EB1"/>
    <w:rsid w:val="000C0097"/>
    <w:rsid w:val="000C2811"/>
    <w:rsid w:val="000C442A"/>
    <w:rsid w:val="000C459C"/>
    <w:rsid w:val="000C4C5E"/>
    <w:rsid w:val="000C7A23"/>
    <w:rsid w:val="000C7AF9"/>
    <w:rsid w:val="000E5C33"/>
    <w:rsid w:val="000F3978"/>
    <w:rsid w:val="000F3EA7"/>
    <w:rsid w:val="000F74E3"/>
    <w:rsid w:val="000F7770"/>
    <w:rsid w:val="00101451"/>
    <w:rsid w:val="00105AB2"/>
    <w:rsid w:val="00105B52"/>
    <w:rsid w:val="00111E3D"/>
    <w:rsid w:val="00116AA6"/>
    <w:rsid w:val="00122FFE"/>
    <w:rsid w:val="00140347"/>
    <w:rsid w:val="00142D95"/>
    <w:rsid w:val="001510F7"/>
    <w:rsid w:val="001749C9"/>
    <w:rsid w:val="001808F4"/>
    <w:rsid w:val="00181578"/>
    <w:rsid w:val="001857CB"/>
    <w:rsid w:val="00185B37"/>
    <w:rsid w:val="00190721"/>
    <w:rsid w:val="001A5EE0"/>
    <w:rsid w:val="001B049A"/>
    <w:rsid w:val="001B44DE"/>
    <w:rsid w:val="001B4792"/>
    <w:rsid w:val="001C18BB"/>
    <w:rsid w:val="001C494D"/>
    <w:rsid w:val="001C5846"/>
    <w:rsid w:val="001C5EC7"/>
    <w:rsid w:val="001D0F91"/>
    <w:rsid w:val="001D4BB4"/>
    <w:rsid w:val="001D6B73"/>
    <w:rsid w:val="001D791F"/>
    <w:rsid w:val="001E7366"/>
    <w:rsid w:val="001F13C1"/>
    <w:rsid w:val="001F3CA2"/>
    <w:rsid w:val="001F4604"/>
    <w:rsid w:val="001F6550"/>
    <w:rsid w:val="00202B05"/>
    <w:rsid w:val="00206081"/>
    <w:rsid w:val="00211887"/>
    <w:rsid w:val="00212B52"/>
    <w:rsid w:val="00212C9B"/>
    <w:rsid w:val="00212D09"/>
    <w:rsid w:val="00226927"/>
    <w:rsid w:val="002324DC"/>
    <w:rsid w:val="002366F0"/>
    <w:rsid w:val="00250FA3"/>
    <w:rsid w:val="002568D6"/>
    <w:rsid w:val="00277AB9"/>
    <w:rsid w:val="002808A4"/>
    <w:rsid w:val="00280AEF"/>
    <w:rsid w:val="00282806"/>
    <w:rsid w:val="002877A6"/>
    <w:rsid w:val="002925CD"/>
    <w:rsid w:val="00292AB3"/>
    <w:rsid w:val="002948E9"/>
    <w:rsid w:val="00296806"/>
    <w:rsid w:val="0029736A"/>
    <w:rsid w:val="002A0DCA"/>
    <w:rsid w:val="002A3717"/>
    <w:rsid w:val="002B4257"/>
    <w:rsid w:val="002B5C3B"/>
    <w:rsid w:val="002C012B"/>
    <w:rsid w:val="002C662F"/>
    <w:rsid w:val="002C66DD"/>
    <w:rsid w:val="002C6BED"/>
    <w:rsid w:val="002D0CF4"/>
    <w:rsid w:val="002D23E5"/>
    <w:rsid w:val="002D5174"/>
    <w:rsid w:val="002D5B5A"/>
    <w:rsid w:val="002D6530"/>
    <w:rsid w:val="002E552B"/>
    <w:rsid w:val="002E6C46"/>
    <w:rsid w:val="002F3166"/>
    <w:rsid w:val="003016AC"/>
    <w:rsid w:val="003056AE"/>
    <w:rsid w:val="0030604F"/>
    <w:rsid w:val="0030690E"/>
    <w:rsid w:val="00306E35"/>
    <w:rsid w:val="003075DF"/>
    <w:rsid w:val="00310A8E"/>
    <w:rsid w:val="0031240F"/>
    <w:rsid w:val="003140A7"/>
    <w:rsid w:val="0036317F"/>
    <w:rsid w:val="00370C78"/>
    <w:rsid w:val="003731D7"/>
    <w:rsid w:val="00386A60"/>
    <w:rsid w:val="0039327D"/>
    <w:rsid w:val="003A68F6"/>
    <w:rsid w:val="003A7512"/>
    <w:rsid w:val="003C156A"/>
    <w:rsid w:val="003C1BA0"/>
    <w:rsid w:val="003C40C8"/>
    <w:rsid w:val="003C6B62"/>
    <w:rsid w:val="003D1CF9"/>
    <w:rsid w:val="003D1F40"/>
    <w:rsid w:val="003D2EF8"/>
    <w:rsid w:val="003D320F"/>
    <w:rsid w:val="003D63AD"/>
    <w:rsid w:val="003D6568"/>
    <w:rsid w:val="003D7408"/>
    <w:rsid w:val="003D7D27"/>
    <w:rsid w:val="003E13EB"/>
    <w:rsid w:val="003E4ACD"/>
    <w:rsid w:val="003F5B93"/>
    <w:rsid w:val="003F7D36"/>
    <w:rsid w:val="00401539"/>
    <w:rsid w:val="00411D52"/>
    <w:rsid w:val="00414DF6"/>
    <w:rsid w:val="00422CF1"/>
    <w:rsid w:val="00432336"/>
    <w:rsid w:val="00432926"/>
    <w:rsid w:val="00434713"/>
    <w:rsid w:val="00435BEC"/>
    <w:rsid w:val="00436E2F"/>
    <w:rsid w:val="0044696B"/>
    <w:rsid w:val="00446F14"/>
    <w:rsid w:val="004524D8"/>
    <w:rsid w:val="00455C0C"/>
    <w:rsid w:val="004645C5"/>
    <w:rsid w:val="00465618"/>
    <w:rsid w:val="004714C8"/>
    <w:rsid w:val="0047236A"/>
    <w:rsid w:val="00473801"/>
    <w:rsid w:val="004740C2"/>
    <w:rsid w:val="0048093D"/>
    <w:rsid w:val="00480F1F"/>
    <w:rsid w:val="004935F6"/>
    <w:rsid w:val="004951AE"/>
    <w:rsid w:val="004978F2"/>
    <w:rsid w:val="00497D13"/>
    <w:rsid w:val="004B0295"/>
    <w:rsid w:val="004B2C85"/>
    <w:rsid w:val="004B3FF5"/>
    <w:rsid w:val="004B46BC"/>
    <w:rsid w:val="004B7D94"/>
    <w:rsid w:val="004C208A"/>
    <w:rsid w:val="004C341D"/>
    <w:rsid w:val="004C4F6A"/>
    <w:rsid w:val="004C643B"/>
    <w:rsid w:val="004D0650"/>
    <w:rsid w:val="004D1B2E"/>
    <w:rsid w:val="004D628A"/>
    <w:rsid w:val="004D6A8A"/>
    <w:rsid w:val="004D78FD"/>
    <w:rsid w:val="004E1A8B"/>
    <w:rsid w:val="004E5C2E"/>
    <w:rsid w:val="004F0A21"/>
    <w:rsid w:val="004F18E4"/>
    <w:rsid w:val="004F301F"/>
    <w:rsid w:val="00500D71"/>
    <w:rsid w:val="00504462"/>
    <w:rsid w:val="0050655C"/>
    <w:rsid w:val="00515F4F"/>
    <w:rsid w:val="00515FE8"/>
    <w:rsid w:val="00516057"/>
    <w:rsid w:val="005214B4"/>
    <w:rsid w:val="00526867"/>
    <w:rsid w:val="00527967"/>
    <w:rsid w:val="00530211"/>
    <w:rsid w:val="00531BD7"/>
    <w:rsid w:val="0053243D"/>
    <w:rsid w:val="00540D5E"/>
    <w:rsid w:val="005540FE"/>
    <w:rsid w:val="005561E0"/>
    <w:rsid w:val="00562573"/>
    <w:rsid w:val="005665E2"/>
    <w:rsid w:val="00570C37"/>
    <w:rsid w:val="005718D9"/>
    <w:rsid w:val="00575F1A"/>
    <w:rsid w:val="005803CB"/>
    <w:rsid w:val="0058239B"/>
    <w:rsid w:val="00584B68"/>
    <w:rsid w:val="00593E3E"/>
    <w:rsid w:val="00594E1F"/>
    <w:rsid w:val="005A20CB"/>
    <w:rsid w:val="005A3F27"/>
    <w:rsid w:val="005B1ED6"/>
    <w:rsid w:val="005C3AE8"/>
    <w:rsid w:val="005D2404"/>
    <w:rsid w:val="005D4987"/>
    <w:rsid w:val="005D6E68"/>
    <w:rsid w:val="005F33C2"/>
    <w:rsid w:val="005F761E"/>
    <w:rsid w:val="00600ACA"/>
    <w:rsid w:val="006042D2"/>
    <w:rsid w:val="00604A73"/>
    <w:rsid w:val="00613EFD"/>
    <w:rsid w:val="006244B9"/>
    <w:rsid w:val="006249DD"/>
    <w:rsid w:val="006249FA"/>
    <w:rsid w:val="00633D1B"/>
    <w:rsid w:val="00634821"/>
    <w:rsid w:val="00640B92"/>
    <w:rsid w:val="006442BC"/>
    <w:rsid w:val="00645112"/>
    <w:rsid w:val="0064543A"/>
    <w:rsid w:val="006470D7"/>
    <w:rsid w:val="00667271"/>
    <w:rsid w:val="0068774C"/>
    <w:rsid w:val="00695FF1"/>
    <w:rsid w:val="006A36E3"/>
    <w:rsid w:val="006C1649"/>
    <w:rsid w:val="006C5203"/>
    <w:rsid w:val="006D0A9F"/>
    <w:rsid w:val="006D48BB"/>
    <w:rsid w:val="006E0FBD"/>
    <w:rsid w:val="006E226F"/>
    <w:rsid w:val="006F2273"/>
    <w:rsid w:val="007042CF"/>
    <w:rsid w:val="007042DD"/>
    <w:rsid w:val="007119AE"/>
    <w:rsid w:val="00715DAF"/>
    <w:rsid w:val="00731EB3"/>
    <w:rsid w:val="00734338"/>
    <w:rsid w:val="00735BDA"/>
    <w:rsid w:val="00737370"/>
    <w:rsid w:val="00747745"/>
    <w:rsid w:val="00750BB8"/>
    <w:rsid w:val="0076410D"/>
    <w:rsid w:val="00773B41"/>
    <w:rsid w:val="00777227"/>
    <w:rsid w:val="007800C6"/>
    <w:rsid w:val="007801CF"/>
    <w:rsid w:val="00781020"/>
    <w:rsid w:val="0078521A"/>
    <w:rsid w:val="007869AF"/>
    <w:rsid w:val="007929CD"/>
    <w:rsid w:val="00794560"/>
    <w:rsid w:val="00794729"/>
    <w:rsid w:val="00794817"/>
    <w:rsid w:val="00797B5D"/>
    <w:rsid w:val="007A2C44"/>
    <w:rsid w:val="007B2220"/>
    <w:rsid w:val="007B5F1B"/>
    <w:rsid w:val="007C1174"/>
    <w:rsid w:val="007C3392"/>
    <w:rsid w:val="007C4569"/>
    <w:rsid w:val="007C61C9"/>
    <w:rsid w:val="007C7BD9"/>
    <w:rsid w:val="007D3F7A"/>
    <w:rsid w:val="007D55DD"/>
    <w:rsid w:val="007D6CA6"/>
    <w:rsid w:val="007E07F5"/>
    <w:rsid w:val="007E1245"/>
    <w:rsid w:val="007E4DE1"/>
    <w:rsid w:val="007F0342"/>
    <w:rsid w:val="007F07C4"/>
    <w:rsid w:val="00804DD7"/>
    <w:rsid w:val="00821A03"/>
    <w:rsid w:val="00822ADD"/>
    <w:rsid w:val="00830CF6"/>
    <w:rsid w:val="00831641"/>
    <w:rsid w:val="008448C2"/>
    <w:rsid w:val="00846E25"/>
    <w:rsid w:val="00861B17"/>
    <w:rsid w:val="00864646"/>
    <w:rsid w:val="0087053B"/>
    <w:rsid w:val="00886EE6"/>
    <w:rsid w:val="0089107D"/>
    <w:rsid w:val="00892BD9"/>
    <w:rsid w:val="008A1299"/>
    <w:rsid w:val="008A1ED9"/>
    <w:rsid w:val="008B22F5"/>
    <w:rsid w:val="008C0D13"/>
    <w:rsid w:val="008C1793"/>
    <w:rsid w:val="008C28FC"/>
    <w:rsid w:val="008C71BC"/>
    <w:rsid w:val="008C7BFB"/>
    <w:rsid w:val="008E0185"/>
    <w:rsid w:val="008F308A"/>
    <w:rsid w:val="009030DB"/>
    <w:rsid w:val="00905179"/>
    <w:rsid w:val="009060AD"/>
    <w:rsid w:val="00911D44"/>
    <w:rsid w:val="00913DAA"/>
    <w:rsid w:val="009217CC"/>
    <w:rsid w:val="00923BC4"/>
    <w:rsid w:val="009262EF"/>
    <w:rsid w:val="00932563"/>
    <w:rsid w:val="00932B14"/>
    <w:rsid w:val="00932BCF"/>
    <w:rsid w:val="00941856"/>
    <w:rsid w:val="00942721"/>
    <w:rsid w:val="009529C7"/>
    <w:rsid w:val="0096202E"/>
    <w:rsid w:val="009630D5"/>
    <w:rsid w:val="009647E7"/>
    <w:rsid w:val="009728A7"/>
    <w:rsid w:val="009763C2"/>
    <w:rsid w:val="009767F7"/>
    <w:rsid w:val="009858A3"/>
    <w:rsid w:val="009927A4"/>
    <w:rsid w:val="00996843"/>
    <w:rsid w:val="00997C23"/>
    <w:rsid w:val="009A0735"/>
    <w:rsid w:val="009A3E15"/>
    <w:rsid w:val="009A4668"/>
    <w:rsid w:val="009A4C7B"/>
    <w:rsid w:val="009A72DE"/>
    <w:rsid w:val="009B1646"/>
    <w:rsid w:val="009B4864"/>
    <w:rsid w:val="009B7899"/>
    <w:rsid w:val="009C06B1"/>
    <w:rsid w:val="009C0FC3"/>
    <w:rsid w:val="009C4244"/>
    <w:rsid w:val="009C685A"/>
    <w:rsid w:val="009C6C99"/>
    <w:rsid w:val="009D5558"/>
    <w:rsid w:val="009E0ACB"/>
    <w:rsid w:val="009E0E38"/>
    <w:rsid w:val="009E1106"/>
    <w:rsid w:val="009F3D44"/>
    <w:rsid w:val="009F4CB5"/>
    <w:rsid w:val="00A01021"/>
    <w:rsid w:val="00A22C13"/>
    <w:rsid w:val="00A23CAC"/>
    <w:rsid w:val="00A23E04"/>
    <w:rsid w:val="00A356C5"/>
    <w:rsid w:val="00A41261"/>
    <w:rsid w:val="00A44FFE"/>
    <w:rsid w:val="00A540A6"/>
    <w:rsid w:val="00A62ECE"/>
    <w:rsid w:val="00A72380"/>
    <w:rsid w:val="00A74B31"/>
    <w:rsid w:val="00A84610"/>
    <w:rsid w:val="00A90148"/>
    <w:rsid w:val="00A958C2"/>
    <w:rsid w:val="00A958D6"/>
    <w:rsid w:val="00AA32CA"/>
    <w:rsid w:val="00AA46F2"/>
    <w:rsid w:val="00AB25C4"/>
    <w:rsid w:val="00AB2BAE"/>
    <w:rsid w:val="00AC28F4"/>
    <w:rsid w:val="00AD06A3"/>
    <w:rsid w:val="00AD130A"/>
    <w:rsid w:val="00AD2D9A"/>
    <w:rsid w:val="00AE1B67"/>
    <w:rsid w:val="00AE281A"/>
    <w:rsid w:val="00AE6961"/>
    <w:rsid w:val="00AF015A"/>
    <w:rsid w:val="00AF0507"/>
    <w:rsid w:val="00AF0817"/>
    <w:rsid w:val="00AF0B4F"/>
    <w:rsid w:val="00AF0BC0"/>
    <w:rsid w:val="00AF1712"/>
    <w:rsid w:val="00AF2D98"/>
    <w:rsid w:val="00AF325B"/>
    <w:rsid w:val="00AF51AE"/>
    <w:rsid w:val="00B0212D"/>
    <w:rsid w:val="00B04353"/>
    <w:rsid w:val="00B13C2E"/>
    <w:rsid w:val="00B25C6B"/>
    <w:rsid w:val="00B26068"/>
    <w:rsid w:val="00B3117A"/>
    <w:rsid w:val="00B33EC9"/>
    <w:rsid w:val="00B40DAD"/>
    <w:rsid w:val="00B445C9"/>
    <w:rsid w:val="00B654AD"/>
    <w:rsid w:val="00B7082C"/>
    <w:rsid w:val="00B765D4"/>
    <w:rsid w:val="00B90A05"/>
    <w:rsid w:val="00B917F2"/>
    <w:rsid w:val="00B96230"/>
    <w:rsid w:val="00B96E9E"/>
    <w:rsid w:val="00BA2C5F"/>
    <w:rsid w:val="00BA5BBD"/>
    <w:rsid w:val="00BA70BE"/>
    <w:rsid w:val="00BB2739"/>
    <w:rsid w:val="00BB6345"/>
    <w:rsid w:val="00BB70BE"/>
    <w:rsid w:val="00BC07FB"/>
    <w:rsid w:val="00BC1D4F"/>
    <w:rsid w:val="00BD4D26"/>
    <w:rsid w:val="00BE44EC"/>
    <w:rsid w:val="00BE6CA9"/>
    <w:rsid w:val="00BF7FCC"/>
    <w:rsid w:val="00C01697"/>
    <w:rsid w:val="00C06E9F"/>
    <w:rsid w:val="00C11D5A"/>
    <w:rsid w:val="00C11EBD"/>
    <w:rsid w:val="00C2020A"/>
    <w:rsid w:val="00C2205F"/>
    <w:rsid w:val="00C25CA9"/>
    <w:rsid w:val="00C3180E"/>
    <w:rsid w:val="00C32D91"/>
    <w:rsid w:val="00C43619"/>
    <w:rsid w:val="00C43988"/>
    <w:rsid w:val="00C44D2C"/>
    <w:rsid w:val="00C50C7C"/>
    <w:rsid w:val="00C5175E"/>
    <w:rsid w:val="00C51882"/>
    <w:rsid w:val="00C5744D"/>
    <w:rsid w:val="00C62D90"/>
    <w:rsid w:val="00C72BA6"/>
    <w:rsid w:val="00C763CE"/>
    <w:rsid w:val="00C86057"/>
    <w:rsid w:val="00C8693A"/>
    <w:rsid w:val="00C93BCA"/>
    <w:rsid w:val="00C94859"/>
    <w:rsid w:val="00C95012"/>
    <w:rsid w:val="00C95CAA"/>
    <w:rsid w:val="00CA25A7"/>
    <w:rsid w:val="00CC1183"/>
    <w:rsid w:val="00CC39CC"/>
    <w:rsid w:val="00CC6C3F"/>
    <w:rsid w:val="00CC7C8F"/>
    <w:rsid w:val="00CD05A0"/>
    <w:rsid w:val="00CD4583"/>
    <w:rsid w:val="00CD644D"/>
    <w:rsid w:val="00CD66C6"/>
    <w:rsid w:val="00CE236D"/>
    <w:rsid w:val="00CE7138"/>
    <w:rsid w:val="00CE73ED"/>
    <w:rsid w:val="00CE7797"/>
    <w:rsid w:val="00CF6373"/>
    <w:rsid w:val="00D027C6"/>
    <w:rsid w:val="00D02EB2"/>
    <w:rsid w:val="00D10C67"/>
    <w:rsid w:val="00D11968"/>
    <w:rsid w:val="00D136AA"/>
    <w:rsid w:val="00D145F3"/>
    <w:rsid w:val="00D22E7D"/>
    <w:rsid w:val="00D267B6"/>
    <w:rsid w:val="00D27659"/>
    <w:rsid w:val="00D30BAD"/>
    <w:rsid w:val="00D4064C"/>
    <w:rsid w:val="00D5540B"/>
    <w:rsid w:val="00D57F3A"/>
    <w:rsid w:val="00D61C5A"/>
    <w:rsid w:val="00D65FFF"/>
    <w:rsid w:val="00D71443"/>
    <w:rsid w:val="00D848DF"/>
    <w:rsid w:val="00D9324C"/>
    <w:rsid w:val="00D93DEC"/>
    <w:rsid w:val="00D96DB5"/>
    <w:rsid w:val="00DA182D"/>
    <w:rsid w:val="00DA2A03"/>
    <w:rsid w:val="00DA592E"/>
    <w:rsid w:val="00DB565E"/>
    <w:rsid w:val="00DC2618"/>
    <w:rsid w:val="00DC6C07"/>
    <w:rsid w:val="00DF4A11"/>
    <w:rsid w:val="00DF7453"/>
    <w:rsid w:val="00E004F7"/>
    <w:rsid w:val="00E03CF0"/>
    <w:rsid w:val="00E07465"/>
    <w:rsid w:val="00E14406"/>
    <w:rsid w:val="00E14943"/>
    <w:rsid w:val="00E15D0D"/>
    <w:rsid w:val="00E203C4"/>
    <w:rsid w:val="00E300FF"/>
    <w:rsid w:val="00E3119D"/>
    <w:rsid w:val="00E40CDD"/>
    <w:rsid w:val="00E44EB0"/>
    <w:rsid w:val="00E54D10"/>
    <w:rsid w:val="00E6277D"/>
    <w:rsid w:val="00E70C92"/>
    <w:rsid w:val="00E71706"/>
    <w:rsid w:val="00E80EB1"/>
    <w:rsid w:val="00E85DB3"/>
    <w:rsid w:val="00E87C4C"/>
    <w:rsid w:val="00E87D3A"/>
    <w:rsid w:val="00E92656"/>
    <w:rsid w:val="00E92D36"/>
    <w:rsid w:val="00E92D7C"/>
    <w:rsid w:val="00E930CE"/>
    <w:rsid w:val="00E9393F"/>
    <w:rsid w:val="00E97241"/>
    <w:rsid w:val="00E97C95"/>
    <w:rsid w:val="00EA155B"/>
    <w:rsid w:val="00EA1C1A"/>
    <w:rsid w:val="00EA1E52"/>
    <w:rsid w:val="00EA2283"/>
    <w:rsid w:val="00EA4870"/>
    <w:rsid w:val="00EB05B0"/>
    <w:rsid w:val="00EC22C8"/>
    <w:rsid w:val="00EC4541"/>
    <w:rsid w:val="00EC670A"/>
    <w:rsid w:val="00ED2D2D"/>
    <w:rsid w:val="00EE036D"/>
    <w:rsid w:val="00EE465F"/>
    <w:rsid w:val="00EE6AE9"/>
    <w:rsid w:val="00EE7E48"/>
    <w:rsid w:val="00EF5EC9"/>
    <w:rsid w:val="00F028A4"/>
    <w:rsid w:val="00F03D5D"/>
    <w:rsid w:val="00F17AFB"/>
    <w:rsid w:val="00F2402D"/>
    <w:rsid w:val="00F34733"/>
    <w:rsid w:val="00F40372"/>
    <w:rsid w:val="00F52AF7"/>
    <w:rsid w:val="00F54530"/>
    <w:rsid w:val="00F63335"/>
    <w:rsid w:val="00F800FE"/>
    <w:rsid w:val="00F83647"/>
    <w:rsid w:val="00F931D8"/>
    <w:rsid w:val="00FA497E"/>
    <w:rsid w:val="00FA70F3"/>
    <w:rsid w:val="00FB0034"/>
    <w:rsid w:val="00FB4E39"/>
    <w:rsid w:val="00FB5FCC"/>
    <w:rsid w:val="00FC097D"/>
    <w:rsid w:val="00FC3AC4"/>
    <w:rsid w:val="00FC5BCE"/>
    <w:rsid w:val="00FD5C08"/>
    <w:rsid w:val="00FE044E"/>
    <w:rsid w:val="00FE5437"/>
    <w:rsid w:val="00FE63D0"/>
    <w:rsid w:val="00FE6C22"/>
    <w:rsid w:val="00FF7A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7FB61D"/>
  <w15:docId w15:val="{26746CFE-67D9-4E81-96BD-9C380695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14DF6"/>
    <w:pPr>
      <w:spacing w:after="180" w:line="240" w:lineRule="auto"/>
      <w:outlineLvl w:val="0"/>
    </w:pPr>
    <w:rPr>
      <w:rFonts w:ascii="Georgia" w:eastAsia="Times New Roman" w:hAnsi="Georgia" w:cs="Times New Roman"/>
      <w:color w:val="000000"/>
      <w:kern w:val="36"/>
      <w:sz w:val="50"/>
      <w:szCs w:val="50"/>
      <w:lang w:eastAsia="en-AU"/>
    </w:rPr>
  </w:style>
  <w:style w:type="paragraph" w:styleId="Heading2">
    <w:name w:val="heading 2"/>
    <w:basedOn w:val="Normal"/>
    <w:link w:val="Heading2Char"/>
    <w:uiPriority w:val="9"/>
    <w:qFormat/>
    <w:rsid w:val="00414DF6"/>
    <w:pPr>
      <w:spacing w:after="180" w:line="240" w:lineRule="auto"/>
      <w:outlineLvl w:val="1"/>
    </w:pPr>
    <w:rPr>
      <w:rFonts w:ascii="Georgia" w:eastAsia="Times New Roman" w:hAnsi="Georgia" w:cs="Times New Roman"/>
      <w:color w:val="000000"/>
      <w:sz w:val="38"/>
      <w:szCs w:val="38"/>
      <w:lang w:eastAsia="en-AU"/>
    </w:rPr>
  </w:style>
  <w:style w:type="paragraph" w:styleId="Heading3">
    <w:name w:val="heading 3"/>
    <w:basedOn w:val="Normal"/>
    <w:link w:val="Heading3Char"/>
    <w:uiPriority w:val="9"/>
    <w:qFormat/>
    <w:rsid w:val="00414DF6"/>
    <w:pPr>
      <w:spacing w:after="180" w:line="240" w:lineRule="auto"/>
      <w:outlineLvl w:val="2"/>
    </w:pPr>
    <w:rPr>
      <w:rFonts w:ascii="Arial" w:eastAsia="Times New Roman" w:hAnsi="Arial" w:cs="Arial"/>
      <w:color w:val="3A3A3A"/>
      <w:sz w:val="32"/>
      <w:szCs w:val="32"/>
      <w:lang w:eastAsia="en-AU"/>
    </w:rPr>
  </w:style>
  <w:style w:type="paragraph" w:styleId="Heading4">
    <w:name w:val="heading 4"/>
    <w:basedOn w:val="Normal"/>
    <w:link w:val="Heading4Char"/>
    <w:uiPriority w:val="9"/>
    <w:qFormat/>
    <w:rsid w:val="00414DF6"/>
    <w:pPr>
      <w:spacing w:after="180" w:line="240" w:lineRule="auto"/>
      <w:outlineLvl w:val="3"/>
    </w:pPr>
    <w:rPr>
      <w:rFonts w:ascii="Georgia" w:eastAsia="Times New Roman" w:hAnsi="Georgia" w:cs="Times New Roman"/>
      <w:color w:val="000000"/>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DF6"/>
    <w:rPr>
      <w:rFonts w:ascii="Georgia" w:eastAsia="Times New Roman" w:hAnsi="Georgia" w:cs="Times New Roman"/>
      <w:color w:val="000000"/>
      <w:kern w:val="36"/>
      <w:sz w:val="50"/>
      <w:szCs w:val="50"/>
      <w:lang w:eastAsia="en-AU"/>
    </w:rPr>
  </w:style>
  <w:style w:type="character" w:customStyle="1" w:styleId="Heading2Char">
    <w:name w:val="Heading 2 Char"/>
    <w:basedOn w:val="DefaultParagraphFont"/>
    <w:link w:val="Heading2"/>
    <w:uiPriority w:val="9"/>
    <w:rsid w:val="00414DF6"/>
    <w:rPr>
      <w:rFonts w:ascii="Georgia" w:eastAsia="Times New Roman" w:hAnsi="Georgia" w:cs="Times New Roman"/>
      <w:color w:val="000000"/>
      <w:sz w:val="38"/>
      <w:szCs w:val="38"/>
      <w:lang w:eastAsia="en-AU"/>
    </w:rPr>
  </w:style>
  <w:style w:type="character" w:customStyle="1" w:styleId="Heading3Char">
    <w:name w:val="Heading 3 Char"/>
    <w:basedOn w:val="DefaultParagraphFont"/>
    <w:link w:val="Heading3"/>
    <w:uiPriority w:val="9"/>
    <w:rsid w:val="00414DF6"/>
    <w:rPr>
      <w:rFonts w:ascii="Arial" w:eastAsia="Times New Roman" w:hAnsi="Arial" w:cs="Arial"/>
      <w:color w:val="3A3A3A"/>
      <w:sz w:val="32"/>
      <w:szCs w:val="32"/>
      <w:lang w:eastAsia="en-AU"/>
    </w:rPr>
  </w:style>
  <w:style w:type="character" w:customStyle="1" w:styleId="Heading4Char">
    <w:name w:val="Heading 4 Char"/>
    <w:basedOn w:val="DefaultParagraphFont"/>
    <w:link w:val="Heading4"/>
    <w:uiPriority w:val="9"/>
    <w:rsid w:val="00414DF6"/>
    <w:rPr>
      <w:rFonts w:ascii="Georgia" w:eastAsia="Times New Roman" w:hAnsi="Georgia" w:cs="Times New Roman"/>
      <w:color w:val="000000"/>
      <w:sz w:val="24"/>
      <w:szCs w:val="24"/>
      <w:lang w:eastAsia="en-AU"/>
    </w:rPr>
  </w:style>
  <w:style w:type="character" w:styleId="Hyperlink">
    <w:name w:val="Hyperlink"/>
    <w:basedOn w:val="DefaultParagraphFont"/>
    <w:uiPriority w:val="99"/>
    <w:unhideWhenUsed/>
    <w:rsid w:val="00414DF6"/>
    <w:rPr>
      <w:rFonts w:ascii="Arial" w:hAnsi="Arial" w:cs="Arial" w:hint="default"/>
      <w:color w:val="000000"/>
      <w:u w:val="single"/>
    </w:rPr>
  </w:style>
  <w:style w:type="paragraph" w:styleId="NormalWeb">
    <w:name w:val="Normal (Web)"/>
    <w:basedOn w:val="Normal"/>
    <w:uiPriority w:val="99"/>
    <w:semiHidden/>
    <w:unhideWhenUsed/>
    <w:rsid w:val="00414DF6"/>
    <w:pPr>
      <w:spacing w:after="300" w:line="240" w:lineRule="auto"/>
    </w:pPr>
    <w:rPr>
      <w:rFonts w:ascii="Arial" w:eastAsia="Times New Roman" w:hAnsi="Arial" w:cs="Arial"/>
      <w:sz w:val="24"/>
      <w:szCs w:val="24"/>
      <w:lang w:eastAsia="en-AU"/>
    </w:rPr>
  </w:style>
  <w:style w:type="character" w:customStyle="1" w:styleId="textblackitalicbold">
    <w:name w:val="textblackitalicbold"/>
    <w:basedOn w:val="DefaultParagraphFont"/>
    <w:rsid w:val="00414DF6"/>
  </w:style>
  <w:style w:type="character" w:styleId="Emphasis">
    <w:name w:val="Emphasis"/>
    <w:basedOn w:val="DefaultParagraphFont"/>
    <w:uiPriority w:val="20"/>
    <w:qFormat/>
    <w:rsid w:val="00414DF6"/>
    <w:rPr>
      <w:i/>
      <w:iCs/>
    </w:rPr>
  </w:style>
  <w:style w:type="character" w:styleId="Strong">
    <w:name w:val="Strong"/>
    <w:basedOn w:val="DefaultParagraphFont"/>
    <w:uiPriority w:val="22"/>
    <w:qFormat/>
    <w:rsid w:val="00414DF6"/>
    <w:rPr>
      <w:b/>
      <w:bCs/>
    </w:rPr>
  </w:style>
  <w:style w:type="paragraph" w:styleId="ListParagraph">
    <w:name w:val="List Paragraph"/>
    <w:basedOn w:val="Normal"/>
    <w:link w:val="ListParagraphChar"/>
    <w:uiPriority w:val="34"/>
    <w:qFormat/>
    <w:rsid w:val="007E4DE1"/>
    <w:pPr>
      <w:ind w:left="720"/>
      <w:contextualSpacing/>
    </w:pPr>
  </w:style>
  <w:style w:type="paragraph" w:styleId="BalloonText">
    <w:name w:val="Balloon Text"/>
    <w:basedOn w:val="Normal"/>
    <w:link w:val="BalloonTextChar"/>
    <w:uiPriority w:val="99"/>
    <w:semiHidden/>
    <w:unhideWhenUsed/>
    <w:rsid w:val="00AA3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2CA"/>
    <w:rPr>
      <w:rFonts w:ascii="Tahoma" w:hAnsi="Tahoma" w:cs="Tahoma"/>
      <w:sz w:val="16"/>
      <w:szCs w:val="16"/>
    </w:rPr>
  </w:style>
  <w:style w:type="paragraph" w:styleId="Header">
    <w:name w:val="header"/>
    <w:basedOn w:val="Normal"/>
    <w:link w:val="HeaderChar"/>
    <w:uiPriority w:val="99"/>
    <w:unhideWhenUsed/>
    <w:rsid w:val="00DA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A03"/>
  </w:style>
  <w:style w:type="paragraph" w:styleId="Footer">
    <w:name w:val="footer"/>
    <w:basedOn w:val="Normal"/>
    <w:link w:val="FooterChar"/>
    <w:uiPriority w:val="99"/>
    <w:unhideWhenUsed/>
    <w:rsid w:val="00DA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A03"/>
  </w:style>
  <w:style w:type="character" w:styleId="PageNumber">
    <w:name w:val="page number"/>
    <w:basedOn w:val="DefaultParagraphFont"/>
    <w:uiPriority w:val="99"/>
    <w:semiHidden/>
    <w:unhideWhenUsed/>
    <w:rsid w:val="00DA2A03"/>
  </w:style>
  <w:style w:type="paragraph" w:customStyle="1" w:styleId="Dimi05">
    <w:name w:val="Dimi 05"/>
    <w:basedOn w:val="Normal"/>
    <w:link w:val="Dimi05Char"/>
    <w:qFormat/>
    <w:rsid w:val="001D791F"/>
    <w:pPr>
      <w:spacing w:before="240" w:after="0" w:line="240" w:lineRule="auto"/>
      <w:contextualSpacing/>
    </w:pPr>
    <w:rPr>
      <w:rFonts w:eastAsia="Times New Roman" w:cs="Times New Roman"/>
      <w:sz w:val="24"/>
      <w:szCs w:val="24"/>
    </w:rPr>
  </w:style>
  <w:style w:type="character" w:customStyle="1" w:styleId="Dimi05Char">
    <w:name w:val="Dimi 05 Char"/>
    <w:basedOn w:val="DefaultParagraphFont"/>
    <w:link w:val="Dimi05"/>
    <w:rsid w:val="001D791F"/>
    <w:rPr>
      <w:rFonts w:eastAsia="Times New Roman" w:cs="Times New Roman"/>
      <w:sz w:val="24"/>
      <w:szCs w:val="24"/>
    </w:rPr>
  </w:style>
  <w:style w:type="character" w:customStyle="1" w:styleId="ListParagraphChar">
    <w:name w:val="List Paragraph Char"/>
    <w:basedOn w:val="DefaultParagraphFont"/>
    <w:link w:val="ListParagraph"/>
    <w:uiPriority w:val="34"/>
    <w:rsid w:val="00E930CE"/>
  </w:style>
  <w:style w:type="character" w:styleId="CommentReference">
    <w:name w:val="annotation reference"/>
    <w:basedOn w:val="DefaultParagraphFont"/>
    <w:uiPriority w:val="99"/>
    <w:semiHidden/>
    <w:unhideWhenUsed/>
    <w:rsid w:val="00CC6C3F"/>
    <w:rPr>
      <w:sz w:val="16"/>
      <w:szCs w:val="16"/>
    </w:rPr>
  </w:style>
  <w:style w:type="paragraph" w:styleId="CommentText">
    <w:name w:val="annotation text"/>
    <w:basedOn w:val="Normal"/>
    <w:link w:val="CommentTextChar"/>
    <w:uiPriority w:val="99"/>
    <w:semiHidden/>
    <w:unhideWhenUsed/>
    <w:rsid w:val="00CC6C3F"/>
    <w:pPr>
      <w:spacing w:line="240" w:lineRule="auto"/>
    </w:pPr>
    <w:rPr>
      <w:sz w:val="20"/>
      <w:szCs w:val="20"/>
    </w:rPr>
  </w:style>
  <w:style w:type="character" w:customStyle="1" w:styleId="CommentTextChar">
    <w:name w:val="Comment Text Char"/>
    <w:basedOn w:val="DefaultParagraphFont"/>
    <w:link w:val="CommentText"/>
    <w:uiPriority w:val="99"/>
    <w:semiHidden/>
    <w:rsid w:val="00CC6C3F"/>
    <w:rPr>
      <w:sz w:val="20"/>
      <w:szCs w:val="20"/>
    </w:rPr>
  </w:style>
  <w:style w:type="paragraph" w:styleId="CommentSubject">
    <w:name w:val="annotation subject"/>
    <w:basedOn w:val="CommentText"/>
    <w:next w:val="CommentText"/>
    <w:link w:val="CommentSubjectChar"/>
    <w:uiPriority w:val="99"/>
    <w:semiHidden/>
    <w:unhideWhenUsed/>
    <w:rsid w:val="00CC6C3F"/>
    <w:rPr>
      <w:b/>
      <w:bCs/>
    </w:rPr>
  </w:style>
  <w:style w:type="character" w:customStyle="1" w:styleId="CommentSubjectChar">
    <w:name w:val="Comment Subject Char"/>
    <w:basedOn w:val="CommentTextChar"/>
    <w:link w:val="CommentSubject"/>
    <w:uiPriority w:val="99"/>
    <w:semiHidden/>
    <w:rsid w:val="00CC6C3F"/>
    <w:rPr>
      <w:b/>
      <w:bCs/>
      <w:sz w:val="20"/>
      <w:szCs w:val="20"/>
    </w:rPr>
  </w:style>
  <w:style w:type="paragraph" w:styleId="Revision">
    <w:name w:val="Revision"/>
    <w:hidden/>
    <w:uiPriority w:val="99"/>
    <w:semiHidden/>
    <w:rsid w:val="00CC6C3F"/>
    <w:pPr>
      <w:spacing w:after="0" w:line="240" w:lineRule="auto"/>
    </w:pPr>
  </w:style>
  <w:style w:type="character" w:customStyle="1" w:styleId="charpartno">
    <w:name w:val="charpartno"/>
    <w:basedOn w:val="DefaultParagraphFont"/>
    <w:rsid w:val="00E004F7"/>
  </w:style>
  <w:style w:type="character" w:customStyle="1" w:styleId="charparttext">
    <w:name w:val="charparttext"/>
    <w:basedOn w:val="DefaultParagraphFont"/>
    <w:rsid w:val="00E004F7"/>
  </w:style>
  <w:style w:type="character" w:styleId="FollowedHyperlink">
    <w:name w:val="FollowedHyperlink"/>
    <w:basedOn w:val="DefaultParagraphFont"/>
    <w:uiPriority w:val="99"/>
    <w:semiHidden/>
    <w:unhideWhenUsed/>
    <w:rsid w:val="00C32D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205211">
      <w:bodyDiv w:val="1"/>
      <w:marLeft w:val="0"/>
      <w:marRight w:val="0"/>
      <w:marTop w:val="0"/>
      <w:marBottom w:val="0"/>
      <w:divBdr>
        <w:top w:val="none" w:sz="0" w:space="0" w:color="auto"/>
        <w:left w:val="none" w:sz="0" w:space="0" w:color="auto"/>
        <w:bottom w:val="none" w:sz="0" w:space="0" w:color="auto"/>
        <w:right w:val="none" w:sz="0" w:space="0" w:color="auto"/>
      </w:divBdr>
    </w:div>
    <w:div w:id="1664963799">
      <w:bodyDiv w:val="1"/>
      <w:marLeft w:val="0"/>
      <w:marRight w:val="0"/>
      <w:marTop w:val="0"/>
      <w:marBottom w:val="0"/>
      <w:divBdr>
        <w:top w:val="none" w:sz="0" w:space="0" w:color="auto"/>
        <w:left w:val="none" w:sz="0" w:space="0" w:color="auto"/>
        <w:bottom w:val="none" w:sz="0" w:space="0" w:color="auto"/>
        <w:right w:val="none" w:sz="0" w:space="0" w:color="auto"/>
      </w:divBdr>
      <w:divsChild>
        <w:div w:id="105005023">
          <w:marLeft w:val="0"/>
          <w:marRight w:val="0"/>
          <w:marTop w:val="0"/>
          <w:marBottom w:val="0"/>
          <w:divBdr>
            <w:top w:val="none" w:sz="0" w:space="0" w:color="auto"/>
            <w:left w:val="none" w:sz="0" w:space="0" w:color="auto"/>
            <w:bottom w:val="none" w:sz="0" w:space="0" w:color="auto"/>
            <w:right w:val="none" w:sz="0" w:space="0" w:color="auto"/>
          </w:divBdr>
          <w:divsChild>
            <w:div w:id="1256327622">
              <w:marLeft w:val="0"/>
              <w:marRight w:val="0"/>
              <w:marTop w:val="0"/>
              <w:marBottom w:val="0"/>
              <w:divBdr>
                <w:top w:val="none" w:sz="0" w:space="0" w:color="auto"/>
                <w:left w:val="none" w:sz="0" w:space="0" w:color="auto"/>
                <w:bottom w:val="none" w:sz="0" w:space="0" w:color="auto"/>
                <w:right w:val="none" w:sz="0" w:space="0" w:color="auto"/>
              </w:divBdr>
              <w:divsChild>
                <w:div w:id="415126626">
                  <w:marLeft w:val="0"/>
                  <w:marRight w:val="0"/>
                  <w:marTop w:val="0"/>
                  <w:marBottom w:val="0"/>
                  <w:divBdr>
                    <w:top w:val="none" w:sz="0" w:space="0" w:color="auto"/>
                    <w:left w:val="none" w:sz="0" w:space="0" w:color="auto"/>
                    <w:bottom w:val="none" w:sz="0" w:space="0" w:color="auto"/>
                    <w:right w:val="none" w:sz="0" w:space="0" w:color="auto"/>
                  </w:divBdr>
                  <w:divsChild>
                    <w:div w:id="1430927685">
                      <w:marLeft w:val="0"/>
                      <w:marRight w:val="0"/>
                      <w:marTop w:val="0"/>
                      <w:marBottom w:val="0"/>
                      <w:divBdr>
                        <w:top w:val="none" w:sz="0" w:space="0" w:color="auto"/>
                        <w:left w:val="none" w:sz="0" w:space="0" w:color="auto"/>
                        <w:bottom w:val="none" w:sz="0" w:space="0" w:color="auto"/>
                        <w:right w:val="none" w:sz="0" w:space="0" w:color="auto"/>
                      </w:divBdr>
                      <w:divsChild>
                        <w:div w:id="1584216263">
                          <w:marLeft w:val="0"/>
                          <w:marRight w:val="0"/>
                          <w:marTop w:val="0"/>
                          <w:marBottom w:val="0"/>
                          <w:divBdr>
                            <w:top w:val="none" w:sz="0" w:space="0" w:color="auto"/>
                            <w:left w:val="none" w:sz="0" w:space="0" w:color="auto"/>
                            <w:bottom w:val="none" w:sz="0" w:space="0" w:color="auto"/>
                            <w:right w:val="none" w:sz="0" w:space="0" w:color="auto"/>
                          </w:divBdr>
                          <w:divsChild>
                            <w:div w:id="1052651365">
                              <w:marLeft w:val="0"/>
                              <w:marRight w:val="0"/>
                              <w:marTop w:val="0"/>
                              <w:marBottom w:val="0"/>
                              <w:divBdr>
                                <w:top w:val="none" w:sz="0" w:space="0" w:color="auto"/>
                                <w:left w:val="none" w:sz="0" w:space="0" w:color="auto"/>
                                <w:bottom w:val="none" w:sz="0" w:space="0" w:color="auto"/>
                                <w:right w:val="none" w:sz="0" w:space="0" w:color="auto"/>
                              </w:divBdr>
                              <w:divsChild>
                                <w:div w:id="1976132843">
                                  <w:marLeft w:val="0"/>
                                  <w:marRight w:val="0"/>
                                  <w:marTop w:val="0"/>
                                  <w:marBottom w:val="0"/>
                                  <w:divBdr>
                                    <w:top w:val="none" w:sz="0" w:space="0" w:color="auto"/>
                                    <w:left w:val="none" w:sz="0" w:space="0" w:color="auto"/>
                                    <w:bottom w:val="none" w:sz="0" w:space="0" w:color="auto"/>
                                    <w:right w:val="none" w:sz="0" w:space="0" w:color="auto"/>
                                  </w:divBdr>
                                  <w:divsChild>
                                    <w:div w:id="1215391657">
                                      <w:marLeft w:val="0"/>
                                      <w:marRight w:val="0"/>
                                      <w:marTop w:val="0"/>
                                      <w:marBottom w:val="0"/>
                                      <w:divBdr>
                                        <w:top w:val="none" w:sz="0" w:space="0" w:color="auto"/>
                                        <w:left w:val="none" w:sz="0" w:space="0" w:color="auto"/>
                                        <w:bottom w:val="none" w:sz="0" w:space="0" w:color="auto"/>
                                        <w:right w:val="none" w:sz="0" w:space="0" w:color="auto"/>
                                      </w:divBdr>
                                      <w:divsChild>
                                        <w:div w:id="7830372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cgi-bin/viewdb/au/legis/cth/consol_act/ca2001172/" TargetMode="External"/><Relationship Id="rId13" Type="http://schemas.openxmlformats.org/officeDocument/2006/relationships/hyperlink" Target="https://www.legislation.gov.au/Details/C2019C00028" TargetMode="External"/><Relationship Id="rId18" Type="http://schemas.openxmlformats.org/officeDocument/2006/relationships/hyperlink" Target="http://www.fedcourt.gov.au/forms-and-fees/court-fees/fee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omlaw.gov.au/comlaw/management.nsf/lookupindexpagesbyid/IP200401854?OpenDocument" TargetMode="External"/><Relationship Id="rId17" Type="http://schemas.openxmlformats.org/officeDocument/2006/relationships/hyperlink" Target="http://www.comlaw.gov.au/comlaw/management.nsf/lookupindexpagesbyid/IP200401139?OpenDocument" TargetMode="External"/><Relationship Id="rId2" Type="http://schemas.openxmlformats.org/officeDocument/2006/relationships/numbering" Target="numbering.xml"/><Relationship Id="rId16" Type="http://schemas.openxmlformats.org/officeDocument/2006/relationships/hyperlink" Target="https://www.legislation.gov.au/Details/F2015C0039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cgi-bin/viewdb/au/legis/cth/consol_reg/fcr2011186/" TargetMode="External"/><Relationship Id="rId5" Type="http://schemas.openxmlformats.org/officeDocument/2006/relationships/webSettings" Target="webSettings.xml"/><Relationship Id="rId15" Type="http://schemas.openxmlformats.org/officeDocument/2006/relationships/hyperlink" Target="http://www.asic.gov.au/asic/asic.nsf" TargetMode="External"/><Relationship Id="rId23" Type="http://schemas.openxmlformats.org/officeDocument/2006/relationships/theme" Target="theme/theme1.xml"/><Relationship Id="rId10" Type="http://schemas.openxmlformats.org/officeDocument/2006/relationships/hyperlink" Target="http://www.austlii.edu.au/cgi-bin/viewdb/au/legis/cth/consol_reg/cr2001281/" TargetMode="External"/><Relationship Id="rId19" Type="http://schemas.openxmlformats.org/officeDocument/2006/relationships/hyperlink" Target="http://www.asic.gov.au/asic/asic.nsf" TargetMode="External"/><Relationship Id="rId4" Type="http://schemas.openxmlformats.org/officeDocument/2006/relationships/settings" Target="settings.xml"/><Relationship Id="rId9" Type="http://schemas.openxmlformats.org/officeDocument/2006/relationships/hyperlink" Target="http://www.austlii.edu.au/cgi-bin/viewdb/au/legis/cth/consol_reg/fcr2000337/" TargetMode="External"/><Relationship Id="rId14" Type="http://schemas.openxmlformats.org/officeDocument/2006/relationships/hyperlink" Target="https://www.legislation.gov.au/Details/C2021C0047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D87AC-D389-4AD8-A6D4-58D47D16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2513</Words>
  <Characters>14326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Federal Court of Australia</Company>
  <LinksUpToDate>false</LinksUpToDate>
  <CharactersWithSpaces>16806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Teo</dc:creator>
  <cp:lastModifiedBy>Connie Kwan</cp:lastModifiedBy>
  <cp:revision>2</cp:revision>
  <cp:lastPrinted>2022-12-13T05:50:00Z</cp:lastPrinted>
  <dcterms:created xsi:type="dcterms:W3CDTF">2023-02-14T03:23:00Z</dcterms:created>
  <dcterms:modified xsi:type="dcterms:W3CDTF">2023-02-14T03:23:00Z</dcterms:modified>
</cp:coreProperties>
</file>